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theme/themeOverride2.xml" ContentType="application/vnd.openxmlformats-officedocument.themeOverride+xml"/>
  <Override PartName="/word/charts/chart35.xml" ContentType="application/vnd.openxmlformats-officedocument.drawingml.chart+xml"/>
  <Override PartName="/word/theme/themeOverride3.xml" ContentType="application/vnd.openxmlformats-officedocument.themeOverride+xml"/>
  <Override PartName="/word/charts/chart36.xml" ContentType="application/vnd.openxmlformats-officedocument.drawingml.chart+xml"/>
  <Override PartName="/word/theme/themeOverride4.xml" ContentType="application/vnd.openxmlformats-officedocument.themeOverride+xml"/>
  <Override PartName="/word/charts/chart37.xml" ContentType="application/vnd.openxmlformats-officedocument.drawingml.chart+xml"/>
  <Override PartName="/word/drawings/drawing2.xml" ContentType="application/vnd.openxmlformats-officedocument.drawingml.chartshapes+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theme/themeOverride5.xml" ContentType="application/vnd.openxmlformats-officedocument.themeOverride+xml"/>
  <Override PartName="/word/charts/chart42.xml" ContentType="application/vnd.openxmlformats-officedocument.drawingml.chart+xml"/>
  <Override PartName="/word/theme/themeOverride6.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63B" w:rsidRPr="00980254" w:rsidRDefault="0030163B" w:rsidP="00755794">
      <w:pPr>
        <w:spacing w:line="360" w:lineRule="auto"/>
        <w:rPr>
          <w:b/>
          <w:color w:val="FF0000"/>
          <w:sz w:val="28"/>
          <w:szCs w:val="26"/>
          <w:lang w:val="ro-RO"/>
        </w:rPr>
      </w:pPr>
      <w:bookmarkStart w:id="0" w:name="_GoBack"/>
      <w:bookmarkEnd w:id="0"/>
    </w:p>
    <w:p w:rsidR="00607A62" w:rsidRPr="00980254" w:rsidRDefault="00607A62" w:rsidP="00BC3B4E">
      <w:pPr>
        <w:shd w:val="clear" w:color="auto" w:fill="CDDEF3"/>
        <w:spacing w:line="360" w:lineRule="auto"/>
        <w:jc w:val="center"/>
        <w:rPr>
          <w:rFonts w:ascii="Arial" w:hAnsi="Arial" w:cs="Arial"/>
          <w:b/>
          <w:color w:val="FF0000"/>
          <w:lang w:val="ro-RO"/>
        </w:rPr>
      </w:pPr>
      <w:r w:rsidRPr="00980254">
        <w:rPr>
          <w:rFonts w:ascii="Arial" w:hAnsi="Arial" w:cs="Arial"/>
          <w:b/>
          <w:color w:val="FF0000"/>
          <w:lang w:val="ro-RO"/>
        </w:rPr>
        <w:t>CUPRINS</w:t>
      </w:r>
    </w:p>
    <w:p w:rsidR="00834009" w:rsidRPr="00980254" w:rsidRDefault="00834009" w:rsidP="00997FDF">
      <w:pPr>
        <w:ind w:left="720"/>
        <w:rPr>
          <w:rFonts w:ascii="Arial" w:hAnsi="Arial" w:cs="Arial"/>
          <w:color w:val="FF0000"/>
          <w:lang w:val="ro-RO"/>
        </w:rPr>
      </w:pPr>
    </w:p>
    <w:p w:rsidR="00695BBF" w:rsidRPr="00980254" w:rsidRDefault="00695BBF" w:rsidP="00695BBF">
      <w:pPr>
        <w:ind w:right="-518"/>
        <w:rPr>
          <w:rFonts w:ascii="Arial" w:hAnsi="Arial" w:cs="Arial"/>
          <w:color w:val="FF0000"/>
          <w:sz w:val="16"/>
          <w:szCs w:val="16"/>
          <w:lang w:val="it-IT"/>
        </w:rPr>
      </w:pPr>
    </w:p>
    <w:p w:rsidR="006D1054" w:rsidRPr="00980254" w:rsidRDefault="006D1054" w:rsidP="00755794">
      <w:pPr>
        <w:rPr>
          <w:color w:val="FF0000"/>
          <w:sz w:val="20"/>
          <w:szCs w:val="26"/>
          <w:lang w:val="ro-RO"/>
        </w:rPr>
      </w:pPr>
    </w:p>
    <w:p w:rsidR="00513E56" w:rsidRPr="00A723CC" w:rsidRDefault="00755794" w:rsidP="00980254">
      <w:pPr>
        <w:numPr>
          <w:ilvl w:val="0"/>
          <w:numId w:val="3"/>
        </w:numPr>
        <w:shd w:val="clear" w:color="auto" w:fill="CDDEF3"/>
        <w:tabs>
          <w:tab w:val="left" w:pos="540"/>
          <w:tab w:val="left" w:leader="dot" w:pos="9356"/>
        </w:tabs>
        <w:spacing w:line="360" w:lineRule="auto"/>
        <w:rPr>
          <w:b/>
          <w:sz w:val="26"/>
          <w:szCs w:val="26"/>
          <w:lang w:val="ro-RO"/>
        </w:rPr>
      </w:pPr>
      <w:r w:rsidRPr="00A723CC">
        <w:rPr>
          <w:b/>
          <w:sz w:val="26"/>
          <w:szCs w:val="26"/>
          <w:lang w:val="ro-RO"/>
        </w:rPr>
        <w:t xml:space="preserve">RADIOACTIVITATEA MEDIULUI </w:t>
      </w:r>
      <w:r w:rsidRPr="00A723CC">
        <w:rPr>
          <w:b/>
          <w:sz w:val="26"/>
          <w:szCs w:val="26"/>
          <w:lang w:val="ro-RO"/>
        </w:rPr>
        <w:tab/>
      </w:r>
      <w:r w:rsidR="00546FB6" w:rsidRPr="00A723CC">
        <w:rPr>
          <w:b/>
          <w:sz w:val="26"/>
          <w:szCs w:val="26"/>
          <w:lang w:val="ro-RO"/>
        </w:rPr>
        <w:t xml:space="preserve"> </w:t>
      </w:r>
    </w:p>
    <w:p w:rsidR="00897C52" w:rsidRPr="00A723CC" w:rsidRDefault="00897C52" w:rsidP="00897C52"/>
    <w:p w:rsidR="00897C52" w:rsidRPr="00A723CC" w:rsidRDefault="00897C52" w:rsidP="00897C52"/>
    <w:p w:rsidR="00755794" w:rsidRPr="00A723CC" w:rsidRDefault="00755794" w:rsidP="007816A7">
      <w:pPr>
        <w:numPr>
          <w:ilvl w:val="1"/>
          <w:numId w:val="3"/>
        </w:numPr>
        <w:shd w:val="clear" w:color="auto" w:fill="D9D9D9" w:themeFill="background1" w:themeFillShade="D9"/>
        <w:tabs>
          <w:tab w:val="left" w:leader="dot" w:pos="9356"/>
        </w:tabs>
        <w:ind w:left="851" w:hanging="482"/>
        <w:rPr>
          <w:b/>
          <w:szCs w:val="26"/>
          <w:lang w:val="ro-RO"/>
        </w:rPr>
      </w:pPr>
      <w:r w:rsidRPr="00A723CC">
        <w:rPr>
          <w:b/>
          <w:szCs w:val="26"/>
          <w:lang w:val="ro-RO"/>
        </w:rPr>
        <w:t xml:space="preserve">Monitorizarea radioactivităţii factorilor de mediu </w:t>
      </w:r>
      <w:r w:rsidRPr="00A723CC">
        <w:rPr>
          <w:b/>
          <w:szCs w:val="26"/>
          <w:lang w:val="ro-RO"/>
        </w:rPr>
        <w:tab/>
      </w:r>
      <w:r w:rsidR="00546FB6" w:rsidRPr="00A723CC">
        <w:rPr>
          <w:b/>
          <w:szCs w:val="26"/>
          <w:lang w:val="ro-RO"/>
        </w:rPr>
        <w:t xml:space="preserve"> </w:t>
      </w:r>
    </w:p>
    <w:p w:rsidR="00897C52" w:rsidRPr="00A723CC" w:rsidRDefault="00897C52" w:rsidP="000A045A">
      <w:pPr>
        <w:jc w:val="both"/>
        <w:rPr>
          <w:rFonts w:ascii="Arial" w:hAnsi="Arial" w:cs="Arial"/>
        </w:rPr>
      </w:pPr>
    </w:p>
    <w:p w:rsidR="00897C52" w:rsidRPr="00A723CC" w:rsidRDefault="00897C52" w:rsidP="00DE5A21">
      <w:pPr>
        <w:pStyle w:val="Corptext3"/>
        <w:ind w:firstLine="708"/>
        <w:jc w:val="both"/>
        <w:rPr>
          <w:rFonts w:ascii="Arial" w:hAnsi="Arial" w:cs="Arial"/>
          <w:sz w:val="24"/>
          <w:szCs w:val="24"/>
        </w:rPr>
      </w:pPr>
      <w:r w:rsidRPr="00A723CC">
        <w:rPr>
          <w:rFonts w:ascii="Arial" w:hAnsi="Arial" w:cs="Arial"/>
          <w:sz w:val="24"/>
          <w:szCs w:val="24"/>
        </w:rPr>
        <w:t>Monitorizarea radioactivității mediului se face prin supravegherea radioactivității componentelor mediului, prin măsurarea concentrației radioactive a substanțelor care conțin radionuclizi și care produc expunerea externă și internă a organismului : solul, aerul, apa și o mulțime de componente ale biosferei ( flora și fauna). Pentru urmărirea variației în timp a concentrațiilor radioactive a substanțelor de interes pentru radioprotecție și pentru anunțarea unor creșteri semnificative, este necesar să se cunoască valorile acestor concentrații radioactive care asigură fondul natural.</w:t>
      </w:r>
    </w:p>
    <w:p w:rsidR="00897C52" w:rsidRPr="00A723CC" w:rsidRDefault="00897C52" w:rsidP="00DE5A21">
      <w:pPr>
        <w:pStyle w:val="Corptext3"/>
        <w:ind w:firstLine="567"/>
        <w:jc w:val="both"/>
        <w:rPr>
          <w:rFonts w:ascii="Arial" w:hAnsi="Arial" w:cs="Arial"/>
          <w:sz w:val="24"/>
          <w:szCs w:val="24"/>
        </w:rPr>
      </w:pPr>
      <w:r w:rsidRPr="00A723CC">
        <w:rPr>
          <w:rFonts w:ascii="Arial" w:hAnsi="Arial" w:cs="Arial"/>
          <w:sz w:val="24"/>
          <w:szCs w:val="24"/>
        </w:rPr>
        <w:t>Principalele obiective urmărite prin monitorizarea radioactivităţii mediului sunt:</w:t>
      </w:r>
    </w:p>
    <w:p w:rsidR="00897C52" w:rsidRPr="00A723CC" w:rsidRDefault="00897C52" w:rsidP="00DE5A21">
      <w:pPr>
        <w:pStyle w:val="Corptext3"/>
        <w:numPr>
          <w:ilvl w:val="0"/>
          <w:numId w:val="37"/>
        </w:numPr>
        <w:spacing w:after="0"/>
        <w:jc w:val="both"/>
        <w:rPr>
          <w:rFonts w:ascii="Arial" w:hAnsi="Arial" w:cs="Arial"/>
          <w:sz w:val="24"/>
          <w:szCs w:val="24"/>
          <w:lang w:val="it-IT"/>
        </w:rPr>
      </w:pPr>
      <w:r w:rsidRPr="00A723CC">
        <w:rPr>
          <w:rFonts w:ascii="Arial" w:hAnsi="Arial" w:cs="Arial"/>
          <w:sz w:val="24"/>
          <w:szCs w:val="24"/>
        </w:rPr>
        <w:t>detectarea rapidă a oricăror creşteri cu semnificaţie radiologică ale nivelelor de radioactivitate a mediului pe teritoriul monitorizat</w:t>
      </w:r>
      <w:r w:rsidRPr="00A723CC">
        <w:rPr>
          <w:rFonts w:ascii="Arial" w:hAnsi="Arial" w:cs="Arial"/>
          <w:sz w:val="24"/>
          <w:szCs w:val="24"/>
          <w:lang w:val="it-IT"/>
        </w:rPr>
        <w:t>;</w:t>
      </w:r>
    </w:p>
    <w:p w:rsidR="00897C52" w:rsidRPr="00A723CC" w:rsidRDefault="00897C52" w:rsidP="000A045A">
      <w:pPr>
        <w:pStyle w:val="Corptext3"/>
        <w:numPr>
          <w:ilvl w:val="0"/>
          <w:numId w:val="37"/>
        </w:numPr>
        <w:spacing w:after="0"/>
        <w:jc w:val="both"/>
        <w:rPr>
          <w:rFonts w:ascii="Arial" w:hAnsi="Arial" w:cs="Arial"/>
          <w:sz w:val="24"/>
          <w:szCs w:val="24"/>
          <w:lang w:val="it-IT"/>
        </w:rPr>
      </w:pPr>
      <w:r w:rsidRPr="00A723CC">
        <w:rPr>
          <w:rFonts w:ascii="Arial" w:hAnsi="Arial" w:cs="Arial"/>
          <w:sz w:val="24"/>
          <w:szCs w:val="24"/>
          <w:lang w:val="it-IT"/>
        </w:rPr>
        <w:t>notificarea rapid</w:t>
      </w:r>
      <w:r w:rsidRPr="00A723CC">
        <w:rPr>
          <w:rFonts w:ascii="Arial" w:hAnsi="Arial" w:cs="Arial"/>
          <w:sz w:val="24"/>
          <w:szCs w:val="24"/>
        </w:rPr>
        <w:t>ă a factorilor de decizie în situaţie de urgenţă radiologică şi susţinerea cu date din teren a deciziilor de implementare a măsurilor de protecţie în timp real;</w:t>
      </w:r>
    </w:p>
    <w:p w:rsidR="00897C52" w:rsidRPr="00A723CC" w:rsidRDefault="00897C52" w:rsidP="000A045A">
      <w:pPr>
        <w:pStyle w:val="Corptext3"/>
        <w:numPr>
          <w:ilvl w:val="0"/>
          <w:numId w:val="37"/>
        </w:numPr>
        <w:spacing w:after="0"/>
        <w:jc w:val="both"/>
        <w:rPr>
          <w:rFonts w:ascii="Arial" w:hAnsi="Arial" w:cs="Arial"/>
          <w:sz w:val="24"/>
          <w:szCs w:val="24"/>
        </w:rPr>
      </w:pPr>
      <w:r w:rsidRPr="00A723CC">
        <w:rPr>
          <w:rFonts w:ascii="Arial" w:hAnsi="Arial" w:cs="Arial"/>
          <w:sz w:val="24"/>
          <w:szCs w:val="24"/>
        </w:rPr>
        <w:t>controlul funcţionării surselor de poluare radioactivă cu impact asupra mediului în acord cu cerinţele legale şi limitele autorizate la nivel naţional;</w:t>
      </w:r>
    </w:p>
    <w:p w:rsidR="00897C52" w:rsidRPr="00A723CC" w:rsidRDefault="00897C52" w:rsidP="000A045A">
      <w:pPr>
        <w:pStyle w:val="Corptext3"/>
        <w:numPr>
          <w:ilvl w:val="0"/>
          <w:numId w:val="37"/>
        </w:numPr>
        <w:spacing w:after="0"/>
        <w:jc w:val="both"/>
        <w:rPr>
          <w:rFonts w:ascii="Arial" w:hAnsi="Arial" w:cs="Arial"/>
          <w:sz w:val="24"/>
          <w:szCs w:val="24"/>
        </w:rPr>
      </w:pPr>
      <w:r w:rsidRPr="00A723CC">
        <w:rPr>
          <w:rFonts w:ascii="Arial" w:hAnsi="Arial" w:cs="Arial"/>
          <w:sz w:val="24"/>
          <w:szCs w:val="24"/>
        </w:rPr>
        <w:t>urmărirea continuă a nivelelor de radioactivitate naturală, importante în evaluarea consecinţelor unei situaţii de urgenţă radiologică;</w:t>
      </w:r>
    </w:p>
    <w:p w:rsidR="00897C52" w:rsidRPr="00A723CC" w:rsidRDefault="00897C52" w:rsidP="000A045A">
      <w:pPr>
        <w:pStyle w:val="Corptext3"/>
        <w:numPr>
          <w:ilvl w:val="0"/>
          <w:numId w:val="37"/>
        </w:numPr>
        <w:spacing w:after="0"/>
        <w:jc w:val="both"/>
        <w:rPr>
          <w:rFonts w:ascii="Arial" w:hAnsi="Arial" w:cs="Arial"/>
          <w:sz w:val="24"/>
          <w:szCs w:val="24"/>
        </w:rPr>
      </w:pPr>
      <w:r w:rsidRPr="00A723CC">
        <w:rPr>
          <w:rFonts w:ascii="Arial" w:hAnsi="Arial" w:cs="Arial"/>
          <w:sz w:val="24"/>
          <w:szCs w:val="24"/>
        </w:rPr>
        <w:t>furnizarea de informaţii către public.</w:t>
      </w:r>
    </w:p>
    <w:p w:rsidR="00897C52" w:rsidRPr="00A723CC" w:rsidRDefault="00897C52" w:rsidP="000A045A">
      <w:pPr>
        <w:pStyle w:val="Corptext3"/>
        <w:ind w:firstLine="708"/>
        <w:jc w:val="both"/>
        <w:rPr>
          <w:rFonts w:ascii="Arial" w:hAnsi="Arial" w:cs="Arial"/>
          <w:sz w:val="24"/>
          <w:szCs w:val="24"/>
        </w:rPr>
      </w:pPr>
    </w:p>
    <w:p w:rsidR="00897C52" w:rsidRPr="00A723CC" w:rsidRDefault="00897C52" w:rsidP="000A045A">
      <w:pPr>
        <w:pStyle w:val="Corptext3"/>
        <w:numPr>
          <w:ilvl w:val="0"/>
          <w:numId w:val="38"/>
        </w:numPr>
        <w:spacing w:after="0"/>
        <w:jc w:val="both"/>
        <w:rPr>
          <w:rFonts w:ascii="Arial" w:hAnsi="Arial" w:cs="Arial"/>
          <w:i/>
          <w:sz w:val="24"/>
          <w:szCs w:val="24"/>
        </w:rPr>
      </w:pPr>
      <w:r w:rsidRPr="00A723CC">
        <w:rPr>
          <w:rFonts w:ascii="Arial" w:hAnsi="Arial" w:cs="Arial"/>
          <w:b/>
          <w:sz w:val="24"/>
          <w:szCs w:val="24"/>
        </w:rPr>
        <w:t xml:space="preserve"> Indicatori specifici - </w:t>
      </w:r>
      <w:r w:rsidRPr="00A723CC">
        <w:rPr>
          <w:rFonts w:ascii="Arial" w:hAnsi="Arial" w:cs="Arial"/>
          <w:i/>
          <w:sz w:val="24"/>
          <w:szCs w:val="24"/>
        </w:rPr>
        <w:t>nu este cazul</w:t>
      </w:r>
    </w:p>
    <w:p w:rsidR="00897C52" w:rsidRPr="00A723CC" w:rsidRDefault="00897C52" w:rsidP="000A045A">
      <w:pPr>
        <w:pStyle w:val="Corptext3"/>
        <w:numPr>
          <w:ilvl w:val="0"/>
          <w:numId w:val="38"/>
        </w:numPr>
        <w:spacing w:after="0"/>
        <w:jc w:val="both"/>
        <w:rPr>
          <w:rFonts w:ascii="Arial" w:hAnsi="Arial" w:cs="Arial"/>
          <w:b/>
          <w:sz w:val="24"/>
          <w:szCs w:val="24"/>
        </w:rPr>
      </w:pPr>
      <w:r w:rsidRPr="00A723CC">
        <w:rPr>
          <w:rFonts w:ascii="Arial" w:hAnsi="Arial" w:cs="Arial"/>
          <w:b/>
          <w:sz w:val="24"/>
          <w:szCs w:val="24"/>
        </w:rPr>
        <w:t xml:space="preserve"> Alte date și informații specifice</w:t>
      </w:r>
    </w:p>
    <w:p w:rsidR="00897C52" w:rsidRPr="00A723CC" w:rsidRDefault="00897C52" w:rsidP="000A045A">
      <w:pPr>
        <w:pStyle w:val="Corptext3"/>
        <w:ind w:firstLine="360"/>
        <w:jc w:val="both"/>
        <w:rPr>
          <w:rFonts w:ascii="Arial" w:hAnsi="Arial" w:cs="Arial"/>
          <w:sz w:val="24"/>
          <w:szCs w:val="24"/>
        </w:rPr>
      </w:pPr>
      <w:r w:rsidRPr="00A723CC">
        <w:rPr>
          <w:rFonts w:ascii="Arial" w:hAnsi="Arial" w:cs="Arial"/>
          <w:sz w:val="24"/>
          <w:szCs w:val="24"/>
        </w:rPr>
        <w:t xml:space="preserve">Supravegherea radioactivităţii mediului în judeţul Constanţa se realizează de către Staţiile de Supraveghere a Radioactivităţii Mediului (SSRM) Constanţa și Cernavodă care funcționează  în subordinea Agenţiei pentru Protecţia Mediului Constanţa și sunt componente ale Reţelei Naţionale pentru Supravegherea Radioactivităţii Mediului . </w:t>
      </w:r>
    </w:p>
    <w:p w:rsidR="00897C52" w:rsidRPr="00A723CC" w:rsidRDefault="00897C52" w:rsidP="000A045A">
      <w:pPr>
        <w:pStyle w:val="Corptext3"/>
        <w:ind w:firstLine="708"/>
        <w:jc w:val="both"/>
        <w:rPr>
          <w:rFonts w:ascii="Arial" w:hAnsi="Arial" w:cs="Arial"/>
          <w:sz w:val="24"/>
          <w:szCs w:val="24"/>
        </w:rPr>
      </w:pPr>
      <w:r w:rsidRPr="00A723CC">
        <w:rPr>
          <w:rFonts w:ascii="Arial" w:hAnsi="Arial" w:cs="Arial"/>
          <w:sz w:val="24"/>
          <w:szCs w:val="24"/>
        </w:rPr>
        <w:t xml:space="preserve">Reţeaua Naţională de Supraveghere a Radioactivităţii Mediului (RNSRM) face parte din sistemul integrat de supraveghere a poluării mediului pe teritoriul României, aflată în subordinea Ministerului Mediului , Apelor și Pădurilor. RNSRM a fost înfiinţată în anul 1962 şi constituie o componentă specializată a sistemului naţional de radioprotecţie, care realizează supravegherea şi controlul respectării prevederilor legale privind radioprotecţia mediului şi asigură îndeplinirea responsabilităţilor Ministerului Mediului , Apelor și Pădurilor  privind detectarea unor niveluri crescute de radioactivitate, avertizarea şi alarmarea factorilor de decizie în cazul unor evenimente cu impact radiologic asupra mediului. </w:t>
      </w:r>
    </w:p>
    <w:p w:rsidR="00897C52" w:rsidRPr="00A723CC" w:rsidRDefault="00897C52" w:rsidP="000A045A">
      <w:pPr>
        <w:pStyle w:val="Corptext3"/>
        <w:ind w:firstLine="708"/>
        <w:jc w:val="both"/>
        <w:rPr>
          <w:rFonts w:ascii="Arial" w:hAnsi="Arial" w:cs="Arial"/>
          <w:sz w:val="24"/>
          <w:szCs w:val="24"/>
        </w:rPr>
      </w:pPr>
      <w:r w:rsidRPr="00A723CC">
        <w:rPr>
          <w:rFonts w:ascii="Arial" w:hAnsi="Arial" w:cs="Arial"/>
          <w:sz w:val="24"/>
          <w:szCs w:val="24"/>
        </w:rPr>
        <w:t xml:space="preserve">Staţia de Supraveghere a Radioactivităţii Mediului Constanţa execută măsurători ale debitului dozei gama în aer, măsurători beta globale pe probe de mediu colectate într-o zonă reprezentativă pentru oraşul Constanţa şi efectuează în mod constant determinări gama spectrometrice pentru identificarea radioizotopilor gama emiţători pe probe colectate din zona </w:t>
      </w:r>
      <w:r w:rsidRPr="00A723CC">
        <w:rPr>
          <w:rFonts w:ascii="Arial" w:hAnsi="Arial" w:cs="Arial"/>
          <w:sz w:val="24"/>
          <w:szCs w:val="24"/>
        </w:rPr>
        <w:lastRenderedPageBreak/>
        <w:t xml:space="preserve">oraşului Constanţa , din zona de influenţă a CNE Cernavodă, din zonele aferente localitătilor Năvodari şi Vadu, precum şi pe probe colectate de SSRM Galaţi, Buzău, Tulcea, Sfântu Gheorghe situate în  Regiunea de dezvoltare de Sud-Est a României. </w:t>
      </w:r>
    </w:p>
    <w:p w:rsidR="00897C52" w:rsidRPr="00A723CC" w:rsidRDefault="00897C52" w:rsidP="00897C52">
      <w:pPr>
        <w:pStyle w:val="Corptext3"/>
        <w:ind w:firstLine="644"/>
      </w:pPr>
    </w:p>
    <w:p w:rsidR="00897C52" w:rsidRPr="00A723CC" w:rsidRDefault="00897C52" w:rsidP="000A045A">
      <w:pPr>
        <w:pStyle w:val="Corptext3"/>
        <w:ind w:firstLine="644"/>
        <w:jc w:val="both"/>
        <w:rPr>
          <w:rFonts w:ascii="Arial" w:hAnsi="Arial" w:cs="Arial"/>
          <w:sz w:val="24"/>
          <w:szCs w:val="24"/>
        </w:rPr>
      </w:pPr>
      <w:r w:rsidRPr="00A723CC">
        <w:rPr>
          <w:rFonts w:ascii="Arial" w:hAnsi="Arial" w:cs="Arial"/>
          <w:sz w:val="24"/>
          <w:szCs w:val="24"/>
        </w:rPr>
        <w:t>Programele de monitorizare desfăşurate de SSRM Constanţa în anul 201</w:t>
      </w:r>
      <w:r w:rsidR="00A723CC" w:rsidRPr="00A723CC">
        <w:rPr>
          <w:rFonts w:ascii="Arial" w:hAnsi="Arial" w:cs="Arial"/>
          <w:sz w:val="24"/>
          <w:szCs w:val="24"/>
        </w:rPr>
        <w:t>5</w:t>
      </w:r>
      <w:r w:rsidRPr="00A723CC">
        <w:rPr>
          <w:rFonts w:ascii="Arial" w:hAnsi="Arial" w:cs="Arial"/>
          <w:sz w:val="24"/>
          <w:szCs w:val="24"/>
        </w:rPr>
        <w:t xml:space="preserve"> au fost:</w:t>
      </w:r>
    </w:p>
    <w:p w:rsidR="00A723CC" w:rsidRPr="00A723CC" w:rsidRDefault="00A723CC" w:rsidP="00A723CC">
      <w:pPr>
        <w:pStyle w:val="Corptext3"/>
        <w:numPr>
          <w:ilvl w:val="0"/>
          <w:numId w:val="34"/>
        </w:numPr>
        <w:spacing w:after="0"/>
        <w:jc w:val="both"/>
        <w:rPr>
          <w:rFonts w:ascii="Arial" w:hAnsi="Arial" w:cs="Arial"/>
          <w:b/>
          <w:sz w:val="24"/>
          <w:szCs w:val="24"/>
        </w:rPr>
      </w:pPr>
      <w:r w:rsidRPr="00A723CC">
        <w:rPr>
          <w:rFonts w:ascii="Arial" w:hAnsi="Arial" w:cs="Arial"/>
          <w:b/>
          <w:sz w:val="24"/>
          <w:szCs w:val="24"/>
        </w:rPr>
        <w:t>Program standard de monitorizare</w:t>
      </w:r>
      <w:r w:rsidRPr="00A723CC">
        <w:rPr>
          <w:rFonts w:ascii="Arial" w:hAnsi="Arial" w:cs="Arial"/>
          <w:sz w:val="24"/>
          <w:szCs w:val="24"/>
        </w:rPr>
        <w:t xml:space="preserve"> a radioactivităţii mediului corespunzător staţiilor cu program de funcţionare de 24 h , constând în măsurători beta globale pe probe de: aer (4 aspiraţii/zi), depuneri atmosferice totale şi precipitaţii (1 probă/zi), apă de suprafaţă (1 probă/zi), sol necultivat (1 probă/săptămână), vegetaţie spontană                               (1 probă/săptămână în perioada aprilie-octombrie);</w:t>
      </w:r>
    </w:p>
    <w:p w:rsidR="00A723CC" w:rsidRPr="00A723CC" w:rsidRDefault="00A723CC" w:rsidP="00A723CC">
      <w:pPr>
        <w:pStyle w:val="Corptext3"/>
        <w:numPr>
          <w:ilvl w:val="0"/>
          <w:numId w:val="34"/>
        </w:numPr>
        <w:spacing w:after="0"/>
        <w:jc w:val="both"/>
        <w:rPr>
          <w:rFonts w:ascii="Arial" w:hAnsi="Arial" w:cs="Arial"/>
          <w:sz w:val="24"/>
          <w:szCs w:val="24"/>
        </w:rPr>
      </w:pPr>
      <w:r w:rsidRPr="00A723CC">
        <w:rPr>
          <w:rFonts w:ascii="Arial" w:hAnsi="Arial" w:cs="Arial"/>
          <w:b/>
          <w:sz w:val="24"/>
          <w:szCs w:val="24"/>
        </w:rPr>
        <w:t xml:space="preserve">Program de monitorizare în zone cu fondul natural modificat antropic </w:t>
      </w:r>
      <w:r w:rsidRPr="00A723CC">
        <w:rPr>
          <w:rFonts w:ascii="Arial" w:hAnsi="Arial" w:cs="Arial"/>
          <w:sz w:val="24"/>
          <w:szCs w:val="24"/>
        </w:rPr>
        <w:t>care a cuprins monitorizarea factorilor de mediu</w:t>
      </w:r>
      <w:r w:rsidRPr="00A723CC">
        <w:rPr>
          <w:rFonts w:ascii="Arial" w:hAnsi="Arial" w:cs="Arial"/>
          <w:b/>
          <w:sz w:val="24"/>
          <w:szCs w:val="24"/>
        </w:rPr>
        <w:t xml:space="preserve"> </w:t>
      </w:r>
      <w:r w:rsidRPr="00A723CC">
        <w:rPr>
          <w:rFonts w:ascii="Arial" w:hAnsi="Arial" w:cs="Arial"/>
          <w:sz w:val="24"/>
          <w:szCs w:val="24"/>
        </w:rPr>
        <w:t>în localitatea Constanţa, supravegherea</w:t>
      </w:r>
      <w:r w:rsidRPr="00A723CC">
        <w:rPr>
          <w:rFonts w:ascii="Arial" w:hAnsi="Arial" w:cs="Arial"/>
          <w:sz w:val="24"/>
          <w:szCs w:val="24"/>
          <w:lang w:eastAsia="ro-RO"/>
        </w:rPr>
        <w:t xml:space="preserve"> zonei Năvodari-Lumina-Mamaia Sat, urmărindu-se o eventuală influenţă asupra factorilor de mediu pe care ar putea-o avea existenţa haldelor de fosfogips aflate în proprietatea  S.C. Marway Fertilchim S.A, precum şi a zonei Vadu unde se află fosta întreprindere de metale rare</w:t>
      </w:r>
      <w:r w:rsidRPr="00A723CC">
        <w:rPr>
          <w:rFonts w:ascii="Arial" w:hAnsi="Arial" w:cs="Arial"/>
          <w:sz w:val="24"/>
          <w:szCs w:val="24"/>
        </w:rPr>
        <w:t>.  Programul a constat în:</w:t>
      </w:r>
    </w:p>
    <w:p w:rsidR="00A723CC" w:rsidRPr="00A723CC" w:rsidRDefault="00A723CC" w:rsidP="00A723CC">
      <w:pPr>
        <w:pStyle w:val="Corptext3"/>
        <w:numPr>
          <w:ilvl w:val="0"/>
          <w:numId w:val="36"/>
        </w:numPr>
        <w:spacing w:after="0"/>
        <w:jc w:val="both"/>
        <w:rPr>
          <w:rFonts w:ascii="Arial" w:hAnsi="Arial" w:cs="Arial"/>
          <w:sz w:val="24"/>
          <w:szCs w:val="24"/>
        </w:rPr>
      </w:pPr>
      <w:r w:rsidRPr="00A723CC">
        <w:rPr>
          <w:rFonts w:ascii="Arial" w:hAnsi="Arial" w:cs="Arial"/>
          <w:sz w:val="24"/>
          <w:szCs w:val="24"/>
        </w:rPr>
        <w:t>măsurători beta globale pe probe de: apă de suprafaţă din Marea Neagră                          (1 probă/săptămână), apă de foraj Constanţa (1 probă/semestru) şi de apă de suprafaţă Canal Poarta Albă-Midia Năvodari (1 probă/semestru),</w:t>
      </w:r>
    </w:p>
    <w:p w:rsidR="00A723CC" w:rsidRPr="00A723CC" w:rsidRDefault="00A723CC" w:rsidP="00A723CC">
      <w:pPr>
        <w:pStyle w:val="Corptext3"/>
        <w:numPr>
          <w:ilvl w:val="0"/>
          <w:numId w:val="36"/>
        </w:numPr>
        <w:spacing w:after="0"/>
        <w:jc w:val="both"/>
        <w:rPr>
          <w:rFonts w:ascii="Arial" w:hAnsi="Arial" w:cs="Arial"/>
          <w:sz w:val="24"/>
          <w:szCs w:val="24"/>
        </w:rPr>
      </w:pPr>
      <w:r w:rsidRPr="00A723CC">
        <w:rPr>
          <w:rFonts w:ascii="Arial" w:hAnsi="Arial" w:cs="Arial"/>
          <w:sz w:val="24"/>
          <w:szCs w:val="24"/>
        </w:rPr>
        <w:t>măsurători gama spectrometrice pe probe de: apă de suprafaţă din Marea Neagră,                    apă de foraj din Constanţa, apă de suprafaţă din Canal Poarta Albă-Midia Năvodari, vegetaţie spontană din Constanţa, Mamaia Sat, Năvodari, Lumina, sol necultivat şi arabil din Constanţa, Mamaia Sat, Năvodari, Lumina, Vadu.</w:t>
      </w:r>
    </w:p>
    <w:p w:rsidR="00A723CC" w:rsidRPr="00A723CC" w:rsidRDefault="00A723CC" w:rsidP="00A723CC">
      <w:pPr>
        <w:pStyle w:val="Corptext3"/>
        <w:numPr>
          <w:ilvl w:val="0"/>
          <w:numId w:val="36"/>
        </w:numPr>
        <w:spacing w:after="0"/>
        <w:jc w:val="both"/>
        <w:rPr>
          <w:rFonts w:ascii="Arial" w:hAnsi="Arial" w:cs="Arial"/>
          <w:sz w:val="24"/>
          <w:szCs w:val="24"/>
        </w:rPr>
      </w:pPr>
      <w:r w:rsidRPr="00A723CC">
        <w:rPr>
          <w:rFonts w:ascii="Arial" w:hAnsi="Arial" w:cs="Arial"/>
          <w:sz w:val="24"/>
          <w:szCs w:val="24"/>
        </w:rPr>
        <w:t>măsurători gama spectrometrice pe toate probele colectate de SSRM Constanţa şi Cernavodă în cadrul programelor standard şi speciale, precum şi pe probele colectate în cadrul programelor standard şi speciale de către SSRM Galaţi, Buzău,Tulcea, Sfântu Gheorghe, situate în Regiunea de Sud-Est a României.</w:t>
      </w:r>
    </w:p>
    <w:p w:rsidR="00A723CC" w:rsidRPr="00A723CC" w:rsidRDefault="00A723CC" w:rsidP="00A723CC">
      <w:pPr>
        <w:pStyle w:val="Corptext3"/>
        <w:numPr>
          <w:ilvl w:val="0"/>
          <w:numId w:val="36"/>
        </w:numPr>
        <w:spacing w:after="0"/>
        <w:jc w:val="both"/>
        <w:rPr>
          <w:rFonts w:ascii="Arial" w:hAnsi="Arial" w:cs="Arial"/>
          <w:sz w:val="24"/>
          <w:szCs w:val="24"/>
        </w:rPr>
      </w:pPr>
      <w:r w:rsidRPr="00A723CC">
        <w:rPr>
          <w:rFonts w:ascii="Arial" w:hAnsi="Arial" w:cs="Arial"/>
          <w:sz w:val="24"/>
          <w:szCs w:val="24"/>
        </w:rPr>
        <w:t>colectări si pregătiri ale probelor de apă, precipitaţii, sol necultivat, vegetaţie spontană, în vederea determinării concentraţiei de tritiu.</w:t>
      </w:r>
    </w:p>
    <w:p w:rsidR="00A723CC" w:rsidRPr="00A723CC" w:rsidRDefault="00A723CC" w:rsidP="00A723CC">
      <w:pPr>
        <w:pStyle w:val="Corptext3"/>
        <w:ind w:firstLine="720"/>
        <w:rPr>
          <w:rFonts w:ascii="Arial" w:hAnsi="Arial" w:cs="Arial"/>
          <w:sz w:val="24"/>
          <w:szCs w:val="24"/>
        </w:rPr>
      </w:pPr>
      <w:r w:rsidRPr="00A723CC">
        <w:rPr>
          <w:rFonts w:ascii="Arial" w:hAnsi="Arial" w:cs="Arial"/>
          <w:sz w:val="24"/>
          <w:szCs w:val="24"/>
        </w:rPr>
        <w:t xml:space="preserve">În cursul anului 2015, la SSRM Constanţa au  fost efectuate </w:t>
      </w:r>
      <w:r w:rsidRPr="00A723CC">
        <w:rPr>
          <w:rFonts w:ascii="Arial" w:hAnsi="Arial" w:cs="Arial"/>
          <w:sz w:val="24"/>
          <w:szCs w:val="24"/>
          <w:shd w:val="clear" w:color="auto" w:fill="FFFFFF" w:themeFill="background1"/>
        </w:rPr>
        <w:t>7366</w:t>
      </w:r>
      <w:r w:rsidRPr="00A723CC">
        <w:rPr>
          <w:rFonts w:ascii="Arial" w:hAnsi="Arial" w:cs="Arial"/>
          <w:sz w:val="24"/>
          <w:szCs w:val="24"/>
        </w:rPr>
        <w:t xml:space="preserve"> analize beta globale. </w:t>
      </w:r>
    </w:p>
    <w:p w:rsidR="00A723CC" w:rsidRDefault="000A045A" w:rsidP="00A723CC">
      <w:pPr>
        <w:pStyle w:val="Indentcorptext2"/>
        <w:tabs>
          <w:tab w:val="center" w:pos="4536"/>
        </w:tabs>
        <w:spacing w:line="276" w:lineRule="auto"/>
        <w:rPr>
          <w:rFonts w:ascii="Arial" w:hAnsi="Arial" w:cs="Arial"/>
          <w:sz w:val="24"/>
          <w:szCs w:val="24"/>
        </w:rPr>
      </w:pPr>
      <w:r w:rsidRPr="00980254">
        <w:rPr>
          <w:rFonts w:ascii="Arial" w:hAnsi="Arial" w:cs="Arial"/>
          <w:color w:val="FF0000"/>
          <w:sz w:val="24"/>
          <w:szCs w:val="24"/>
          <w:lang w:val="en-US"/>
        </w:rPr>
        <w:tab/>
        <w:t xml:space="preserve">         </w:t>
      </w:r>
      <w:r w:rsidR="00A723CC" w:rsidRPr="00F1730B">
        <w:rPr>
          <w:rFonts w:ascii="Arial" w:hAnsi="Arial" w:cs="Arial"/>
          <w:sz w:val="24"/>
          <w:szCs w:val="24"/>
        </w:rPr>
        <w:t>Distribuţia procentuală a analizelor</w:t>
      </w:r>
      <w:r w:rsidR="00A723CC">
        <w:rPr>
          <w:rFonts w:ascii="Arial" w:hAnsi="Arial" w:cs="Arial"/>
          <w:sz w:val="24"/>
          <w:szCs w:val="24"/>
        </w:rPr>
        <w:t xml:space="preserve"> beta globale</w:t>
      </w:r>
      <w:r w:rsidR="00A723CC" w:rsidRPr="00F1730B">
        <w:rPr>
          <w:rFonts w:ascii="Arial" w:hAnsi="Arial" w:cs="Arial"/>
          <w:sz w:val="24"/>
          <w:szCs w:val="24"/>
        </w:rPr>
        <w:t xml:space="preserve">, în funcţie de tipul de probă investigat, este prezentată </w:t>
      </w:r>
      <w:r w:rsidR="00A723CC" w:rsidRPr="008A5A19">
        <w:rPr>
          <w:rFonts w:ascii="Arial" w:hAnsi="Arial" w:cs="Arial"/>
          <w:sz w:val="24"/>
          <w:szCs w:val="24"/>
        </w:rPr>
        <w:t>în figura IX.1.</w:t>
      </w:r>
    </w:p>
    <w:p w:rsidR="00A723CC" w:rsidRDefault="00A723CC" w:rsidP="00A723CC">
      <w:pPr>
        <w:pStyle w:val="Indentcorptext2"/>
        <w:tabs>
          <w:tab w:val="center" w:pos="4536"/>
        </w:tabs>
        <w:rPr>
          <w:rFonts w:ascii="Arial" w:hAnsi="Arial" w:cs="Arial"/>
          <w:sz w:val="24"/>
          <w:szCs w:val="24"/>
        </w:rPr>
      </w:pPr>
    </w:p>
    <w:p w:rsidR="00A723CC" w:rsidRDefault="00A723CC" w:rsidP="00A723CC">
      <w:pPr>
        <w:pStyle w:val="Indentcorptext2"/>
        <w:tabs>
          <w:tab w:val="center" w:pos="4536"/>
        </w:tabs>
        <w:jc w:val="center"/>
        <w:rPr>
          <w:rFonts w:ascii="Arial" w:hAnsi="Arial" w:cs="Arial"/>
          <w:sz w:val="24"/>
          <w:szCs w:val="24"/>
        </w:rPr>
      </w:pPr>
      <w:r w:rsidRPr="00F07AC4">
        <w:rPr>
          <w:noProof/>
          <w:highlight w:val="yellow"/>
          <w:lang w:val="en-US" w:eastAsia="en-US"/>
        </w:rPr>
        <w:drawing>
          <wp:inline distT="0" distB="0" distL="0" distR="0" wp14:anchorId="2F3009A6" wp14:editId="60EEE60B">
            <wp:extent cx="6105525" cy="2419350"/>
            <wp:effectExtent l="0" t="0" r="9525" b="19050"/>
            <wp:docPr id="1" name="Obi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723CC" w:rsidRDefault="00A723CC" w:rsidP="00A723CC">
      <w:pPr>
        <w:pStyle w:val="Corptext3"/>
        <w:ind w:firstLine="720"/>
      </w:pPr>
    </w:p>
    <w:p w:rsidR="00A723CC" w:rsidRPr="00A723CC" w:rsidRDefault="00A723CC" w:rsidP="00A723CC">
      <w:pPr>
        <w:pStyle w:val="Corptext3"/>
        <w:ind w:firstLine="720"/>
        <w:rPr>
          <w:rFonts w:ascii="Arial" w:hAnsi="Arial" w:cs="Arial"/>
          <w:sz w:val="24"/>
          <w:szCs w:val="24"/>
        </w:rPr>
      </w:pPr>
      <w:r w:rsidRPr="00A723CC">
        <w:rPr>
          <w:rFonts w:ascii="Arial" w:hAnsi="Arial" w:cs="Arial"/>
          <w:sz w:val="24"/>
          <w:szCs w:val="24"/>
        </w:rPr>
        <w:t xml:space="preserve">Deasemeni, la SSRM Constanţa au  fost efectuate </w:t>
      </w:r>
      <w:r w:rsidRPr="00A723CC">
        <w:rPr>
          <w:rFonts w:ascii="Arial" w:hAnsi="Arial" w:cs="Arial"/>
          <w:sz w:val="24"/>
          <w:szCs w:val="24"/>
          <w:shd w:val="clear" w:color="auto" w:fill="FFFFFF" w:themeFill="background1"/>
        </w:rPr>
        <w:t>460</w:t>
      </w:r>
      <w:r w:rsidRPr="00A723CC">
        <w:rPr>
          <w:rFonts w:ascii="Arial" w:hAnsi="Arial" w:cs="Arial"/>
          <w:sz w:val="24"/>
          <w:szCs w:val="24"/>
        </w:rPr>
        <w:t xml:space="preserve"> analize gama spectrometrice pe probe colectate în cadrul programelor standard şi speciale ale staţiilor din Regiunea de Dezvoltare de Sud-Est. </w:t>
      </w:r>
    </w:p>
    <w:p w:rsidR="00A723CC" w:rsidRPr="00A723CC" w:rsidRDefault="00A723CC" w:rsidP="00A723CC">
      <w:pPr>
        <w:pStyle w:val="Indentcorptext2"/>
        <w:tabs>
          <w:tab w:val="center" w:pos="4536"/>
        </w:tabs>
        <w:rPr>
          <w:rFonts w:ascii="Arial" w:hAnsi="Arial" w:cs="Arial"/>
          <w:sz w:val="24"/>
          <w:szCs w:val="24"/>
          <w:lang w:val="pt-BR"/>
        </w:rPr>
      </w:pPr>
      <w:r w:rsidRPr="00A723CC">
        <w:rPr>
          <w:rFonts w:ascii="Arial" w:hAnsi="Arial" w:cs="Arial"/>
          <w:sz w:val="24"/>
          <w:szCs w:val="24"/>
          <w:lang w:val="pt-BR"/>
        </w:rPr>
        <w:t>Distribuţia procentuală a analizelor gama spectrometrice, în funcţie de tipul de probă investigat, este prezentată în figura IX.2.</w:t>
      </w:r>
    </w:p>
    <w:p w:rsidR="00A723CC" w:rsidRPr="007105C6" w:rsidRDefault="00A723CC" w:rsidP="00A723CC">
      <w:pPr>
        <w:pStyle w:val="Indentcorptext2"/>
        <w:tabs>
          <w:tab w:val="center" w:pos="4536"/>
        </w:tabs>
        <w:rPr>
          <w:rFonts w:ascii="Arial" w:hAnsi="Arial" w:cs="Arial"/>
          <w:sz w:val="24"/>
          <w:szCs w:val="24"/>
          <w:lang w:val="pt-BR"/>
        </w:rPr>
      </w:pPr>
    </w:p>
    <w:p w:rsidR="00A723CC" w:rsidRDefault="00A723CC" w:rsidP="00A723CC">
      <w:pPr>
        <w:pStyle w:val="Indentcorptext2"/>
        <w:tabs>
          <w:tab w:val="center" w:pos="4536"/>
        </w:tabs>
        <w:jc w:val="center"/>
        <w:rPr>
          <w:rFonts w:ascii="Arial" w:hAnsi="Arial" w:cs="Arial"/>
          <w:sz w:val="24"/>
          <w:szCs w:val="24"/>
        </w:rPr>
      </w:pPr>
      <w:bookmarkStart w:id="1" w:name="_MON_1399298694"/>
      <w:bookmarkStart w:id="2" w:name="_MON_1431957638"/>
      <w:bookmarkStart w:id="3" w:name="_MON_1432310174"/>
      <w:bookmarkStart w:id="4" w:name="_MON_1432725453"/>
      <w:bookmarkStart w:id="5" w:name="_MON_1432725513"/>
      <w:bookmarkStart w:id="6" w:name="_MON_1465130181"/>
      <w:bookmarkStart w:id="7" w:name="_MON_1465130299"/>
      <w:bookmarkStart w:id="8" w:name="_MON_1465375924"/>
      <w:bookmarkStart w:id="9" w:name="_MON_1465375977"/>
      <w:bookmarkStart w:id="10" w:name="_MON_1370203917"/>
      <w:bookmarkStart w:id="11" w:name="_MON_1399212383"/>
      <w:bookmarkStart w:id="12" w:name="_MON_1399212420"/>
      <w:bookmarkStart w:id="13" w:name="_MON_1399212464"/>
      <w:bookmarkStart w:id="14" w:name="_MON_1399212510"/>
      <w:bookmarkStart w:id="15" w:name="_MON_1399212584"/>
      <w:bookmarkStart w:id="16" w:name="_MON_1399212621"/>
      <w:bookmarkStart w:id="17" w:name="_MON_1399212653"/>
      <w:bookmarkStart w:id="18" w:name="_MON_1399213016"/>
      <w:bookmarkStart w:id="19" w:name="_MON_1399213029"/>
      <w:bookmarkStart w:id="20" w:name="_MON_1399213058"/>
      <w:bookmarkStart w:id="21" w:name="_MON_1399213148"/>
      <w:bookmarkStart w:id="22" w:name="_MON_1399213251"/>
      <w:bookmarkStart w:id="23" w:name="_MON_1399294934"/>
      <w:bookmarkStart w:id="24" w:name="_MON_1399297361"/>
      <w:bookmarkStart w:id="25" w:name="_MON_1399297377"/>
      <w:bookmarkStart w:id="26" w:name="_MON_1399297724"/>
      <w:bookmarkStart w:id="27" w:name="_MON_1399297730"/>
      <w:bookmarkStart w:id="28" w:name="_MON_1399297877"/>
      <w:bookmarkStart w:id="29" w:name="_MON_1399297903"/>
      <w:bookmarkStart w:id="30" w:name="_MON_139929839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noProof/>
          <w:lang w:val="en-US" w:eastAsia="en-US"/>
        </w:rPr>
        <w:drawing>
          <wp:inline distT="0" distB="0" distL="0" distR="0">
            <wp:extent cx="5812971" cy="2013780"/>
            <wp:effectExtent l="0" t="0" r="16510" b="24765"/>
            <wp:docPr id="4" name="Diagramă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723CC" w:rsidRDefault="00A723CC" w:rsidP="00A723CC">
      <w:pPr>
        <w:pStyle w:val="Corptext3"/>
        <w:ind w:firstLine="720"/>
      </w:pPr>
    </w:p>
    <w:p w:rsidR="00A723CC" w:rsidRPr="00A723CC" w:rsidRDefault="00A723CC" w:rsidP="00BF7756">
      <w:pPr>
        <w:pStyle w:val="Corptext3"/>
        <w:spacing w:line="276" w:lineRule="auto"/>
        <w:ind w:firstLine="720"/>
        <w:rPr>
          <w:rFonts w:ascii="Arial" w:hAnsi="Arial" w:cs="Arial"/>
          <w:sz w:val="24"/>
          <w:szCs w:val="24"/>
        </w:rPr>
      </w:pPr>
      <w:r w:rsidRPr="00A723CC">
        <w:rPr>
          <w:rFonts w:ascii="Arial" w:hAnsi="Arial" w:cs="Arial"/>
          <w:sz w:val="24"/>
          <w:szCs w:val="24"/>
        </w:rPr>
        <w:t xml:space="preserve">În anul 2015 SSRM Constanţa a participat la exerciţiul de intercomparare organizat de International Atomic Energy Agency – World-Wide Open Proficiency Test IAEA-TEL-2015-03. Exerciţiul a constat în determinarea, prin analize gama spectrometrice, a concentraţiior radionuclizilor antropogenici şi naturali din trei probe de apă, una de alge şi una de sol, precum şi în măsurători beta globale pentru probele de apă. Rezultatele obţinute au fost foarte bune, toate îndeplinind criteriul de acceptare, practic unele fiind identice cu rezultatele de referinţă. </w:t>
      </w:r>
    </w:p>
    <w:p w:rsidR="00A723CC" w:rsidRPr="00A723CC" w:rsidRDefault="00A723CC" w:rsidP="00BF7756">
      <w:pPr>
        <w:pStyle w:val="Corptext3"/>
        <w:spacing w:line="276" w:lineRule="auto"/>
        <w:ind w:firstLine="720"/>
        <w:rPr>
          <w:rFonts w:ascii="Arial" w:hAnsi="Arial" w:cs="Arial"/>
          <w:sz w:val="24"/>
          <w:szCs w:val="24"/>
        </w:rPr>
      </w:pPr>
      <w:r w:rsidRPr="00A723CC">
        <w:rPr>
          <w:rFonts w:ascii="Arial" w:hAnsi="Arial" w:cs="Arial"/>
          <w:sz w:val="24"/>
          <w:szCs w:val="24"/>
        </w:rPr>
        <w:t>Staţia de Supraveghere a Radioactivităţii Mediului Cernavodă execută măsurători beta globale pe probe de mediu colectate într-o zonă largă din jurul CNE Cernavodă precum şi măsurători ale probelor de apǎ şi precipitaţii în vederea determinǎrii activităţii volumice a tritiului .</w:t>
      </w:r>
    </w:p>
    <w:p w:rsidR="00A723CC" w:rsidRPr="00A723CC" w:rsidRDefault="00A723CC" w:rsidP="00BF7756">
      <w:pPr>
        <w:pStyle w:val="Corptext3"/>
        <w:spacing w:line="276" w:lineRule="auto"/>
        <w:rPr>
          <w:rFonts w:ascii="Arial" w:hAnsi="Arial" w:cs="Arial"/>
          <w:sz w:val="24"/>
          <w:szCs w:val="24"/>
        </w:rPr>
      </w:pPr>
      <w:r w:rsidRPr="00A723CC">
        <w:rPr>
          <w:rFonts w:ascii="Arial" w:hAnsi="Arial" w:cs="Arial"/>
          <w:sz w:val="24"/>
          <w:szCs w:val="24"/>
        </w:rPr>
        <w:t>Programele de monitorizare desfăşurate de SSRM Cernavodă în anul 2015 au fost:</w:t>
      </w:r>
    </w:p>
    <w:p w:rsidR="00A723CC" w:rsidRPr="00A723CC" w:rsidRDefault="00A723CC" w:rsidP="00BF7756">
      <w:pPr>
        <w:pStyle w:val="Corptext3"/>
        <w:numPr>
          <w:ilvl w:val="0"/>
          <w:numId w:val="34"/>
        </w:numPr>
        <w:spacing w:after="0" w:line="276" w:lineRule="auto"/>
        <w:jc w:val="both"/>
        <w:rPr>
          <w:rFonts w:ascii="Arial" w:hAnsi="Arial" w:cs="Arial"/>
          <w:sz w:val="24"/>
          <w:szCs w:val="24"/>
        </w:rPr>
      </w:pPr>
      <w:r w:rsidRPr="00A723CC">
        <w:rPr>
          <w:rFonts w:ascii="Arial" w:hAnsi="Arial" w:cs="Arial"/>
          <w:b/>
          <w:sz w:val="24"/>
          <w:szCs w:val="24"/>
        </w:rPr>
        <w:t>Program standard</w:t>
      </w:r>
      <w:r w:rsidRPr="00A723CC">
        <w:rPr>
          <w:rFonts w:ascii="Arial" w:hAnsi="Arial" w:cs="Arial"/>
          <w:sz w:val="24"/>
          <w:szCs w:val="24"/>
        </w:rPr>
        <w:t xml:space="preserve"> de monitorizare a radioactivităţii mediului pentru staţie cu program de funcţionare de 24 h, constând în măsurători beta globale pe probe de : aer              (4 aspiraţii/zi), depuneri atmosferice totale şi precipitaţii (1 probă/zi), apă de suprafaţă      (1 probă/zi), sol necultivat (1 probă/săptămână), vegetaţie spontană                             (1 probă/săptămână în perioada aprilie-octombrie);</w:t>
      </w:r>
    </w:p>
    <w:p w:rsidR="00A723CC" w:rsidRPr="00A723CC" w:rsidRDefault="00A723CC" w:rsidP="00BF7756">
      <w:pPr>
        <w:pStyle w:val="Corptext3"/>
        <w:numPr>
          <w:ilvl w:val="0"/>
          <w:numId w:val="34"/>
        </w:numPr>
        <w:spacing w:after="0" w:line="276" w:lineRule="auto"/>
        <w:jc w:val="both"/>
        <w:rPr>
          <w:rFonts w:ascii="Arial" w:hAnsi="Arial" w:cs="Arial"/>
          <w:sz w:val="24"/>
          <w:szCs w:val="24"/>
        </w:rPr>
      </w:pPr>
      <w:r w:rsidRPr="00A723CC">
        <w:rPr>
          <w:rFonts w:ascii="Arial" w:hAnsi="Arial" w:cs="Arial"/>
          <w:b/>
          <w:sz w:val="24"/>
          <w:szCs w:val="24"/>
          <w:lang w:val="pt-BR"/>
        </w:rPr>
        <w:t xml:space="preserve">Program de monitorizare </w:t>
      </w:r>
      <w:r w:rsidRPr="00A723CC">
        <w:rPr>
          <w:rFonts w:ascii="Arial" w:hAnsi="Arial" w:cs="Arial"/>
          <w:b/>
          <w:sz w:val="24"/>
          <w:szCs w:val="24"/>
        </w:rPr>
        <w:t>în zonă cu fond modificat antropic</w:t>
      </w:r>
      <w:r w:rsidRPr="00A723CC">
        <w:rPr>
          <w:rFonts w:ascii="Arial" w:hAnsi="Arial" w:cs="Arial"/>
          <w:sz w:val="24"/>
          <w:szCs w:val="24"/>
          <w:lang w:val="pt-BR"/>
        </w:rPr>
        <w:t xml:space="preserve"> </w:t>
      </w:r>
      <w:r w:rsidRPr="00A723CC">
        <w:rPr>
          <w:rFonts w:ascii="Arial" w:hAnsi="Arial" w:cs="Arial"/>
          <w:sz w:val="24"/>
          <w:szCs w:val="24"/>
        </w:rPr>
        <w:t>-</w:t>
      </w:r>
      <w:r w:rsidRPr="00A723CC">
        <w:rPr>
          <w:rFonts w:ascii="Arial" w:hAnsi="Arial" w:cs="Arial"/>
          <w:sz w:val="24"/>
          <w:szCs w:val="24"/>
          <w:lang w:val="pt-BR"/>
        </w:rPr>
        <w:t xml:space="preserve"> zona de influenţă a CNE Cernavodă - </w:t>
      </w:r>
      <w:r w:rsidRPr="00A723CC">
        <w:rPr>
          <w:rFonts w:ascii="Arial" w:hAnsi="Arial" w:cs="Arial"/>
          <w:sz w:val="24"/>
          <w:szCs w:val="24"/>
        </w:rPr>
        <w:t>constând în</w:t>
      </w:r>
      <w:r w:rsidRPr="00A723CC">
        <w:rPr>
          <w:rFonts w:ascii="Arial" w:hAnsi="Arial" w:cs="Arial"/>
          <w:sz w:val="24"/>
          <w:szCs w:val="24"/>
          <w:lang w:val="pt-BR"/>
        </w:rPr>
        <w:t xml:space="preserve">: </w:t>
      </w:r>
    </w:p>
    <w:p w:rsidR="00A723CC" w:rsidRPr="00A723CC" w:rsidRDefault="00A723CC" w:rsidP="00BF7756">
      <w:pPr>
        <w:pStyle w:val="Corptext3"/>
        <w:numPr>
          <w:ilvl w:val="0"/>
          <w:numId w:val="35"/>
        </w:numPr>
        <w:spacing w:after="0" w:line="276" w:lineRule="auto"/>
        <w:jc w:val="both"/>
        <w:rPr>
          <w:rFonts w:ascii="Arial" w:hAnsi="Arial" w:cs="Arial"/>
          <w:sz w:val="24"/>
          <w:szCs w:val="24"/>
        </w:rPr>
      </w:pPr>
      <w:r w:rsidRPr="00A723CC">
        <w:rPr>
          <w:rFonts w:ascii="Arial" w:hAnsi="Arial" w:cs="Arial"/>
          <w:sz w:val="24"/>
          <w:szCs w:val="24"/>
        </w:rPr>
        <w:t xml:space="preserve">măsurători beta globale pe probe de: apă de suprafaţă din Canal Seimeni, Canal Ecluză (câte 1 probă/zi), din Braţul Borcea al Dunării la Feteşti, din Dunăre la Cochirleni şi </w:t>
      </w:r>
      <w:r w:rsidRPr="00A723CC">
        <w:rPr>
          <w:rFonts w:ascii="Arial" w:hAnsi="Arial" w:cs="Arial"/>
          <w:sz w:val="24"/>
          <w:szCs w:val="24"/>
        </w:rPr>
        <w:lastRenderedPageBreak/>
        <w:t>Capidava, din Canal Dunăre-Marea Neagră la Medgidia (câte 1 probă/lună), apă de foraj la Faclia (1 probă/zi), vegetaţie spontană din 10 locaţii situate în jurul CNE Cernavodă (câte 1probă/semestru), sol necultivat din 10 locaţii situate în jurul CNE Cernavodă (câte 1probă/semestru);</w:t>
      </w:r>
    </w:p>
    <w:p w:rsidR="00A723CC" w:rsidRPr="00A723CC" w:rsidRDefault="00A723CC" w:rsidP="00BF7756">
      <w:pPr>
        <w:pStyle w:val="Corptext3"/>
        <w:numPr>
          <w:ilvl w:val="0"/>
          <w:numId w:val="35"/>
        </w:numPr>
        <w:spacing w:after="0" w:line="276" w:lineRule="auto"/>
        <w:jc w:val="both"/>
        <w:rPr>
          <w:rFonts w:ascii="Arial" w:hAnsi="Arial" w:cs="Arial"/>
          <w:sz w:val="24"/>
          <w:szCs w:val="24"/>
        </w:rPr>
      </w:pPr>
      <w:r w:rsidRPr="00A723CC">
        <w:rPr>
          <w:rFonts w:ascii="Arial" w:hAnsi="Arial" w:cs="Arial"/>
          <w:sz w:val="24"/>
          <w:szCs w:val="24"/>
        </w:rPr>
        <w:t>colectări şi pregătiri, în vederea efectuării măsurătorilor gama spectrometrice la SSRM Constanţa, ale probelor de apă de suprafaţă (9 locaţii), apă de foraj (1 locaţie), vegetaţie spontană (10 locaţii), sol necultivat (10 locaţii), sol arabil (3 locaţii)</w:t>
      </w:r>
    </w:p>
    <w:p w:rsidR="00A723CC" w:rsidRPr="00A723CC" w:rsidRDefault="00A723CC" w:rsidP="00BF7756">
      <w:pPr>
        <w:pStyle w:val="Corptext3"/>
        <w:numPr>
          <w:ilvl w:val="0"/>
          <w:numId w:val="35"/>
        </w:numPr>
        <w:spacing w:after="0" w:line="276" w:lineRule="auto"/>
        <w:jc w:val="both"/>
        <w:rPr>
          <w:rFonts w:ascii="Arial" w:hAnsi="Arial" w:cs="Arial"/>
          <w:sz w:val="24"/>
          <w:szCs w:val="24"/>
        </w:rPr>
      </w:pPr>
      <w:r w:rsidRPr="00A723CC">
        <w:rPr>
          <w:rFonts w:ascii="Arial" w:hAnsi="Arial" w:cs="Arial"/>
          <w:sz w:val="24"/>
          <w:szCs w:val="24"/>
        </w:rPr>
        <w:t xml:space="preserve">măsurători ale conţinutului de tritiu în probe de apă de suprafaţă (10 locaţii), apă de foraj (1 locaţie), precipitaţii ( 1 locaţie), vegetaţie spontană (10 locaţii), sol necultivat (10 locaţii), sol arabil (3 locaţii). </w:t>
      </w:r>
    </w:p>
    <w:p w:rsidR="00A723CC" w:rsidRPr="00A723CC" w:rsidRDefault="00A723CC" w:rsidP="00BF7756">
      <w:pPr>
        <w:pStyle w:val="Indentcorptext2"/>
        <w:spacing w:line="276" w:lineRule="auto"/>
        <w:ind w:firstLine="709"/>
        <w:rPr>
          <w:rFonts w:ascii="Arial" w:hAnsi="Arial" w:cs="Arial"/>
          <w:sz w:val="24"/>
          <w:szCs w:val="24"/>
          <w:lang w:val="ro-RO"/>
        </w:rPr>
      </w:pPr>
      <w:r w:rsidRPr="00A723CC">
        <w:rPr>
          <w:rFonts w:ascii="Arial" w:hAnsi="Arial" w:cs="Arial"/>
          <w:sz w:val="24"/>
          <w:szCs w:val="24"/>
          <w:lang w:val="ro-RO"/>
        </w:rPr>
        <w:t xml:space="preserve"> În cursul anului 2015, la SSRM Cernavodă au  fost efectuate </w:t>
      </w:r>
      <w:r w:rsidRPr="00A723CC">
        <w:rPr>
          <w:rFonts w:ascii="Arial" w:hAnsi="Arial" w:cs="Arial"/>
          <w:sz w:val="24"/>
          <w:szCs w:val="24"/>
          <w:shd w:val="clear" w:color="auto" w:fill="FFFFFF" w:themeFill="background1"/>
          <w:lang w:val="ro-RO"/>
        </w:rPr>
        <w:t>8598</w:t>
      </w:r>
      <w:r w:rsidRPr="00A723CC">
        <w:rPr>
          <w:rFonts w:ascii="Arial" w:hAnsi="Arial" w:cs="Arial"/>
          <w:sz w:val="24"/>
          <w:szCs w:val="24"/>
          <w:lang w:val="ro-RO"/>
        </w:rPr>
        <w:t xml:space="preserve"> </w:t>
      </w:r>
      <w:r w:rsidRPr="00A723CC">
        <w:rPr>
          <w:rFonts w:ascii="Arial" w:hAnsi="Arial" w:cs="Arial"/>
          <w:color w:val="000000"/>
          <w:sz w:val="24"/>
          <w:szCs w:val="24"/>
          <w:lang w:val="ro-RO"/>
        </w:rPr>
        <w:t>analize beta</w:t>
      </w:r>
      <w:r w:rsidRPr="00A723CC">
        <w:rPr>
          <w:rFonts w:ascii="Arial" w:hAnsi="Arial" w:cs="Arial"/>
          <w:color w:val="FF0000"/>
          <w:sz w:val="24"/>
          <w:szCs w:val="24"/>
          <w:lang w:val="ro-RO"/>
        </w:rPr>
        <w:t xml:space="preserve"> </w:t>
      </w:r>
      <w:r w:rsidRPr="00A723CC">
        <w:rPr>
          <w:rFonts w:ascii="Arial" w:hAnsi="Arial" w:cs="Arial"/>
          <w:sz w:val="24"/>
          <w:szCs w:val="24"/>
          <w:lang w:val="ro-RO"/>
        </w:rPr>
        <w:t xml:space="preserve">globale. </w:t>
      </w:r>
    </w:p>
    <w:p w:rsidR="00A723CC" w:rsidRPr="00A723CC" w:rsidRDefault="00A723CC" w:rsidP="00BF7756">
      <w:pPr>
        <w:pStyle w:val="Indentcorptext2"/>
        <w:tabs>
          <w:tab w:val="center" w:pos="4536"/>
        </w:tabs>
        <w:spacing w:line="276" w:lineRule="auto"/>
        <w:rPr>
          <w:rFonts w:ascii="Arial" w:hAnsi="Arial" w:cs="Arial"/>
          <w:sz w:val="24"/>
          <w:szCs w:val="24"/>
          <w:lang w:val="ro-RO"/>
        </w:rPr>
      </w:pPr>
      <w:r w:rsidRPr="00A723CC">
        <w:rPr>
          <w:rFonts w:ascii="Arial" w:hAnsi="Arial" w:cs="Arial"/>
          <w:sz w:val="24"/>
          <w:szCs w:val="24"/>
          <w:lang w:val="ro-RO"/>
        </w:rPr>
        <w:t>Distribuţia procentuală a analizelor beta globale, în funcţie de tipul de probă investigat, este prezentată în figura IX.3.</w:t>
      </w:r>
    </w:p>
    <w:p w:rsidR="00A723CC" w:rsidRDefault="00A723CC" w:rsidP="00A723CC">
      <w:pPr>
        <w:pStyle w:val="Indentcorptext2"/>
        <w:tabs>
          <w:tab w:val="center" w:pos="4536"/>
        </w:tabs>
        <w:jc w:val="center"/>
        <w:rPr>
          <w:rFonts w:ascii="Arial" w:hAnsi="Arial" w:cs="Arial"/>
          <w:sz w:val="24"/>
          <w:szCs w:val="24"/>
        </w:rPr>
      </w:pPr>
      <w:bookmarkStart w:id="31" w:name="_MON_1432725665"/>
      <w:bookmarkStart w:id="32" w:name="_MON_1432725775"/>
      <w:bookmarkStart w:id="33" w:name="_MON_1465455785"/>
      <w:bookmarkStart w:id="34" w:name="_MON_1465456010"/>
      <w:bookmarkStart w:id="35" w:name="_MON_1399296117"/>
      <w:bookmarkStart w:id="36" w:name="_MON_1399296511"/>
      <w:bookmarkStart w:id="37" w:name="_MON_1399297211"/>
      <w:bookmarkStart w:id="38" w:name="_MON_1399297594"/>
      <w:bookmarkStart w:id="39" w:name="_MON_1399300340"/>
      <w:bookmarkStart w:id="40" w:name="_MON_1399300661"/>
      <w:bookmarkStart w:id="41" w:name="_MON_1431957525"/>
      <w:bookmarkEnd w:id="31"/>
      <w:bookmarkEnd w:id="32"/>
      <w:bookmarkEnd w:id="33"/>
      <w:bookmarkEnd w:id="34"/>
      <w:bookmarkEnd w:id="35"/>
      <w:bookmarkEnd w:id="36"/>
      <w:bookmarkEnd w:id="37"/>
      <w:bookmarkEnd w:id="38"/>
      <w:bookmarkEnd w:id="39"/>
      <w:bookmarkEnd w:id="40"/>
      <w:bookmarkEnd w:id="41"/>
      <w:r>
        <w:rPr>
          <w:noProof/>
          <w:lang w:val="en-US" w:eastAsia="en-US"/>
        </w:rPr>
        <w:drawing>
          <wp:inline distT="0" distB="0" distL="0" distR="0" wp14:anchorId="48A92A54" wp14:editId="1CC9C22B">
            <wp:extent cx="6096000" cy="2275205"/>
            <wp:effectExtent l="0" t="0" r="0" b="0"/>
            <wp:docPr id="3" name="Diagramă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723CC" w:rsidRPr="00BF7756" w:rsidRDefault="00A723CC" w:rsidP="00BF7756">
      <w:pPr>
        <w:pStyle w:val="Corptext3"/>
        <w:ind w:firstLine="720"/>
        <w:rPr>
          <w:sz w:val="24"/>
          <w:szCs w:val="24"/>
        </w:rPr>
      </w:pPr>
      <w:r w:rsidRPr="00BF7756">
        <w:rPr>
          <w:sz w:val="24"/>
          <w:szCs w:val="24"/>
        </w:rPr>
        <w:t>Deasemeni, la SSRM Cernavodă au  fost efectuate 1629 analize beta spectrometrice pentru determinări de tritiu pe probe colectate în cadrul programului de monitorizare a funcţionării CNE Cernavodă.</w:t>
      </w:r>
    </w:p>
    <w:p w:rsidR="00A723CC" w:rsidRPr="00BF7756" w:rsidRDefault="00A723CC" w:rsidP="00BF7756">
      <w:pPr>
        <w:pStyle w:val="Indentcorptext2"/>
        <w:tabs>
          <w:tab w:val="center" w:pos="4536"/>
        </w:tabs>
        <w:spacing w:line="240" w:lineRule="auto"/>
        <w:rPr>
          <w:sz w:val="24"/>
          <w:szCs w:val="24"/>
          <w:lang w:val="pt-BR"/>
        </w:rPr>
      </w:pPr>
      <w:r w:rsidRPr="00BF7756">
        <w:rPr>
          <w:sz w:val="24"/>
          <w:szCs w:val="24"/>
          <w:lang w:val="pt-BR"/>
        </w:rPr>
        <w:t>Distribuţia procentuală a analizelor beta spectrometrice, în funcţie de tipul de probă investigat, este prezentată în figura IX.4.</w:t>
      </w:r>
    </w:p>
    <w:p w:rsidR="00A723CC" w:rsidRPr="007105C6" w:rsidRDefault="00A723CC" w:rsidP="00A723CC">
      <w:pPr>
        <w:pStyle w:val="Indentcorptext2"/>
        <w:tabs>
          <w:tab w:val="center" w:pos="4536"/>
        </w:tabs>
        <w:rPr>
          <w:rFonts w:ascii="Arial" w:hAnsi="Arial" w:cs="Arial"/>
          <w:sz w:val="24"/>
          <w:szCs w:val="24"/>
          <w:lang w:val="pt-BR"/>
        </w:rPr>
      </w:pPr>
    </w:p>
    <w:p w:rsidR="00A723CC" w:rsidRPr="00436EEE" w:rsidRDefault="00A723CC" w:rsidP="00A723CC">
      <w:pPr>
        <w:pStyle w:val="Indentcorptext2"/>
        <w:tabs>
          <w:tab w:val="center" w:pos="4536"/>
        </w:tabs>
        <w:jc w:val="center"/>
        <w:rPr>
          <w:rFonts w:ascii="Arial" w:hAnsi="Arial" w:cs="Arial"/>
          <w:sz w:val="24"/>
          <w:szCs w:val="24"/>
        </w:rPr>
      </w:pPr>
      <w:bookmarkStart w:id="42" w:name="_MON_1466542931"/>
      <w:bookmarkStart w:id="43" w:name="_MON_1370532587"/>
      <w:bookmarkStart w:id="44" w:name="_MON_1370532666"/>
      <w:bookmarkStart w:id="45" w:name="_MON_1370532865"/>
      <w:bookmarkStart w:id="46" w:name="_MON_1399296943"/>
      <w:bookmarkStart w:id="47" w:name="_MON_1399296970"/>
      <w:bookmarkStart w:id="48" w:name="_MON_1399297102"/>
      <w:bookmarkStart w:id="49" w:name="_MON_1399297121"/>
      <w:bookmarkStart w:id="50" w:name="_MON_1399297300"/>
      <w:bookmarkStart w:id="51" w:name="_MON_1399300391"/>
      <w:bookmarkStart w:id="52" w:name="_MON_1399300526"/>
      <w:bookmarkStart w:id="53" w:name="_MON_1399300768"/>
      <w:bookmarkStart w:id="54" w:name="_MON_1432727932"/>
      <w:bookmarkEnd w:id="42"/>
      <w:bookmarkEnd w:id="43"/>
      <w:bookmarkEnd w:id="44"/>
      <w:bookmarkEnd w:id="45"/>
      <w:bookmarkEnd w:id="46"/>
      <w:bookmarkEnd w:id="47"/>
      <w:bookmarkEnd w:id="48"/>
      <w:bookmarkEnd w:id="49"/>
      <w:bookmarkEnd w:id="50"/>
      <w:bookmarkEnd w:id="51"/>
      <w:bookmarkEnd w:id="52"/>
      <w:bookmarkEnd w:id="53"/>
      <w:bookmarkEnd w:id="54"/>
      <w:r>
        <w:rPr>
          <w:noProof/>
          <w:lang w:val="en-US" w:eastAsia="en-US"/>
        </w:rPr>
        <w:lastRenderedPageBreak/>
        <w:drawing>
          <wp:inline distT="0" distB="0" distL="0" distR="0">
            <wp:extent cx="6096000" cy="2275205"/>
            <wp:effectExtent l="0" t="0" r="0" b="0"/>
            <wp:docPr id="2" name="Diagramă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723CC" w:rsidRPr="00BF7756" w:rsidRDefault="00A723CC" w:rsidP="00BF7756">
      <w:pPr>
        <w:tabs>
          <w:tab w:val="left" w:pos="4536"/>
        </w:tabs>
        <w:spacing w:line="276" w:lineRule="auto"/>
        <w:rPr>
          <w:rFonts w:ascii="Arial" w:hAnsi="Arial" w:cs="Arial"/>
          <w:b/>
        </w:rPr>
      </w:pPr>
      <w:r w:rsidRPr="00BF7756">
        <w:rPr>
          <w:rFonts w:ascii="Arial" w:hAnsi="Arial" w:cs="Arial"/>
          <w:bCs/>
          <w:color w:val="000000"/>
          <w:lang w:val="ro-RO"/>
        </w:rPr>
        <w:t xml:space="preserve">           </w:t>
      </w:r>
      <w:r w:rsidRPr="00BF7756">
        <w:rPr>
          <w:rFonts w:ascii="Arial" w:hAnsi="Arial" w:cs="Arial"/>
          <w:b/>
        </w:rPr>
        <w:t>Aparatura utilizată</w:t>
      </w:r>
    </w:p>
    <w:p w:rsidR="00674B63" w:rsidRDefault="00A723CC" w:rsidP="00674B63">
      <w:pPr>
        <w:pStyle w:val="Corptext2"/>
        <w:tabs>
          <w:tab w:val="left" w:pos="1134"/>
          <w:tab w:val="center" w:pos="4536"/>
        </w:tabs>
        <w:spacing w:line="276" w:lineRule="auto"/>
        <w:ind w:firstLine="709"/>
        <w:rPr>
          <w:rFonts w:ascii="Arial" w:hAnsi="Arial" w:cs="Arial"/>
        </w:rPr>
      </w:pPr>
      <w:r w:rsidRPr="00BF7756">
        <w:rPr>
          <w:rFonts w:ascii="Arial" w:hAnsi="Arial" w:cs="Arial"/>
        </w:rPr>
        <w:t xml:space="preserve">Sistemele de detecţie utilizate în vederea efectuării măsurătorilor beta globale sunt alcătuite din detectori de radiaţii beta cu scintilator din plastic şi din sisteme electronice de numărare pentru prelucrarea semnalelor obţinute la interacţia radiaţiilor beta cu volumul sensibil al detectorului.  În cursul anului 2015, la SSRM Constanţa a fost utilizat un sistem de numărare tip Bicron, iar la SSRM Cernavodă sisteme de numărare tip Bicron şi Thermo. </w:t>
      </w:r>
    </w:p>
    <w:p w:rsidR="00674B63" w:rsidRDefault="00A723CC" w:rsidP="00674B63">
      <w:pPr>
        <w:pStyle w:val="Corptext2"/>
        <w:tabs>
          <w:tab w:val="left" w:pos="1134"/>
          <w:tab w:val="center" w:pos="4536"/>
        </w:tabs>
        <w:spacing w:line="276" w:lineRule="auto"/>
        <w:ind w:firstLine="709"/>
        <w:rPr>
          <w:rFonts w:ascii="Arial" w:hAnsi="Arial" w:cs="Arial"/>
          <w:lang w:val="ro-RO"/>
        </w:rPr>
      </w:pPr>
      <w:r w:rsidRPr="00BF7756">
        <w:rPr>
          <w:rFonts w:ascii="Arial" w:hAnsi="Arial" w:cs="Arial"/>
          <w:lang w:val="ro-RO" w:eastAsia="en-US"/>
        </w:rPr>
        <w:t>Etalonarea aparaturii de măsurare beta globală a fost efectuată cu surse de etalonare de (Sr – Y) 90 de activitate cunoscută</w:t>
      </w:r>
      <w:r w:rsidRPr="00BF7756">
        <w:rPr>
          <w:rFonts w:ascii="Arial" w:hAnsi="Arial" w:cs="Arial"/>
          <w:lang w:val="ro-RO"/>
        </w:rPr>
        <w:t>.</w:t>
      </w:r>
      <w:r w:rsidR="00674B63">
        <w:rPr>
          <w:rFonts w:ascii="Arial" w:hAnsi="Arial" w:cs="Arial"/>
          <w:lang w:val="ro-RO"/>
        </w:rPr>
        <w:t xml:space="preserve"> </w:t>
      </w:r>
    </w:p>
    <w:p w:rsidR="00A723CC" w:rsidRPr="00BF7756" w:rsidRDefault="00A723CC" w:rsidP="00674B63">
      <w:pPr>
        <w:pStyle w:val="Corptext2"/>
        <w:tabs>
          <w:tab w:val="left" w:pos="1134"/>
          <w:tab w:val="center" w:pos="4536"/>
        </w:tabs>
        <w:spacing w:line="276" w:lineRule="auto"/>
        <w:ind w:firstLine="709"/>
        <w:rPr>
          <w:rFonts w:ascii="Arial" w:hAnsi="Arial" w:cs="Arial"/>
          <w:lang w:val="pt-BR"/>
        </w:rPr>
      </w:pPr>
      <w:r w:rsidRPr="00BF7756">
        <w:rPr>
          <w:rFonts w:ascii="Arial" w:hAnsi="Arial" w:cs="Arial"/>
          <w:lang w:val="pl-PL"/>
        </w:rPr>
        <w:t xml:space="preserve">Determinarea concentraţiilor radionuclizilor gama emiţători (naturali si artificiali) în probele de mediu se realizează prin spectrometrie gama de înaltă rezoluţie. </w:t>
      </w:r>
      <w:r w:rsidRPr="00BF7756">
        <w:rPr>
          <w:rFonts w:ascii="Arial" w:hAnsi="Arial" w:cs="Arial"/>
          <w:lang w:val="pt-BR"/>
        </w:rPr>
        <w:t>Pentru măsurarea gama spectrometrică a probelor s-au utilizat două sisteme de masură:</w:t>
      </w:r>
    </w:p>
    <w:p w:rsidR="00A723CC" w:rsidRPr="00BF7756" w:rsidRDefault="00A723CC" w:rsidP="00BF7756">
      <w:pPr>
        <w:pStyle w:val="Indentcorptext2"/>
        <w:tabs>
          <w:tab w:val="center" w:pos="4536"/>
        </w:tabs>
        <w:spacing w:line="276" w:lineRule="auto"/>
        <w:ind w:firstLine="709"/>
        <w:rPr>
          <w:rFonts w:ascii="Arial" w:hAnsi="Arial" w:cs="Arial"/>
          <w:sz w:val="24"/>
          <w:szCs w:val="24"/>
          <w:lang w:val="pt-BR"/>
        </w:rPr>
      </w:pPr>
      <w:r w:rsidRPr="00BF7756">
        <w:rPr>
          <w:rFonts w:ascii="Arial" w:hAnsi="Arial" w:cs="Arial"/>
          <w:sz w:val="24"/>
          <w:szCs w:val="24"/>
          <w:lang w:val="pt-BR"/>
        </w:rPr>
        <w:t>- analizor multicanal DSA 1000 împreună cu un detector  BeGe cu rezoluţia de        2.1 keV la energia de 1332 keV şi eficacitatea relativă de 35%. Etalonarea  s-a efectuat cu o sursă de etalonare conţinând un amestec de: Cd-109, Ce-139, Co-57, Co-60, Cs-137,       Sn-113, Sr-85, Y-88, Hg-203.</w:t>
      </w:r>
    </w:p>
    <w:p w:rsidR="00A723CC" w:rsidRPr="00BF7756" w:rsidRDefault="00A723CC" w:rsidP="00BF7756">
      <w:pPr>
        <w:pStyle w:val="Indentcorptext2"/>
        <w:tabs>
          <w:tab w:val="center" w:pos="4536"/>
        </w:tabs>
        <w:spacing w:line="276" w:lineRule="auto"/>
        <w:rPr>
          <w:rFonts w:ascii="Arial" w:hAnsi="Arial" w:cs="Arial"/>
          <w:sz w:val="24"/>
          <w:szCs w:val="24"/>
          <w:lang w:val="pt-BR"/>
        </w:rPr>
      </w:pPr>
      <w:r w:rsidRPr="00BF7756">
        <w:rPr>
          <w:rFonts w:ascii="Arial" w:hAnsi="Arial" w:cs="Arial"/>
          <w:sz w:val="24"/>
          <w:szCs w:val="24"/>
          <w:lang w:val="pt-BR"/>
        </w:rPr>
        <w:t xml:space="preserve">- analizor multicanal Spectrum Master 92X împreună cu un detector  HPGe cu rezoluţia de 1,8 keV la energia de 1332 keV şi eficacitatea relativă de 13%. Etalonarea  s-a efectuat cu  surse de etalonare de activitate cunoscută conţinând: Am- 241, Co-60, Ba-133, Cs-137 şi Eu-152. </w:t>
      </w:r>
    </w:p>
    <w:p w:rsidR="00A723CC" w:rsidRPr="00BF7756" w:rsidRDefault="00674B63" w:rsidP="00674B63">
      <w:pPr>
        <w:pStyle w:val="Indentcorptext2"/>
        <w:tabs>
          <w:tab w:val="center" w:pos="4536"/>
        </w:tabs>
        <w:spacing w:line="276" w:lineRule="auto"/>
        <w:ind w:left="0"/>
        <w:rPr>
          <w:rFonts w:ascii="Arial" w:hAnsi="Arial" w:cs="Arial"/>
          <w:sz w:val="24"/>
          <w:szCs w:val="24"/>
          <w:lang w:val="pt-BR"/>
        </w:rPr>
      </w:pPr>
      <w:r>
        <w:rPr>
          <w:rFonts w:ascii="Arial" w:hAnsi="Arial" w:cs="Arial"/>
          <w:sz w:val="24"/>
          <w:szCs w:val="24"/>
          <w:lang w:val="pt-BR"/>
        </w:rPr>
        <w:tab/>
      </w:r>
      <w:r w:rsidR="00A723CC" w:rsidRPr="00BF7756">
        <w:rPr>
          <w:rFonts w:ascii="Arial" w:hAnsi="Arial" w:cs="Arial"/>
          <w:sz w:val="24"/>
          <w:szCs w:val="24"/>
          <w:lang w:val="pt-BR"/>
        </w:rPr>
        <w:t>Determinarea concentraţiilor tritiului în probe s</w:t>
      </w:r>
      <w:r w:rsidR="00A723CC" w:rsidRPr="00BF7756">
        <w:rPr>
          <w:rFonts w:ascii="Arial" w:hAnsi="Arial" w:cs="Arial"/>
          <w:sz w:val="24"/>
          <w:szCs w:val="24"/>
        </w:rPr>
        <w:t>-</w:t>
      </w:r>
      <w:r w:rsidR="00A723CC" w:rsidRPr="00BF7756">
        <w:rPr>
          <w:rFonts w:ascii="Arial" w:hAnsi="Arial" w:cs="Arial"/>
          <w:sz w:val="24"/>
          <w:szCs w:val="24"/>
          <w:lang w:val="pt-BR"/>
        </w:rPr>
        <w:t>a realizat prin analiză beta spectrometrică, utilizându-se un contor</w:t>
      </w:r>
      <w:r w:rsidR="00A723CC" w:rsidRPr="00BF7756">
        <w:rPr>
          <w:rFonts w:ascii="Arial" w:hAnsi="Arial" w:cs="Arial"/>
          <w:sz w:val="24"/>
          <w:szCs w:val="24"/>
          <w:lang w:val="ro-RO"/>
        </w:rPr>
        <w:t xml:space="preserve"> cu scintilatori lichizi de fond scăzut, prevăzut cu unitate automată de schimbare a probelor, Tri-Carb 2770TR/SL.</w:t>
      </w:r>
    </w:p>
    <w:p w:rsidR="00897C52" w:rsidRPr="00980254" w:rsidRDefault="00897C52" w:rsidP="003227B8">
      <w:pPr>
        <w:jc w:val="both"/>
        <w:rPr>
          <w:rFonts w:ascii="Arial" w:hAnsi="Arial" w:cs="Arial"/>
          <w:color w:val="FF0000"/>
        </w:rPr>
      </w:pPr>
    </w:p>
    <w:p w:rsidR="00897C52" w:rsidRPr="00BF7756" w:rsidRDefault="00F843BB" w:rsidP="003227B8">
      <w:pPr>
        <w:numPr>
          <w:ilvl w:val="2"/>
          <w:numId w:val="3"/>
        </w:numPr>
        <w:tabs>
          <w:tab w:val="left" w:pos="1276"/>
          <w:tab w:val="left" w:leader="dot" w:pos="9356"/>
        </w:tabs>
        <w:ind w:left="993"/>
        <w:jc w:val="both"/>
        <w:rPr>
          <w:rFonts w:ascii="Arial" w:hAnsi="Arial" w:cs="Arial"/>
          <w:i/>
          <w:lang w:val="ro-RO"/>
        </w:rPr>
      </w:pPr>
      <w:r w:rsidRPr="00BF7756">
        <w:rPr>
          <w:rFonts w:ascii="Arial" w:hAnsi="Arial" w:cs="Arial"/>
          <w:i/>
          <w:lang w:val="ro-RO"/>
        </w:rPr>
        <w:t xml:space="preserve">Radioactivitatea aerului </w:t>
      </w:r>
      <w:r w:rsidR="00546FB6" w:rsidRPr="00BF7756">
        <w:rPr>
          <w:rFonts w:ascii="Arial" w:hAnsi="Arial" w:cs="Arial"/>
          <w:i/>
          <w:lang w:val="ro-RO"/>
        </w:rPr>
        <w:t xml:space="preserve"> </w:t>
      </w:r>
    </w:p>
    <w:p w:rsidR="00897C52" w:rsidRPr="00BF7756" w:rsidRDefault="00897C52" w:rsidP="003227B8">
      <w:pPr>
        <w:autoSpaceDE w:val="0"/>
        <w:autoSpaceDN w:val="0"/>
        <w:adjustRightInd w:val="0"/>
        <w:jc w:val="both"/>
        <w:rPr>
          <w:rFonts w:ascii="Arial" w:hAnsi="Arial" w:cs="Arial"/>
          <w:b/>
          <w:i/>
          <w:lang w:val="it-IT"/>
        </w:rPr>
      </w:pPr>
      <w:r w:rsidRPr="00BF7756">
        <w:rPr>
          <w:rFonts w:ascii="Arial" w:hAnsi="Arial" w:cs="Arial"/>
          <w:lang w:val="it-IT"/>
        </w:rPr>
        <w:tab/>
      </w:r>
    </w:p>
    <w:p w:rsidR="00897C52" w:rsidRPr="00BF7756" w:rsidRDefault="00897C52" w:rsidP="003227B8">
      <w:pPr>
        <w:pStyle w:val="Corptext3"/>
        <w:numPr>
          <w:ilvl w:val="0"/>
          <w:numId w:val="39"/>
        </w:numPr>
        <w:spacing w:after="0"/>
        <w:jc w:val="both"/>
        <w:rPr>
          <w:rFonts w:ascii="Arial" w:hAnsi="Arial" w:cs="Arial"/>
          <w:i/>
          <w:sz w:val="24"/>
          <w:szCs w:val="24"/>
        </w:rPr>
      </w:pPr>
      <w:r w:rsidRPr="00BF7756">
        <w:rPr>
          <w:rFonts w:ascii="Arial" w:hAnsi="Arial" w:cs="Arial"/>
          <w:b/>
          <w:sz w:val="24"/>
          <w:szCs w:val="24"/>
        </w:rPr>
        <w:t xml:space="preserve"> Indicatori specifici - </w:t>
      </w:r>
      <w:r w:rsidRPr="00BF7756">
        <w:rPr>
          <w:rFonts w:ascii="Arial" w:hAnsi="Arial" w:cs="Arial"/>
          <w:i/>
          <w:sz w:val="24"/>
          <w:szCs w:val="24"/>
        </w:rPr>
        <w:t>nu este cazul</w:t>
      </w:r>
    </w:p>
    <w:p w:rsidR="00897C52" w:rsidRPr="00BF7756" w:rsidRDefault="00897C52" w:rsidP="003227B8">
      <w:pPr>
        <w:pStyle w:val="Corptext3"/>
        <w:jc w:val="both"/>
        <w:rPr>
          <w:rFonts w:ascii="Arial" w:hAnsi="Arial" w:cs="Arial"/>
          <w:b/>
          <w:sz w:val="24"/>
          <w:szCs w:val="24"/>
        </w:rPr>
      </w:pPr>
      <w:r w:rsidRPr="00BF7756">
        <w:rPr>
          <w:rFonts w:ascii="Arial" w:hAnsi="Arial" w:cs="Arial"/>
          <w:b/>
          <w:sz w:val="24"/>
          <w:szCs w:val="24"/>
        </w:rPr>
        <w:t>B. Alte date și informații specifice</w:t>
      </w:r>
    </w:p>
    <w:p w:rsidR="00897C52" w:rsidRPr="00BF7756" w:rsidRDefault="00897C52" w:rsidP="003227B8">
      <w:pPr>
        <w:autoSpaceDE w:val="0"/>
        <w:autoSpaceDN w:val="0"/>
        <w:adjustRightInd w:val="0"/>
        <w:ind w:firstLine="720"/>
        <w:jc w:val="both"/>
        <w:rPr>
          <w:rFonts w:ascii="Arial" w:hAnsi="Arial" w:cs="Arial"/>
          <w:lang w:val="it-IT"/>
        </w:rPr>
      </w:pPr>
      <w:r w:rsidRPr="00BF7756">
        <w:rPr>
          <w:rFonts w:ascii="Arial" w:hAnsi="Arial" w:cs="Arial"/>
          <w:lang w:val="it-IT"/>
        </w:rPr>
        <w:t>Monitorizarea radioactivității aerului este calea cea mai rapidă de identificare a prezenței radionuclizilor naturali și artificiali în atmosferă, peste limitele fondului natural de radiații.</w:t>
      </w:r>
    </w:p>
    <w:p w:rsidR="00897C52" w:rsidRPr="00BF7756" w:rsidRDefault="00897C52" w:rsidP="003227B8">
      <w:pPr>
        <w:autoSpaceDE w:val="0"/>
        <w:autoSpaceDN w:val="0"/>
        <w:adjustRightInd w:val="0"/>
        <w:ind w:firstLine="720"/>
        <w:jc w:val="both"/>
        <w:rPr>
          <w:rFonts w:ascii="Arial" w:hAnsi="Arial" w:cs="Arial"/>
          <w:lang w:val="it-IT"/>
        </w:rPr>
      </w:pPr>
      <w:r w:rsidRPr="00BF7756">
        <w:rPr>
          <w:rFonts w:ascii="Arial" w:hAnsi="Arial" w:cs="Arial"/>
          <w:lang w:val="it-IT"/>
        </w:rPr>
        <w:lastRenderedPageBreak/>
        <w:t>In acest scop sunt efectuate determinări ale debitului dozei gama, determinări beta globale și gama spectrometrice asupra aerosolilor atmosferici, precum și asupra depunerilor atmosferice totale ( umede și uscate) .</w:t>
      </w:r>
    </w:p>
    <w:p w:rsidR="00897C52" w:rsidRPr="00BF7756" w:rsidRDefault="00897C52" w:rsidP="003227B8">
      <w:pPr>
        <w:autoSpaceDE w:val="0"/>
        <w:autoSpaceDN w:val="0"/>
        <w:adjustRightInd w:val="0"/>
        <w:ind w:firstLine="720"/>
        <w:jc w:val="both"/>
        <w:rPr>
          <w:rFonts w:ascii="Arial" w:hAnsi="Arial" w:cs="Arial"/>
          <w:lang w:val="it-IT"/>
        </w:rPr>
      </w:pPr>
    </w:p>
    <w:p w:rsidR="00897C52" w:rsidRPr="00BF7756" w:rsidRDefault="00897C52" w:rsidP="004136DB">
      <w:pPr>
        <w:pStyle w:val="Listparagraf"/>
        <w:numPr>
          <w:ilvl w:val="0"/>
          <w:numId w:val="40"/>
        </w:numPr>
        <w:autoSpaceDE w:val="0"/>
        <w:autoSpaceDN w:val="0"/>
        <w:adjustRightInd w:val="0"/>
        <w:spacing w:after="0" w:line="240" w:lineRule="auto"/>
        <w:jc w:val="both"/>
        <w:rPr>
          <w:rFonts w:ascii="Arial" w:hAnsi="Arial" w:cs="Arial"/>
          <w:b/>
          <w:sz w:val="24"/>
          <w:szCs w:val="24"/>
          <w:lang w:val="it-IT"/>
        </w:rPr>
      </w:pPr>
      <w:r w:rsidRPr="00BF7756">
        <w:rPr>
          <w:rFonts w:ascii="Arial" w:hAnsi="Arial" w:cs="Arial"/>
          <w:b/>
          <w:sz w:val="24"/>
          <w:szCs w:val="24"/>
          <w:lang w:val="it-IT"/>
        </w:rPr>
        <w:t>Debitul dozei gama absorbite în aer</w:t>
      </w:r>
    </w:p>
    <w:p w:rsidR="00897C52" w:rsidRPr="00BF7756" w:rsidRDefault="00897C52" w:rsidP="003227B8">
      <w:pPr>
        <w:pStyle w:val="Corptext3"/>
        <w:ind w:firstLine="720"/>
        <w:jc w:val="both"/>
        <w:rPr>
          <w:rFonts w:ascii="Arial" w:hAnsi="Arial" w:cs="Arial"/>
          <w:sz w:val="24"/>
          <w:szCs w:val="24"/>
        </w:rPr>
      </w:pPr>
      <w:r w:rsidRPr="00BF7756">
        <w:rPr>
          <w:rFonts w:ascii="Arial" w:hAnsi="Arial" w:cs="Arial"/>
          <w:sz w:val="24"/>
          <w:szCs w:val="24"/>
        </w:rPr>
        <w:t>Determinarea debitului dozei gama se realizează continuu cu ajutorul staţiilor automate de determinare a debitului dozei gama ambientală, valorile obținute dau o primă indicație asupra radioactivității din atmosferă. Acestea sunt alcătuite din doi detectori Geiger Muller, care măsoară şi mediază echivalentul debitului dozei gama din 10 în 10 secunde. În județul Constanța există 2</w:t>
      </w:r>
      <w:r w:rsidR="00BF7756" w:rsidRPr="00BF7756">
        <w:rPr>
          <w:rFonts w:ascii="Arial" w:hAnsi="Arial" w:cs="Arial"/>
          <w:sz w:val="24"/>
          <w:szCs w:val="24"/>
        </w:rPr>
        <w:t>7</w:t>
      </w:r>
      <w:r w:rsidRPr="00BF7756">
        <w:rPr>
          <w:rFonts w:ascii="Arial" w:hAnsi="Arial" w:cs="Arial"/>
          <w:sz w:val="24"/>
          <w:szCs w:val="24"/>
        </w:rPr>
        <w:t xml:space="preserve"> stații automate, 2</w:t>
      </w:r>
      <w:r w:rsidR="00BF7756" w:rsidRPr="00BF7756">
        <w:rPr>
          <w:rFonts w:ascii="Arial" w:hAnsi="Arial" w:cs="Arial"/>
          <w:sz w:val="24"/>
          <w:szCs w:val="24"/>
        </w:rPr>
        <w:t>3</w:t>
      </w:r>
      <w:r w:rsidRPr="00BF7756">
        <w:rPr>
          <w:rFonts w:ascii="Arial" w:hAnsi="Arial" w:cs="Arial"/>
          <w:sz w:val="24"/>
          <w:szCs w:val="24"/>
        </w:rPr>
        <w:t xml:space="preserve"> fiind amplasate în jurul CNE Cernavodă și câte una în localităţile Constanța, Mangalia, Mihail Kogălniceanu și Medgidia.   </w:t>
      </w:r>
    </w:p>
    <w:p w:rsidR="00897C52" w:rsidRPr="00BF7756" w:rsidRDefault="00897C52" w:rsidP="003227B8">
      <w:pPr>
        <w:pStyle w:val="Corptext3"/>
        <w:ind w:firstLine="720"/>
        <w:jc w:val="both"/>
        <w:rPr>
          <w:rFonts w:ascii="Arial" w:hAnsi="Arial" w:cs="Arial"/>
          <w:sz w:val="24"/>
          <w:szCs w:val="24"/>
        </w:rPr>
      </w:pPr>
      <w:r w:rsidRPr="00BF7756">
        <w:rPr>
          <w:rFonts w:ascii="Arial" w:hAnsi="Arial" w:cs="Arial"/>
          <w:sz w:val="24"/>
          <w:szCs w:val="24"/>
        </w:rPr>
        <w:t xml:space="preserve">Debitul dozei gama s-a situat în limita de variaţie a fondului natural. </w:t>
      </w:r>
    </w:p>
    <w:p w:rsidR="00897C52" w:rsidRPr="00BF7756" w:rsidRDefault="00897C52" w:rsidP="003227B8">
      <w:pPr>
        <w:pStyle w:val="Corptext3"/>
        <w:ind w:firstLine="720"/>
        <w:jc w:val="both"/>
        <w:rPr>
          <w:rFonts w:ascii="Arial" w:hAnsi="Arial" w:cs="Arial"/>
          <w:sz w:val="24"/>
          <w:szCs w:val="24"/>
        </w:rPr>
      </w:pPr>
      <w:r w:rsidRPr="00BF7756">
        <w:rPr>
          <w:rFonts w:ascii="Arial" w:hAnsi="Arial" w:cs="Arial"/>
          <w:sz w:val="24"/>
          <w:szCs w:val="24"/>
        </w:rPr>
        <w:t xml:space="preserve">Evoluţia debitului dozei gama, înregistrată în ultimii ani la SSRM Constanța și Cernavodă, este prezentată în figura </w:t>
      </w:r>
      <w:r w:rsidR="00BF7756">
        <w:rPr>
          <w:rFonts w:ascii="Arial" w:hAnsi="Arial" w:cs="Arial"/>
          <w:sz w:val="24"/>
          <w:szCs w:val="24"/>
        </w:rPr>
        <w:t>I</w:t>
      </w:r>
      <w:r w:rsidRPr="00BF7756">
        <w:rPr>
          <w:rFonts w:ascii="Arial" w:hAnsi="Arial" w:cs="Arial"/>
          <w:sz w:val="24"/>
          <w:szCs w:val="24"/>
        </w:rPr>
        <w:t>X.5.</w:t>
      </w:r>
    </w:p>
    <w:p w:rsidR="00897C52" w:rsidRDefault="00897C52" w:rsidP="00897C52">
      <w:pPr>
        <w:pStyle w:val="Indentcorptext3"/>
        <w:rPr>
          <w:color w:val="FF0000"/>
        </w:rPr>
      </w:pPr>
      <w:r w:rsidRPr="00980254">
        <w:rPr>
          <w:color w:val="FF0000"/>
        </w:rPr>
        <w:t xml:space="preserve"> </w:t>
      </w:r>
      <w:r w:rsidR="00BF7756">
        <w:rPr>
          <w:noProof/>
        </w:rPr>
        <w:drawing>
          <wp:inline distT="0" distB="0" distL="0" distR="0" wp14:anchorId="6097A47F" wp14:editId="348E8124">
            <wp:extent cx="6134100" cy="2438400"/>
            <wp:effectExtent l="0" t="0" r="19050" b="19050"/>
            <wp:docPr id="5" name="Diagramă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F7756" w:rsidRPr="00315B9F" w:rsidRDefault="00BF7756" w:rsidP="00BF7756">
      <w:pPr>
        <w:pStyle w:val="Corptext3"/>
        <w:ind w:firstLine="720"/>
        <w:rPr>
          <w:i/>
          <w:sz w:val="20"/>
          <w:szCs w:val="20"/>
        </w:rPr>
      </w:pPr>
      <w:r w:rsidRPr="00315B9F">
        <w:rPr>
          <w:i/>
          <w:sz w:val="20"/>
          <w:szCs w:val="20"/>
        </w:rPr>
        <w:t xml:space="preserve">Notă: limita de </w:t>
      </w:r>
      <w:r>
        <w:rPr>
          <w:i/>
          <w:sz w:val="20"/>
          <w:szCs w:val="20"/>
        </w:rPr>
        <w:t>atenţionare</w:t>
      </w:r>
      <w:r w:rsidRPr="00315B9F">
        <w:rPr>
          <w:i/>
          <w:sz w:val="20"/>
          <w:szCs w:val="20"/>
        </w:rPr>
        <w:t xml:space="preserve"> pentru </w:t>
      </w:r>
      <w:r>
        <w:rPr>
          <w:i/>
          <w:sz w:val="20"/>
          <w:szCs w:val="20"/>
        </w:rPr>
        <w:t xml:space="preserve">debitul dozei gama în aer </w:t>
      </w:r>
      <w:r w:rsidRPr="00315B9F">
        <w:rPr>
          <w:i/>
          <w:sz w:val="20"/>
          <w:szCs w:val="20"/>
        </w:rPr>
        <w:t xml:space="preserve">(conform O.M. nr. 1978/2010 ) este de </w:t>
      </w:r>
      <w:r>
        <w:rPr>
          <w:i/>
          <w:sz w:val="20"/>
          <w:szCs w:val="20"/>
        </w:rPr>
        <w:t xml:space="preserve">0.250µSv/h </w:t>
      </w:r>
      <w:r w:rsidRPr="00315B9F">
        <w:rPr>
          <w:i/>
          <w:sz w:val="20"/>
          <w:szCs w:val="20"/>
        </w:rPr>
        <w:t>.</w:t>
      </w:r>
    </w:p>
    <w:p w:rsidR="00897C52" w:rsidRPr="00980254" w:rsidRDefault="00897C52" w:rsidP="00897C52">
      <w:pPr>
        <w:pStyle w:val="Indentcorptext3"/>
        <w:rPr>
          <w:b/>
          <w:color w:val="FF0000"/>
        </w:rPr>
      </w:pPr>
    </w:p>
    <w:p w:rsidR="00897C52" w:rsidRPr="00BF7756" w:rsidRDefault="00897C52" w:rsidP="00E2185C">
      <w:pPr>
        <w:pStyle w:val="Corptext3"/>
        <w:ind w:firstLine="360"/>
        <w:jc w:val="both"/>
        <w:rPr>
          <w:rFonts w:ascii="Arial" w:hAnsi="Arial" w:cs="Arial"/>
          <w:b/>
          <w:sz w:val="24"/>
          <w:szCs w:val="24"/>
        </w:rPr>
      </w:pPr>
      <w:r w:rsidRPr="00BF7756">
        <w:rPr>
          <w:lang w:val="fr-FR"/>
        </w:rPr>
        <w:t xml:space="preserve">  </w:t>
      </w:r>
      <w:r w:rsidRPr="00BF7756">
        <w:rPr>
          <w:rFonts w:ascii="Arial" w:hAnsi="Arial" w:cs="Arial"/>
          <w:b/>
          <w:sz w:val="24"/>
          <w:szCs w:val="24"/>
        </w:rPr>
        <w:t xml:space="preserve">Aerosoli atmosferici </w:t>
      </w:r>
    </w:p>
    <w:p w:rsidR="00897C52" w:rsidRPr="00BF7756" w:rsidRDefault="00897C52" w:rsidP="003227B8">
      <w:pPr>
        <w:pStyle w:val="Default"/>
        <w:ind w:firstLine="720"/>
        <w:jc w:val="both"/>
        <w:rPr>
          <w:rFonts w:ascii="Arial" w:hAnsi="Arial" w:cs="Arial"/>
          <w:color w:val="auto"/>
          <w:lang w:val="fr-FR"/>
        </w:rPr>
      </w:pPr>
      <w:r w:rsidRPr="00BF7756">
        <w:rPr>
          <w:rFonts w:ascii="Arial" w:hAnsi="Arial" w:cs="Arial"/>
          <w:b/>
          <w:i/>
          <w:color w:val="auto"/>
          <w:lang w:val="it-IT"/>
        </w:rPr>
        <w:t xml:space="preserve"> </w:t>
      </w:r>
      <w:r w:rsidRPr="00BF7756">
        <w:rPr>
          <w:rFonts w:ascii="Arial" w:hAnsi="Arial" w:cs="Arial"/>
          <w:color w:val="auto"/>
          <w:lang w:val="fr-FR"/>
        </w:rPr>
        <w:t>Procedura de determinare a radioactivităţii atmosferei constă în aspirarea pe filtre a aerosolilor atmosferici şi măsurarea activităţii filtrelor la diferite intervale de timp. Volumele de aer aspirate sunt de 25-30 mc, iar intervalele de aspiraţie de 5 ore. În cazul staţiilor cu program continuu, aspir</w:t>
      </w:r>
      <w:r w:rsidRPr="00BF7756">
        <w:rPr>
          <w:rFonts w:ascii="Arial" w:hAnsi="Arial" w:cs="Arial"/>
          <w:color w:val="auto"/>
          <w:lang w:val="ro-RO"/>
        </w:rPr>
        <w:t>ă</w:t>
      </w:r>
      <w:r w:rsidRPr="00BF7756">
        <w:rPr>
          <w:rFonts w:ascii="Arial" w:hAnsi="Arial" w:cs="Arial"/>
          <w:color w:val="auto"/>
          <w:lang w:val="fr-FR"/>
        </w:rPr>
        <w:t>rile se efectuează în intervalele orare : 02 - 07, 08 - 13,   14 - 19 şi 20 – 01.</w:t>
      </w:r>
    </w:p>
    <w:p w:rsidR="00897C52" w:rsidRPr="00BF7756" w:rsidRDefault="00897C52" w:rsidP="003227B8">
      <w:pPr>
        <w:pStyle w:val="Corptext"/>
        <w:ind w:firstLine="720"/>
        <w:jc w:val="both"/>
        <w:rPr>
          <w:rFonts w:ascii="Arial" w:hAnsi="Arial" w:cs="Arial"/>
          <w:sz w:val="24"/>
          <w:szCs w:val="24"/>
          <w:lang w:val="fr-FR"/>
        </w:rPr>
      </w:pPr>
      <w:r w:rsidRPr="00BF7756">
        <w:rPr>
          <w:rFonts w:ascii="Arial" w:hAnsi="Arial" w:cs="Arial"/>
          <w:sz w:val="24"/>
          <w:szCs w:val="24"/>
          <w:lang w:val="fr-FR"/>
        </w:rPr>
        <w:t>Numărul total al analizelor beta globale efectuate în anul 201</w:t>
      </w:r>
      <w:r w:rsidR="00BF7756" w:rsidRPr="00BF7756">
        <w:rPr>
          <w:rFonts w:ascii="Arial" w:hAnsi="Arial" w:cs="Arial"/>
          <w:sz w:val="24"/>
          <w:szCs w:val="24"/>
          <w:lang w:val="fr-FR"/>
        </w:rPr>
        <w:t>5</w:t>
      </w:r>
      <w:r w:rsidRPr="00BF7756">
        <w:rPr>
          <w:rFonts w:ascii="Arial" w:hAnsi="Arial" w:cs="Arial"/>
          <w:sz w:val="24"/>
          <w:szCs w:val="24"/>
          <w:lang w:val="fr-FR"/>
        </w:rPr>
        <w:t xml:space="preserve"> la SSRM Constan</w:t>
      </w:r>
      <w:r w:rsidRPr="00BF7756">
        <w:rPr>
          <w:rFonts w:ascii="Arial" w:hAnsi="Arial" w:cs="Arial"/>
          <w:sz w:val="24"/>
          <w:szCs w:val="24"/>
        </w:rPr>
        <w:t>ţ</w:t>
      </w:r>
      <w:r w:rsidRPr="00BF7756">
        <w:rPr>
          <w:rFonts w:ascii="Arial" w:hAnsi="Arial" w:cs="Arial"/>
          <w:sz w:val="24"/>
          <w:szCs w:val="24"/>
          <w:lang w:val="fr-FR"/>
        </w:rPr>
        <w:t>a, pe filtrele de aerosoli atmosferici, a fost de 5</w:t>
      </w:r>
      <w:r w:rsidR="00BF7756" w:rsidRPr="00BF7756">
        <w:rPr>
          <w:rFonts w:ascii="Arial" w:hAnsi="Arial" w:cs="Arial"/>
          <w:sz w:val="24"/>
          <w:szCs w:val="24"/>
          <w:lang w:val="fr-FR"/>
        </w:rPr>
        <w:t>792</w:t>
      </w:r>
      <w:r w:rsidRPr="00BF7756">
        <w:rPr>
          <w:rFonts w:ascii="Arial" w:hAnsi="Arial" w:cs="Arial"/>
          <w:sz w:val="24"/>
          <w:szCs w:val="24"/>
          <w:lang w:val="fr-FR"/>
        </w:rPr>
        <w:t>, iar la SSRM Cernavodă de 58</w:t>
      </w:r>
      <w:r w:rsidR="00BF7756" w:rsidRPr="00BF7756">
        <w:rPr>
          <w:rFonts w:ascii="Arial" w:hAnsi="Arial" w:cs="Arial"/>
          <w:sz w:val="24"/>
          <w:szCs w:val="24"/>
          <w:lang w:val="fr-FR"/>
        </w:rPr>
        <w:t>38</w:t>
      </w:r>
      <w:r w:rsidRPr="00BF7756">
        <w:rPr>
          <w:rFonts w:ascii="Arial" w:hAnsi="Arial" w:cs="Arial"/>
          <w:sz w:val="24"/>
          <w:szCs w:val="24"/>
          <w:lang w:val="fr-FR"/>
        </w:rPr>
        <w:t xml:space="preserve">. </w:t>
      </w:r>
      <w:r w:rsidRPr="00BF7756">
        <w:rPr>
          <w:rFonts w:ascii="Arial" w:hAnsi="Arial" w:cs="Arial"/>
          <w:b/>
          <w:i/>
          <w:sz w:val="24"/>
          <w:szCs w:val="24"/>
          <w:lang w:val="fr-FR"/>
        </w:rPr>
        <w:t xml:space="preserve">           </w:t>
      </w:r>
    </w:p>
    <w:p w:rsidR="00897C52" w:rsidRPr="00BF7756" w:rsidRDefault="00897C52" w:rsidP="00BF7756">
      <w:pPr>
        <w:pStyle w:val="Indentcorptext3"/>
        <w:ind w:left="0" w:firstLine="720"/>
        <w:jc w:val="both"/>
        <w:rPr>
          <w:rFonts w:ascii="Arial" w:hAnsi="Arial" w:cs="Arial"/>
          <w:sz w:val="24"/>
          <w:szCs w:val="24"/>
          <w:lang w:eastAsia="ro-RO"/>
        </w:rPr>
      </w:pPr>
      <w:r w:rsidRPr="00BF7756">
        <w:rPr>
          <w:rFonts w:ascii="Arial" w:hAnsi="Arial" w:cs="Arial"/>
          <w:sz w:val="24"/>
          <w:szCs w:val="24"/>
        </w:rPr>
        <w:t>Rezultatele măsurătorilor beta globale imediate ale radioactivităţii aerosolilor atmosferici în anul 201</w:t>
      </w:r>
      <w:r w:rsidR="00BF7756" w:rsidRPr="00BF7756">
        <w:rPr>
          <w:rFonts w:ascii="Arial" w:hAnsi="Arial" w:cs="Arial"/>
          <w:sz w:val="24"/>
          <w:szCs w:val="24"/>
        </w:rPr>
        <w:t>5</w:t>
      </w:r>
      <w:r w:rsidRPr="00BF7756">
        <w:rPr>
          <w:rFonts w:ascii="Arial" w:hAnsi="Arial" w:cs="Arial"/>
          <w:sz w:val="24"/>
          <w:szCs w:val="24"/>
        </w:rPr>
        <w:t xml:space="preserve">, mediate lunar pe intervale de aspirație, sunt </w:t>
      </w:r>
      <w:r w:rsidRPr="00BF7756">
        <w:rPr>
          <w:rFonts w:ascii="Arial" w:hAnsi="Arial" w:cs="Arial"/>
          <w:sz w:val="24"/>
          <w:szCs w:val="24"/>
          <w:lang w:val="fr-FR"/>
        </w:rPr>
        <w:t xml:space="preserve">prezentate în figura </w:t>
      </w:r>
      <w:r w:rsidR="00BF7756">
        <w:rPr>
          <w:rFonts w:ascii="Arial" w:hAnsi="Arial" w:cs="Arial"/>
          <w:sz w:val="24"/>
          <w:szCs w:val="24"/>
          <w:lang w:val="fr-FR"/>
        </w:rPr>
        <w:t>I</w:t>
      </w:r>
      <w:r w:rsidRPr="00BF7756">
        <w:rPr>
          <w:rFonts w:ascii="Arial" w:hAnsi="Arial" w:cs="Arial"/>
          <w:sz w:val="24"/>
          <w:szCs w:val="24"/>
          <w:lang w:val="fr-FR"/>
        </w:rPr>
        <w:t>X.6.</w:t>
      </w:r>
      <w:r w:rsidR="00BF7756" w:rsidRPr="00BF7756">
        <w:rPr>
          <w:rFonts w:ascii="Arial" w:hAnsi="Arial" w:cs="Arial"/>
          <w:sz w:val="24"/>
          <w:szCs w:val="24"/>
          <w:lang w:eastAsia="ro-RO"/>
        </w:rPr>
        <w:t xml:space="preserve">  Media  anuală a fost de 1.47</w:t>
      </w:r>
      <w:r w:rsidRPr="00BF7756">
        <w:rPr>
          <w:rFonts w:ascii="Arial" w:hAnsi="Arial" w:cs="Arial"/>
          <w:sz w:val="24"/>
          <w:szCs w:val="24"/>
          <w:lang w:eastAsia="ro-RO"/>
        </w:rPr>
        <w:t xml:space="preserve"> Bq/mc la SSRM Constanţa şi de 3.</w:t>
      </w:r>
      <w:r w:rsidR="00BF7756" w:rsidRPr="00BF7756">
        <w:rPr>
          <w:rFonts w:ascii="Arial" w:hAnsi="Arial" w:cs="Arial"/>
          <w:sz w:val="24"/>
          <w:szCs w:val="24"/>
          <w:lang w:eastAsia="ro-RO"/>
        </w:rPr>
        <w:t>51</w:t>
      </w:r>
      <w:r w:rsidRPr="00BF7756">
        <w:rPr>
          <w:rFonts w:ascii="Arial" w:hAnsi="Arial" w:cs="Arial"/>
          <w:sz w:val="24"/>
          <w:szCs w:val="24"/>
          <w:lang w:eastAsia="ro-RO"/>
        </w:rPr>
        <w:t xml:space="preserve"> Bq/mc la SSRM Cernavodă. </w:t>
      </w:r>
    </w:p>
    <w:p w:rsidR="00897C52" w:rsidRDefault="00897C52" w:rsidP="00897C52">
      <w:pPr>
        <w:pStyle w:val="Indentcorptext3"/>
        <w:rPr>
          <w:color w:val="FF0000"/>
          <w:lang w:eastAsia="ro-RO"/>
        </w:rPr>
      </w:pPr>
    </w:p>
    <w:p w:rsidR="00BF7756" w:rsidRDefault="00BF7756" w:rsidP="00897C52">
      <w:pPr>
        <w:pStyle w:val="Indentcorptext3"/>
        <w:rPr>
          <w:color w:val="FF0000"/>
          <w:lang w:eastAsia="ro-RO"/>
        </w:rPr>
      </w:pPr>
    </w:p>
    <w:p w:rsidR="00BF7756" w:rsidRDefault="00BF7756" w:rsidP="00897C52">
      <w:pPr>
        <w:pStyle w:val="Indentcorptext3"/>
        <w:rPr>
          <w:color w:val="FF0000"/>
          <w:lang w:eastAsia="ro-RO"/>
        </w:rPr>
      </w:pPr>
    </w:p>
    <w:p w:rsidR="00BF7756" w:rsidRDefault="00BF7756" w:rsidP="00897C52">
      <w:pPr>
        <w:pStyle w:val="Indentcorptext3"/>
        <w:rPr>
          <w:color w:val="FF0000"/>
          <w:lang w:eastAsia="ro-RO"/>
        </w:rPr>
      </w:pPr>
    </w:p>
    <w:p w:rsidR="00BF7756" w:rsidRDefault="00BF7756" w:rsidP="00897C52">
      <w:pPr>
        <w:pStyle w:val="Indentcorptext3"/>
        <w:rPr>
          <w:color w:val="FF0000"/>
          <w:lang w:eastAsia="ro-RO"/>
        </w:rPr>
      </w:pPr>
    </w:p>
    <w:p w:rsidR="00BF7756" w:rsidRDefault="00BF7756" w:rsidP="00897C52">
      <w:pPr>
        <w:pStyle w:val="Indentcorptext3"/>
        <w:rPr>
          <w:color w:val="FF0000"/>
          <w:lang w:eastAsia="ro-RO"/>
        </w:rPr>
      </w:pPr>
    </w:p>
    <w:p w:rsidR="00BF7756" w:rsidRDefault="00BF7756" w:rsidP="00897C52">
      <w:pPr>
        <w:pStyle w:val="Indentcorptext3"/>
        <w:rPr>
          <w:color w:val="FF0000"/>
          <w:lang w:eastAsia="ro-RO"/>
        </w:rPr>
      </w:pPr>
      <w:r>
        <w:rPr>
          <w:noProof/>
        </w:rPr>
        <w:lastRenderedPageBreak/>
        <w:drawing>
          <wp:inline distT="0" distB="0" distL="0" distR="0" wp14:anchorId="0C8D9E2A" wp14:editId="2FF96CAD">
            <wp:extent cx="6000750" cy="2705100"/>
            <wp:effectExtent l="0" t="0" r="19050" b="19050"/>
            <wp:docPr id="8" name="Diagramă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97C52" w:rsidRPr="00BF7756" w:rsidRDefault="00897C52" w:rsidP="00897C52">
      <w:pPr>
        <w:pStyle w:val="Corptext3"/>
        <w:ind w:firstLine="720"/>
        <w:rPr>
          <w:i/>
          <w:sz w:val="20"/>
          <w:szCs w:val="20"/>
        </w:rPr>
      </w:pPr>
      <w:r w:rsidRPr="00BF7756">
        <w:rPr>
          <w:i/>
          <w:sz w:val="20"/>
          <w:szCs w:val="20"/>
        </w:rPr>
        <w:t>Notă: limita de avertizare pentru activitatea beta globala imediată (conform O.M. nr. 1978/2010 ) este de 10 Bq/mc.</w:t>
      </w:r>
    </w:p>
    <w:p w:rsidR="00897C52" w:rsidRPr="00980254" w:rsidRDefault="00897C52" w:rsidP="00897C52">
      <w:pPr>
        <w:pStyle w:val="Indentcorptext"/>
        <w:rPr>
          <w:rFonts w:ascii="Arial" w:hAnsi="Arial" w:cs="Arial"/>
          <w:color w:val="FF0000"/>
          <w:lang w:val="fr-FR"/>
        </w:rPr>
      </w:pPr>
    </w:p>
    <w:p w:rsidR="00897C52" w:rsidRPr="00BF7756" w:rsidRDefault="00897C52" w:rsidP="003227B8">
      <w:pPr>
        <w:pStyle w:val="Indentcorptext3"/>
        <w:jc w:val="both"/>
        <w:rPr>
          <w:rFonts w:ascii="Arial" w:hAnsi="Arial" w:cs="Arial"/>
          <w:sz w:val="24"/>
          <w:szCs w:val="24"/>
          <w:lang w:eastAsia="ro-RO"/>
        </w:rPr>
      </w:pPr>
      <w:r w:rsidRPr="00BF7756">
        <w:rPr>
          <w:rFonts w:ascii="Arial" w:hAnsi="Arial" w:cs="Arial"/>
          <w:sz w:val="24"/>
          <w:szCs w:val="24"/>
        </w:rPr>
        <w:t>Evoluția activității medii beta globale la măsurare  imediată a probelor de aerosoli atmosferici, în perioada 2010 – 201</w:t>
      </w:r>
      <w:r w:rsidR="00BF7756" w:rsidRPr="00BF7756">
        <w:rPr>
          <w:rFonts w:ascii="Arial" w:hAnsi="Arial" w:cs="Arial"/>
          <w:sz w:val="24"/>
          <w:szCs w:val="24"/>
        </w:rPr>
        <w:t>5</w:t>
      </w:r>
      <w:r w:rsidRPr="00BF7756">
        <w:rPr>
          <w:rFonts w:ascii="Arial" w:hAnsi="Arial" w:cs="Arial"/>
          <w:sz w:val="24"/>
          <w:szCs w:val="24"/>
        </w:rPr>
        <w:t>, la SSRM Constanța și Cernav</w:t>
      </w:r>
      <w:r w:rsidR="00BF7756" w:rsidRPr="00BF7756">
        <w:rPr>
          <w:rFonts w:ascii="Arial" w:hAnsi="Arial" w:cs="Arial"/>
          <w:sz w:val="24"/>
          <w:szCs w:val="24"/>
        </w:rPr>
        <w:t>odă este prezentată în figura IX.</w:t>
      </w:r>
      <w:r w:rsidRPr="00BF7756">
        <w:rPr>
          <w:rFonts w:ascii="Arial" w:hAnsi="Arial" w:cs="Arial"/>
          <w:sz w:val="24"/>
          <w:szCs w:val="24"/>
        </w:rPr>
        <w:t>7.</w:t>
      </w:r>
      <w:r w:rsidRPr="00BF7756">
        <w:rPr>
          <w:rFonts w:ascii="Arial" w:hAnsi="Arial" w:cs="Arial"/>
          <w:sz w:val="24"/>
          <w:szCs w:val="24"/>
          <w:lang w:eastAsia="ro-RO"/>
        </w:rPr>
        <w:t xml:space="preserve"> </w:t>
      </w:r>
    </w:p>
    <w:p w:rsidR="00897C52" w:rsidRDefault="00BF7756" w:rsidP="00897C52">
      <w:pPr>
        <w:pStyle w:val="Indentcorptext"/>
        <w:ind w:firstLine="0"/>
        <w:rPr>
          <w:rFonts w:ascii="Arial" w:hAnsi="Arial" w:cs="Arial"/>
          <w:color w:val="FF0000"/>
          <w:lang w:val="fr-FR"/>
        </w:rPr>
      </w:pPr>
      <w:r>
        <w:rPr>
          <w:noProof/>
          <w:lang w:val="en-US" w:eastAsia="en-US"/>
        </w:rPr>
        <w:drawing>
          <wp:inline distT="0" distB="0" distL="0" distR="0" wp14:anchorId="5314299F" wp14:editId="478D93E0">
            <wp:extent cx="6134100" cy="2343150"/>
            <wp:effectExtent l="0" t="0" r="19050" b="19050"/>
            <wp:docPr id="9" name="Diagramă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F7756" w:rsidRDefault="00BF7756" w:rsidP="00897C52">
      <w:pPr>
        <w:pStyle w:val="Indentcorptext"/>
        <w:ind w:firstLine="0"/>
        <w:rPr>
          <w:rFonts w:ascii="Arial" w:hAnsi="Arial" w:cs="Arial"/>
          <w:color w:val="FF0000"/>
          <w:lang w:val="fr-FR"/>
        </w:rPr>
      </w:pPr>
    </w:p>
    <w:p w:rsidR="00BF7756" w:rsidRPr="00A10B84" w:rsidRDefault="00BF7756" w:rsidP="00BF7756">
      <w:pPr>
        <w:pStyle w:val="Default"/>
        <w:ind w:firstLine="720"/>
        <w:rPr>
          <w:rFonts w:ascii="Arial" w:hAnsi="Arial" w:cs="Arial"/>
          <w:lang w:val="ro-RO"/>
        </w:rPr>
      </w:pPr>
      <w:r w:rsidRPr="00380EDA">
        <w:rPr>
          <w:rFonts w:ascii="Arial" w:hAnsi="Arial" w:cs="Arial"/>
          <w:lang w:val="ro-RO"/>
        </w:rPr>
        <w:t>Concentraţiile descenden</w:t>
      </w:r>
      <w:r>
        <w:rPr>
          <w:rFonts w:ascii="Arial" w:hAnsi="Arial" w:cs="Arial"/>
          <w:lang w:val="ro-RO"/>
        </w:rPr>
        <w:t xml:space="preserve">ţilor gazelor radioactive Radon </w:t>
      </w:r>
      <w:r w:rsidRPr="007105C6">
        <w:rPr>
          <w:rFonts w:ascii="Arial" w:hAnsi="Arial" w:cs="Arial"/>
          <w:lang w:val="ro-RO"/>
        </w:rPr>
        <w:t xml:space="preserve">(Rn-222) </w:t>
      </w:r>
      <w:r>
        <w:rPr>
          <w:rFonts w:ascii="Arial" w:hAnsi="Arial" w:cs="Arial"/>
          <w:lang w:val="ro-RO"/>
        </w:rPr>
        <w:t xml:space="preserve">şi Toron </w:t>
      </w:r>
      <w:r w:rsidRPr="007105C6">
        <w:rPr>
          <w:rFonts w:ascii="Arial" w:hAnsi="Arial" w:cs="Arial"/>
          <w:lang w:val="ro-RO"/>
        </w:rPr>
        <w:t>(Rn-220)</w:t>
      </w:r>
      <w:r>
        <w:rPr>
          <w:rFonts w:ascii="Arial" w:hAnsi="Arial" w:cs="Arial"/>
          <w:lang w:val="ro-RO"/>
        </w:rPr>
        <w:t xml:space="preserve"> în atmosfera liberă </w:t>
      </w:r>
      <w:r w:rsidRPr="007105C6">
        <w:rPr>
          <w:rFonts w:ascii="Arial" w:hAnsi="Arial" w:cs="Arial"/>
          <w:lang w:val="ro-RO"/>
        </w:rPr>
        <w:t xml:space="preserve">( stratul superficial de aer, 2 m </w:t>
      </w:r>
      <w:r>
        <w:rPr>
          <w:rFonts w:ascii="Arial" w:hAnsi="Arial" w:cs="Arial"/>
          <w:lang w:val="ro-RO"/>
        </w:rPr>
        <w:t>înălţime de la sol</w:t>
      </w:r>
      <w:r w:rsidRPr="007105C6">
        <w:rPr>
          <w:rFonts w:ascii="Arial" w:hAnsi="Arial" w:cs="Arial"/>
          <w:lang w:val="ro-RO"/>
        </w:rPr>
        <w:t xml:space="preserve">) </w:t>
      </w:r>
      <w:r>
        <w:rPr>
          <w:rFonts w:ascii="Arial" w:hAnsi="Arial" w:cs="Arial"/>
          <w:lang w:val="ro-RO"/>
        </w:rPr>
        <w:t>sunt calculate la SSRM prin aplicarea unei metode care presupune filtrarea aerului şi măsurarea beta globală a filtrelor la anumite intervale de timp de la încetarea aspiraţiei.</w:t>
      </w:r>
      <w:r w:rsidRPr="007105C6">
        <w:rPr>
          <w:rFonts w:ascii="Arial" w:hAnsi="Arial" w:cs="Arial"/>
          <w:lang w:val="ro-RO"/>
        </w:rPr>
        <w:t xml:space="preserve"> Radonul şi Toronul sunt produşi de filiaţie ai U-238 şi Th-232, aflaţi în stare gazoasă. Ei ajung în atmosferă în urma difuziei din sol şi roci, unde sunt supuşi fenomenelor de dispersie atmosferică. Concentraţiile de Rn-222 şi Rn-220 în atmosferă variază sezonier, depinzând de condiţiile meteorologice care influenţează  atât viteza de emanaţie a gazelor din sol, cât şi diluţia/dispersia acestora în atmosferă. </w:t>
      </w:r>
      <w:r w:rsidRPr="00A10B84">
        <w:rPr>
          <w:rFonts w:ascii="Arial" w:hAnsi="Arial" w:cs="Arial"/>
          <w:lang w:val="ro-RO"/>
        </w:rPr>
        <w:t xml:space="preserve">Dispersia radonului </w:t>
      </w:r>
      <w:r>
        <w:rPr>
          <w:rFonts w:ascii="Arial" w:hAnsi="Arial" w:cs="Arial"/>
          <w:lang w:val="ro-RO"/>
        </w:rPr>
        <w:t>ş</w:t>
      </w:r>
      <w:r w:rsidRPr="00A10B84">
        <w:rPr>
          <w:rFonts w:ascii="Arial" w:hAnsi="Arial" w:cs="Arial"/>
          <w:lang w:val="ro-RO"/>
        </w:rPr>
        <w:t>i toronului în atmosfer</w:t>
      </w:r>
      <w:r>
        <w:rPr>
          <w:rFonts w:ascii="Arial" w:hAnsi="Arial" w:cs="Arial"/>
          <w:lang w:val="ro-RO"/>
        </w:rPr>
        <w:t>ă</w:t>
      </w:r>
      <w:r w:rsidRPr="00A10B84">
        <w:rPr>
          <w:rFonts w:ascii="Arial" w:hAnsi="Arial" w:cs="Arial"/>
          <w:lang w:val="ro-RO"/>
        </w:rPr>
        <w:t xml:space="preserve"> este puternic influen</w:t>
      </w:r>
      <w:r>
        <w:rPr>
          <w:rFonts w:ascii="Arial" w:hAnsi="Arial" w:cs="Arial"/>
          <w:lang w:val="ro-RO"/>
        </w:rPr>
        <w:t>ţ</w:t>
      </w:r>
      <w:r w:rsidRPr="00A10B84">
        <w:rPr>
          <w:rFonts w:ascii="Arial" w:hAnsi="Arial" w:cs="Arial"/>
          <w:lang w:val="ro-RO"/>
        </w:rPr>
        <w:t>at</w:t>
      </w:r>
      <w:r>
        <w:rPr>
          <w:rFonts w:ascii="Arial" w:hAnsi="Arial" w:cs="Arial"/>
          <w:lang w:val="ro-RO"/>
        </w:rPr>
        <w:t>ă</w:t>
      </w:r>
      <w:r w:rsidRPr="00A10B84">
        <w:rPr>
          <w:rFonts w:ascii="Arial" w:hAnsi="Arial" w:cs="Arial"/>
          <w:lang w:val="ro-RO"/>
        </w:rPr>
        <w:t xml:space="preserve"> de varia</w:t>
      </w:r>
      <w:r>
        <w:rPr>
          <w:rFonts w:ascii="Arial" w:hAnsi="Arial" w:cs="Arial"/>
          <w:lang w:val="ro-RO"/>
        </w:rPr>
        <w:t>ţ</w:t>
      </w:r>
      <w:r w:rsidRPr="00A10B84">
        <w:rPr>
          <w:rFonts w:ascii="Arial" w:hAnsi="Arial" w:cs="Arial"/>
          <w:lang w:val="ro-RO"/>
        </w:rPr>
        <w:t>ia</w:t>
      </w:r>
      <w:r>
        <w:rPr>
          <w:rFonts w:ascii="Arial" w:hAnsi="Arial" w:cs="Arial"/>
          <w:lang w:val="ro-RO"/>
        </w:rPr>
        <w:t xml:space="preserve"> </w:t>
      </w:r>
      <w:r w:rsidRPr="00A10B84">
        <w:rPr>
          <w:rFonts w:ascii="Arial" w:hAnsi="Arial" w:cs="Arial"/>
          <w:lang w:val="ro-RO"/>
        </w:rPr>
        <w:t>diurn</w:t>
      </w:r>
      <w:r>
        <w:rPr>
          <w:rFonts w:ascii="Arial" w:hAnsi="Arial" w:cs="Arial"/>
          <w:lang w:val="ro-RO"/>
        </w:rPr>
        <w:t>ă</w:t>
      </w:r>
      <w:r w:rsidRPr="00A10B84">
        <w:rPr>
          <w:rFonts w:ascii="Arial" w:hAnsi="Arial" w:cs="Arial"/>
          <w:lang w:val="ro-RO"/>
        </w:rPr>
        <w:t xml:space="preserve"> a curen</w:t>
      </w:r>
      <w:r>
        <w:rPr>
          <w:rFonts w:ascii="Arial" w:hAnsi="Arial" w:cs="Arial"/>
          <w:lang w:val="ro-RO"/>
        </w:rPr>
        <w:t>ţ</w:t>
      </w:r>
      <w:r w:rsidRPr="00A10B84">
        <w:rPr>
          <w:rFonts w:ascii="Arial" w:hAnsi="Arial" w:cs="Arial"/>
          <w:lang w:val="ro-RO"/>
        </w:rPr>
        <w:t>ilor de aer (</w:t>
      </w:r>
      <w:r w:rsidRPr="00CF6B6C">
        <w:rPr>
          <w:rFonts w:ascii="Arial" w:hAnsi="Arial" w:cs="Arial"/>
          <w:lang w:val="ro-RO"/>
        </w:rPr>
        <w:t>figurile IX.8. şi IX.9.). Astfel</w:t>
      </w:r>
      <w:r w:rsidRPr="00A10B84">
        <w:rPr>
          <w:rFonts w:ascii="Arial" w:hAnsi="Arial" w:cs="Arial"/>
          <w:lang w:val="ro-RO"/>
        </w:rPr>
        <w:t>, cele mai mari concentra</w:t>
      </w:r>
      <w:r>
        <w:rPr>
          <w:rFonts w:ascii="Arial" w:hAnsi="Arial" w:cs="Arial"/>
          <w:lang w:val="ro-RO"/>
        </w:rPr>
        <w:t>ţ</w:t>
      </w:r>
      <w:r w:rsidRPr="00A10B84">
        <w:rPr>
          <w:rFonts w:ascii="Arial" w:hAnsi="Arial" w:cs="Arial"/>
          <w:lang w:val="ro-RO"/>
        </w:rPr>
        <w:t>ii în</w:t>
      </w:r>
      <w:r>
        <w:rPr>
          <w:rFonts w:ascii="Arial" w:hAnsi="Arial" w:cs="Arial"/>
          <w:lang w:val="ro-RO"/>
        </w:rPr>
        <w:t xml:space="preserve"> </w:t>
      </w:r>
      <w:r w:rsidRPr="00A10B84">
        <w:rPr>
          <w:rFonts w:ascii="Arial" w:hAnsi="Arial" w:cs="Arial"/>
          <w:lang w:val="ro-RO"/>
        </w:rPr>
        <w:t>atmosfer</w:t>
      </w:r>
      <w:r>
        <w:rPr>
          <w:rFonts w:ascii="Arial" w:hAnsi="Arial" w:cs="Arial"/>
          <w:lang w:val="ro-RO"/>
        </w:rPr>
        <w:t>ă</w:t>
      </w:r>
      <w:r w:rsidRPr="00A10B84">
        <w:rPr>
          <w:rFonts w:ascii="Arial" w:hAnsi="Arial" w:cs="Arial"/>
          <w:lang w:val="ro-RO"/>
        </w:rPr>
        <w:t xml:space="preserve"> se înregistreaz</w:t>
      </w:r>
      <w:r>
        <w:rPr>
          <w:rFonts w:ascii="Arial" w:hAnsi="Arial" w:cs="Arial"/>
          <w:lang w:val="ro-RO"/>
        </w:rPr>
        <w:t>ă</w:t>
      </w:r>
      <w:r w:rsidRPr="00A10B84">
        <w:rPr>
          <w:rFonts w:ascii="Arial" w:hAnsi="Arial" w:cs="Arial"/>
          <w:lang w:val="ro-RO"/>
        </w:rPr>
        <w:t xml:space="preserve"> în perioada de noapte, în intervalele de aspira</w:t>
      </w:r>
      <w:r>
        <w:rPr>
          <w:rFonts w:ascii="Arial" w:hAnsi="Arial" w:cs="Arial"/>
          <w:lang w:val="ro-RO"/>
        </w:rPr>
        <w:t>ţ</w:t>
      </w:r>
      <w:r w:rsidRPr="00A10B84">
        <w:rPr>
          <w:rFonts w:ascii="Arial" w:hAnsi="Arial" w:cs="Arial"/>
          <w:lang w:val="ro-RO"/>
        </w:rPr>
        <w:t xml:space="preserve">ie 20 - 01 </w:t>
      </w:r>
      <w:r>
        <w:rPr>
          <w:rFonts w:ascii="Arial" w:hAnsi="Arial" w:cs="Arial"/>
          <w:lang w:val="ro-RO"/>
        </w:rPr>
        <w:t>ş</w:t>
      </w:r>
      <w:r w:rsidRPr="00A10B84">
        <w:rPr>
          <w:rFonts w:ascii="Arial" w:hAnsi="Arial" w:cs="Arial"/>
          <w:lang w:val="ro-RO"/>
        </w:rPr>
        <w:t>i,</w:t>
      </w:r>
      <w:r>
        <w:rPr>
          <w:rFonts w:ascii="Arial" w:hAnsi="Arial" w:cs="Arial"/>
          <w:lang w:val="ro-RO"/>
        </w:rPr>
        <w:t xml:space="preserve"> </w:t>
      </w:r>
      <w:r w:rsidRPr="00A10B84">
        <w:rPr>
          <w:rFonts w:ascii="Arial" w:hAnsi="Arial" w:cs="Arial"/>
          <w:lang w:val="ro-RO"/>
        </w:rPr>
        <w:t>respectiv 02 - 07, valorile maxime fiind atinse spre dimineat</w:t>
      </w:r>
      <w:r>
        <w:rPr>
          <w:rFonts w:ascii="Arial" w:hAnsi="Arial" w:cs="Arial"/>
          <w:lang w:val="ro-RO"/>
        </w:rPr>
        <w:t>ă</w:t>
      </w:r>
      <w:r w:rsidRPr="00A10B84">
        <w:rPr>
          <w:rFonts w:ascii="Arial" w:hAnsi="Arial" w:cs="Arial"/>
          <w:lang w:val="ro-RO"/>
        </w:rPr>
        <w:t>, când apare o perioad</w:t>
      </w:r>
      <w:r>
        <w:rPr>
          <w:rFonts w:ascii="Arial" w:hAnsi="Arial" w:cs="Arial"/>
          <w:lang w:val="ro-RO"/>
        </w:rPr>
        <w:t>ă</w:t>
      </w:r>
      <w:r w:rsidRPr="00A10B84">
        <w:rPr>
          <w:rFonts w:ascii="Arial" w:hAnsi="Arial" w:cs="Arial"/>
          <w:lang w:val="ro-RO"/>
        </w:rPr>
        <w:t xml:space="preserve"> de</w:t>
      </w:r>
      <w:r>
        <w:rPr>
          <w:rFonts w:ascii="Arial" w:hAnsi="Arial" w:cs="Arial"/>
          <w:lang w:val="ro-RO"/>
        </w:rPr>
        <w:t xml:space="preserve"> </w:t>
      </w:r>
      <w:r w:rsidRPr="00A10B84">
        <w:rPr>
          <w:rFonts w:ascii="Arial" w:hAnsi="Arial" w:cs="Arial"/>
          <w:lang w:val="ro-RO"/>
        </w:rPr>
        <w:t>acalmie a curen</w:t>
      </w:r>
      <w:r>
        <w:rPr>
          <w:rFonts w:ascii="Arial" w:hAnsi="Arial" w:cs="Arial"/>
          <w:lang w:val="ro-RO"/>
        </w:rPr>
        <w:t>ţ</w:t>
      </w:r>
      <w:r w:rsidRPr="00A10B84">
        <w:rPr>
          <w:rFonts w:ascii="Arial" w:hAnsi="Arial" w:cs="Arial"/>
          <w:lang w:val="ro-RO"/>
        </w:rPr>
        <w:t>ilor de aer. Odat</w:t>
      </w:r>
      <w:r>
        <w:rPr>
          <w:rFonts w:ascii="Arial" w:hAnsi="Arial" w:cs="Arial"/>
          <w:lang w:val="ro-RO"/>
        </w:rPr>
        <w:t>ă</w:t>
      </w:r>
      <w:r w:rsidRPr="00A10B84">
        <w:rPr>
          <w:rFonts w:ascii="Arial" w:hAnsi="Arial" w:cs="Arial"/>
          <w:lang w:val="ro-RO"/>
        </w:rPr>
        <w:t xml:space="preserve"> cu cre</w:t>
      </w:r>
      <w:r>
        <w:rPr>
          <w:rFonts w:ascii="Arial" w:hAnsi="Arial" w:cs="Arial"/>
          <w:lang w:val="ro-RO"/>
        </w:rPr>
        <w:t>ş</w:t>
      </w:r>
      <w:r w:rsidRPr="00A10B84">
        <w:rPr>
          <w:rFonts w:ascii="Arial" w:hAnsi="Arial" w:cs="Arial"/>
          <w:lang w:val="ro-RO"/>
        </w:rPr>
        <w:t>terea temperaturii, pe timpul zilei, apar curen</w:t>
      </w:r>
      <w:r>
        <w:rPr>
          <w:rFonts w:ascii="Arial" w:hAnsi="Arial" w:cs="Arial"/>
          <w:lang w:val="ro-RO"/>
        </w:rPr>
        <w:t>ţ</w:t>
      </w:r>
      <w:r w:rsidRPr="00A10B84">
        <w:rPr>
          <w:rFonts w:ascii="Arial" w:hAnsi="Arial" w:cs="Arial"/>
          <w:lang w:val="ro-RO"/>
        </w:rPr>
        <w:t>ii de</w:t>
      </w:r>
      <w:r>
        <w:rPr>
          <w:rFonts w:ascii="Arial" w:hAnsi="Arial" w:cs="Arial"/>
          <w:lang w:val="ro-RO"/>
        </w:rPr>
        <w:t xml:space="preserve"> </w:t>
      </w:r>
      <w:r w:rsidRPr="00A10B84">
        <w:rPr>
          <w:rFonts w:ascii="Arial" w:hAnsi="Arial" w:cs="Arial"/>
          <w:lang w:val="ro-RO"/>
        </w:rPr>
        <w:t>convec</w:t>
      </w:r>
      <w:r>
        <w:rPr>
          <w:rFonts w:ascii="Arial" w:hAnsi="Arial" w:cs="Arial"/>
          <w:lang w:val="ro-RO"/>
        </w:rPr>
        <w:t>ţ</w:t>
      </w:r>
      <w:r w:rsidRPr="00A10B84">
        <w:rPr>
          <w:rFonts w:ascii="Arial" w:hAnsi="Arial" w:cs="Arial"/>
          <w:lang w:val="ro-RO"/>
        </w:rPr>
        <w:t xml:space="preserve">ie, care contribuie la dispersia radonului </w:t>
      </w:r>
      <w:r>
        <w:rPr>
          <w:rFonts w:ascii="Arial" w:hAnsi="Arial" w:cs="Arial"/>
          <w:lang w:val="ro-RO"/>
        </w:rPr>
        <w:t>ş</w:t>
      </w:r>
      <w:r w:rsidRPr="00A10B84">
        <w:rPr>
          <w:rFonts w:ascii="Arial" w:hAnsi="Arial" w:cs="Arial"/>
          <w:lang w:val="ro-RO"/>
        </w:rPr>
        <w:t xml:space="preserve">i </w:t>
      </w:r>
      <w:r w:rsidRPr="00A10B84">
        <w:rPr>
          <w:rFonts w:ascii="Arial" w:hAnsi="Arial" w:cs="Arial"/>
          <w:lang w:val="ro-RO"/>
        </w:rPr>
        <w:lastRenderedPageBreak/>
        <w:t>toronului acumulat peste noapte în p</w:t>
      </w:r>
      <w:r>
        <w:rPr>
          <w:rFonts w:ascii="Arial" w:hAnsi="Arial" w:cs="Arial"/>
          <w:lang w:val="ro-RO"/>
        </w:rPr>
        <w:t>ă</w:t>
      </w:r>
      <w:r w:rsidRPr="00A10B84">
        <w:rPr>
          <w:rFonts w:ascii="Arial" w:hAnsi="Arial" w:cs="Arial"/>
          <w:lang w:val="ro-RO"/>
        </w:rPr>
        <w:t>turile inferioare ale atmosferei. Valorile minime s-au înregistrat în intervalul de aspira</w:t>
      </w:r>
      <w:r>
        <w:rPr>
          <w:rFonts w:ascii="Arial" w:hAnsi="Arial" w:cs="Arial"/>
          <w:lang w:val="ro-RO"/>
        </w:rPr>
        <w:t>ţ</w:t>
      </w:r>
      <w:r w:rsidRPr="00A10B84">
        <w:rPr>
          <w:rFonts w:ascii="Arial" w:hAnsi="Arial" w:cs="Arial"/>
          <w:lang w:val="ro-RO"/>
        </w:rPr>
        <w:t>ie 14</w:t>
      </w:r>
      <w:r>
        <w:rPr>
          <w:rFonts w:ascii="Arial" w:hAnsi="Arial" w:cs="Arial"/>
          <w:lang w:val="ro-RO"/>
        </w:rPr>
        <w:t>-</w:t>
      </w:r>
      <w:r w:rsidRPr="00A10B84">
        <w:rPr>
          <w:rFonts w:ascii="Arial" w:hAnsi="Arial" w:cs="Arial"/>
          <w:lang w:val="ro-RO"/>
        </w:rPr>
        <w:t>19</w:t>
      </w:r>
      <w:r>
        <w:rPr>
          <w:rFonts w:ascii="Arial" w:hAnsi="Arial" w:cs="Arial"/>
          <w:lang w:val="ro-RO"/>
        </w:rPr>
        <w:t>.</w:t>
      </w:r>
    </w:p>
    <w:p w:rsidR="00BF7756" w:rsidRDefault="00BF7756" w:rsidP="00BF7756">
      <w:pPr>
        <w:autoSpaceDE w:val="0"/>
        <w:autoSpaceDN w:val="0"/>
        <w:adjustRightInd w:val="0"/>
        <w:ind w:firstLine="720"/>
        <w:jc w:val="both"/>
        <w:rPr>
          <w:rFonts w:ascii="Arial" w:hAnsi="Arial" w:cs="Arial"/>
          <w:lang w:val="ro-RO"/>
        </w:rPr>
      </w:pPr>
      <w:r>
        <w:rPr>
          <w:rFonts w:ascii="Arial" w:hAnsi="Arial" w:cs="Arial"/>
          <w:lang w:val="ro-RO"/>
        </w:rPr>
        <w:t xml:space="preserve">În anul 2015 concentraţiile Radonului au variat în intervalul </w:t>
      </w:r>
      <w:r w:rsidRPr="003A3BB1">
        <w:rPr>
          <w:rFonts w:ascii="Arial" w:hAnsi="Arial" w:cs="Arial"/>
          <w:lang w:val="ro-RO"/>
        </w:rPr>
        <w:t>0.2766- 19.9176</w:t>
      </w:r>
      <w:r>
        <w:rPr>
          <w:rFonts w:ascii="Arial" w:hAnsi="Arial" w:cs="Arial"/>
          <w:lang w:val="ro-RO"/>
        </w:rPr>
        <w:t xml:space="preserve"> Bq</w:t>
      </w:r>
      <w:r w:rsidRPr="007105C6">
        <w:rPr>
          <w:rFonts w:ascii="Arial" w:hAnsi="Arial" w:cs="Arial"/>
          <w:lang w:val="ro-RO"/>
        </w:rPr>
        <w:t>/</w:t>
      </w:r>
      <w:r>
        <w:rPr>
          <w:rFonts w:ascii="Arial" w:hAnsi="Arial" w:cs="Arial"/>
          <w:lang w:val="ro-RO"/>
        </w:rPr>
        <w:t xml:space="preserve">mc la SSRM </w:t>
      </w:r>
      <w:r w:rsidRPr="00CF6B6C">
        <w:rPr>
          <w:rFonts w:ascii="Arial" w:hAnsi="Arial" w:cs="Arial"/>
          <w:lang w:val="ro-RO"/>
        </w:rPr>
        <w:t>Constanţa şi 1.018-58.236 Bq/mc la SSRM Cernavodă, maximele s-au înregistrat în data de 05.11.2015, pe intervalul de aspiratie 20-01, respectiv data de 06.11.2015, pe intervalul  02-07. Concentraţiile Toronului au variat în intervalul 0.0066- 0.9183 Bq/mc la SSRM Constanţa şi 0.0484-6.1177 Bq/mc la SSRM Cernavodă; maximele s-au înregistrat în data de 23.09.2015, in perioada de aspiratie 02-07, respectiv data de 13.03.2015, pe intervalul 08-13.</w:t>
      </w:r>
      <w:r>
        <w:rPr>
          <w:rFonts w:ascii="Arial" w:hAnsi="Arial" w:cs="Arial"/>
          <w:lang w:val="ro-RO"/>
        </w:rPr>
        <w:t xml:space="preserve"> </w:t>
      </w:r>
    </w:p>
    <w:p w:rsidR="00897C52" w:rsidRPr="00980254" w:rsidRDefault="00BF7756" w:rsidP="003227B8">
      <w:pPr>
        <w:autoSpaceDE w:val="0"/>
        <w:autoSpaceDN w:val="0"/>
        <w:adjustRightInd w:val="0"/>
        <w:ind w:firstLine="720"/>
        <w:jc w:val="both"/>
        <w:rPr>
          <w:rFonts w:ascii="Arial" w:hAnsi="Arial" w:cs="Arial"/>
          <w:color w:val="FF0000"/>
          <w:lang w:val="ro-RO"/>
        </w:rPr>
      </w:pPr>
      <w:r>
        <w:rPr>
          <w:rFonts w:ascii="Arial" w:hAnsi="Arial" w:cs="Arial"/>
          <w:b/>
          <w:noProof/>
          <w:lang w:val="en-US"/>
        </w:rPr>
        <w:drawing>
          <wp:inline distT="0" distB="0" distL="0" distR="0" wp14:anchorId="75EF92B1" wp14:editId="02DB777B">
            <wp:extent cx="6134100" cy="2943225"/>
            <wp:effectExtent l="0" t="0" r="19050" b="9525"/>
            <wp:docPr id="6" name="Obiec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97C52" w:rsidRPr="00980254" w:rsidRDefault="00897C52" w:rsidP="00897C52">
      <w:pPr>
        <w:autoSpaceDE w:val="0"/>
        <w:autoSpaceDN w:val="0"/>
        <w:adjustRightInd w:val="0"/>
        <w:jc w:val="both"/>
        <w:rPr>
          <w:rFonts w:ascii="Arial" w:hAnsi="Arial" w:cs="Arial"/>
          <w:color w:val="FF0000"/>
          <w:lang w:val="ro-RO"/>
        </w:rPr>
      </w:pPr>
    </w:p>
    <w:p w:rsidR="00897C52" w:rsidRPr="00980254" w:rsidRDefault="00BF7756" w:rsidP="00897C52">
      <w:pPr>
        <w:autoSpaceDE w:val="0"/>
        <w:autoSpaceDN w:val="0"/>
        <w:adjustRightInd w:val="0"/>
        <w:jc w:val="center"/>
        <w:rPr>
          <w:rFonts w:ascii="Arial" w:hAnsi="Arial" w:cs="Arial"/>
          <w:b/>
          <w:color w:val="FF0000"/>
          <w:lang w:val="ro-RO"/>
        </w:rPr>
      </w:pPr>
      <w:r>
        <w:rPr>
          <w:rFonts w:ascii="Arial" w:hAnsi="Arial" w:cs="Arial"/>
          <w:b/>
          <w:noProof/>
          <w:lang w:val="en-US"/>
        </w:rPr>
        <w:drawing>
          <wp:inline distT="0" distB="0" distL="0" distR="0" wp14:anchorId="11218DF8" wp14:editId="4F502CE6">
            <wp:extent cx="6134100" cy="2952750"/>
            <wp:effectExtent l="0" t="0" r="19050" b="19050"/>
            <wp:docPr id="7" name="Obiec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97C52" w:rsidRPr="00980254" w:rsidRDefault="00897C52" w:rsidP="00897C52">
      <w:pPr>
        <w:autoSpaceDE w:val="0"/>
        <w:autoSpaceDN w:val="0"/>
        <w:adjustRightInd w:val="0"/>
        <w:jc w:val="both"/>
        <w:rPr>
          <w:rFonts w:ascii="Arial" w:hAnsi="Arial" w:cs="Arial"/>
          <w:b/>
          <w:color w:val="FF0000"/>
          <w:lang w:val="ro-RO"/>
        </w:rPr>
      </w:pPr>
    </w:p>
    <w:p w:rsidR="00897C52" w:rsidRPr="00980254" w:rsidRDefault="00897C52" w:rsidP="00897C52">
      <w:pPr>
        <w:autoSpaceDE w:val="0"/>
        <w:autoSpaceDN w:val="0"/>
        <w:adjustRightInd w:val="0"/>
        <w:jc w:val="both"/>
        <w:rPr>
          <w:rFonts w:ascii="Arial" w:hAnsi="Arial" w:cs="Arial"/>
          <w:b/>
          <w:color w:val="FF0000"/>
          <w:lang w:val="ro-RO"/>
        </w:rPr>
      </w:pPr>
      <w:r w:rsidRPr="00980254">
        <w:rPr>
          <w:rFonts w:ascii="Arial" w:hAnsi="Arial" w:cs="Arial"/>
          <w:b/>
          <w:color w:val="FF0000"/>
          <w:lang w:val="ro-RO"/>
        </w:rPr>
        <w:tab/>
      </w:r>
    </w:p>
    <w:p w:rsidR="00897C52" w:rsidRPr="00B84559" w:rsidRDefault="00897C52" w:rsidP="00897C52">
      <w:pPr>
        <w:autoSpaceDE w:val="0"/>
        <w:autoSpaceDN w:val="0"/>
        <w:adjustRightInd w:val="0"/>
        <w:ind w:firstLine="720"/>
        <w:jc w:val="both"/>
        <w:rPr>
          <w:rFonts w:ascii="Arial" w:hAnsi="Arial" w:cs="Arial"/>
          <w:lang w:val="ro-RO"/>
        </w:rPr>
      </w:pPr>
      <w:r w:rsidRPr="00B84559">
        <w:rPr>
          <w:rFonts w:ascii="Arial" w:hAnsi="Arial" w:cs="Arial"/>
          <w:lang w:val="ro-RO"/>
        </w:rPr>
        <w:t xml:space="preserve">Variația medie anuală a activității beta globale – măsurare la 5 zile a probelor de aerosoli atmosferici înregistrate la SSRM Constanţa şi Cernavodă sunt reprezentate grafic, pe intervale de aspirație, în figura </w:t>
      </w:r>
      <w:r w:rsidR="00B84559" w:rsidRPr="00B84559">
        <w:rPr>
          <w:rFonts w:ascii="Arial" w:hAnsi="Arial" w:cs="Arial"/>
          <w:lang w:val="ro-RO"/>
        </w:rPr>
        <w:t>I</w:t>
      </w:r>
      <w:r w:rsidRPr="00B84559">
        <w:rPr>
          <w:rFonts w:ascii="Arial" w:hAnsi="Arial" w:cs="Arial"/>
          <w:lang w:val="ro-RO"/>
        </w:rPr>
        <w:t>X.10.</w:t>
      </w:r>
    </w:p>
    <w:p w:rsidR="00897C52" w:rsidRPr="00980254" w:rsidRDefault="00B84559" w:rsidP="00897C52">
      <w:pPr>
        <w:autoSpaceDE w:val="0"/>
        <w:autoSpaceDN w:val="0"/>
        <w:adjustRightInd w:val="0"/>
        <w:ind w:firstLine="720"/>
        <w:jc w:val="both"/>
        <w:rPr>
          <w:rFonts w:ascii="Arial" w:hAnsi="Arial" w:cs="Arial"/>
          <w:color w:val="FF0000"/>
          <w:lang w:val="ro-RO"/>
        </w:rPr>
      </w:pPr>
      <w:r>
        <w:rPr>
          <w:b/>
          <w:noProof/>
          <w:lang w:val="en-US"/>
        </w:rPr>
        <w:lastRenderedPageBreak/>
        <w:drawing>
          <wp:inline distT="0" distB="0" distL="0" distR="0" wp14:anchorId="005CCBD4" wp14:editId="030434A6">
            <wp:extent cx="6210300" cy="2857500"/>
            <wp:effectExtent l="0" t="0" r="19050" b="19050"/>
            <wp:docPr id="12" name="Obiec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97C52" w:rsidRPr="00B84559" w:rsidRDefault="00897C52" w:rsidP="00B84559">
      <w:pPr>
        <w:autoSpaceDE w:val="0"/>
        <w:autoSpaceDN w:val="0"/>
        <w:adjustRightInd w:val="0"/>
        <w:ind w:firstLine="720"/>
        <w:jc w:val="both"/>
        <w:rPr>
          <w:i/>
          <w:sz w:val="20"/>
          <w:szCs w:val="20"/>
        </w:rPr>
      </w:pPr>
      <w:r w:rsidRPr="00B84559">
        <w:rPr>
          <w:rFonts w:ascii="Arial" w:hAnsi="Arial" w:cs="Arial"/>
          <w:lang w:val="ro-RO"/>
        </w:rPr>
        <w:t xml:space="preserve"> </w:t>
      </w:r>
      <w:r w:rsidRPr="00B84559">
        <w:rPr>
          <w:i/>
          <w:sz w:val="20"/>
          <w:szCs w:val="20"/>
        </w:rPr>
        <w:t>Notă: limita de avertizare pentru activitatea beta globala la 5 zile (conform O.M. nr. 1978/2010 ) este de 0.2 Bq/mc.</w:t>
      </w:r>
    </w:p>
    <w:p w:rsidR="00897C52" w:rsidRPr="00B84559" w:rsidRDefault="00897C52" w:rsidP="00897C52">
      <w:pPr>
        <w:autoSpaceDE w:val="0"/>
        <w:autoSpaceDN w:val="0"/>
        <w:adjustRightInd w:val="0"/>
        <w:rPr>
          <w:rFonts w:ascii="Arial" w:hAnsi="Arial" w:cs="Arial"/>
          <w:b/>
          <w:bCs/>
        </w:rPr>
      </w:pPr>
    </w:p>
    <w:p w:rsidR="00897C52" w:rsidRPr="00B84559" w:rsidRDefault="00897C52" w:rsidP="00897C52">
      <w:pPr>
        <w:autoSpaceDE w:val="0"/>
        <w:autoSpaceDN w:val="0"/>
        <w:adjustRightInd w:val="0"/>
        <w:ind w:firstLine="720"/>
        <w:jc w:val="both"/>
        <w:rPr>
          <w:rFonts w:ascii="Arial" w:hAnsi="Arial" w:cs="Arial"/>
          <w:lang w:val="ro-RO"/>
        </w:rPr>
      </w:pPr>
      <w:r w:rsidRPr="00B84559">
        <w:rPr>
          <w:rFonts w:ascii="Arial" w:hAnsi="Arial" w:cs="Arial"/>
          <w:lang w:val="ro-RO"/>
        </w:rPr>
        <w:t>Filtrele aspirate şi măsurate beta global la SSRM Constanţa, Cernavodă, Galaţi, Buzău, Tulcea, Sfântu Gheorghe au fost cumulate lunar şi măsurate gama spectrometric la SSRM Constanţa . În urma analizelor gama spectrometrice efectuate în cursul anului 201</w:t>
      </w:r>
      <w:r w:rsidR="00B84559" w:rsidRPr="00B84559">
        <w:rPr>
          <w:rFonts w:ascii="Arial" w:hAnsi="Arial" w:cs="Arial"/>
          <w:lang w:val="ro-RO"/>
        </w:rPr>
        <w:t>5</w:t>
      </w:r>
      <w:r w:rsidRPr="00B84559">
        <w:rPr>
          <w:rFonts w:ascii="Arial" w:hAnsi="Arial" w:cs="Arial"/>
          <w:lang w:val="ro-RO"/>
        </w:rPr>
        <w:t xml:space="preserve">, s-a pus în evidenţă prezenţa radionuclizilor naturali Be-7, K-40, precum şi a unor radionuclizi din seriile radioactive naturale. </w:t>
      </w:r>
    </w:p>
    <w:p w:rsidR="00897C52" w:rsidRPr="00B84559" w:rsidRDefault="00897C52" w:rsidP="00897C52">
      <w:pPr>
        <w:autoSpaceDE w:val="0"/>
        <w:autoSpaceDN w:val="0"/>
        <w:adjustRightInd w:val="0"/>
        <w:ind w:firstLine="720"/>
        <w:jc w:val="both"/>
        <w:rPr>
          <w:rFonts w:ascii="Arial" w:hAnsi="Arial" w:cs="Arial"/>
          <w:lang w:val="ro-RO"/>
        </w:rPr>
      </w:pPr>
      <w:r w:rsidRPr="00B84559">
        <w:rPr>
          <w:rFonts w:ascii="Arial" w:hAnsi="Arial" w:cs="Arial"/>
          <w:lang w:val="ro-RO"/>
        </w:rPr>
        <w:t>Un radionuclid de interes detectat a fost Be-7 care este natural şi se formează în straturile superioare ale atmosferei terestre. El s-a aflat în concentraţii relativ mari în atmosferă (1.4</w:t>
      </w:r>
      <w:r w:rsidR="00B84559" w:rsidRPr="00B84559">
        <w:rPr>
          <w:rFonts w:ascii="Arial" w:hAnsi="Arial" w:cs="Arial"/>
          <w:lang w:val="ro-RO"/>
        </w:rPr>
        <w:t>8</w:t>
      </w:r>
      <w:r w:rsidRPr="00B84559">
        <w:rPr>
          <w:rFonts w:ascii="Arial" w:hAnsi="Arial" w:cs="Arial"/>
          <w:lang w:val="ro-RO"/>
        </w:rPr>
        <w:t>5-</w:t>
      </w:r>
      <w:r w:rsidR="00B84559" w:rsidRPr="00B84559">
        <w:rPr>
          <w:rFonts w:ascii="Arial" w:hAnsi="Arial" w:cs="Arial"/>
          <w:lang w:val="ro-RO"/>
        </w:rPr>
        <w:t>7.449</w:t>
      </w:r>
      <w:r w:rsidRPr="00B84559">
        <w:rPr>
          <w:rFonts w:ascii="Arial" w:hAnsi="Arial" w:cs="Arial"/>
          <w:lang w:val="ro-RO"/>
        </w:rPr>
        <w:t xml:space="preserve"> mBq/mc) şi a fost determinat în aproape toate probele măsurate.   ( figura </w:t>
      </w:r>
      <w:r w:rsidR="00B84559" w:rsidRPr="00B84559">
        <w:rPr>
          <w:rFonts w:ascii="Arial" w:hAnsi="Arial" w:cs="Arial"/>
          <w:lang w:val="ro-RO"/>
        </w:rPr>
        <w:t>I</w:t>
      </w:r>
      <w:r w:rsidRPr="00B84559">
        <w:rPr>
          <w:rFonts w:ascii="Arial" w:hAnsi="Arial" w:cs="Arial"/>
          <w:lang w:val="ro-RO"/>
        </w:rPr>
        <w:t>X.11.).</w:t>
      </w:r>
    </w:p>
    <w:p w:rsidR="00897C52" w:rsidRPr="00980254" w:rsidRDefault="00897C52" w:rsidP="00897C52">
      <w:pPr>
        <w:autoSpaceDE w:val="0"/>
        <w:autoSpaceDN w:val="0"/>
        <w:adjustRightInd w:val="0"/>
        <w:ind w:firstLine="720"/>
        <w:jc w:val="both"/>
        <w:rPr>
          <w:rFonts w:ascii="Arial" w:hAnsi="Arial" w:cs="Arial"/>
          <w:color w:val="FF0000"/>
          <w:lang w:val="ro-RO"/>
        </w:rPr>
      </w:pPr>
    </w:p>
    <w:p w:rsidR="00897C52" w:rsidRPr="00980254" w:rsidRDefault="00B84559" w:rsidP="00897C52">
      <w:pPr>
        <w:pStyle w:val="Indentcorptext3"/>
        <w:rPr>
          <w:color w:val="FF0000"/>
          <w:lang w:eastAsia="ro-RO"/>
        </w:rPr>
      </w:pPr>
      <w:bookmarkStart w:id="55" w:name="_MON_1369554727"/>
      <w:bookmarkStart w:id="56" w:name="_MON_1399314268"/>
      <w:bookmarkStart w:id="57" w:name="_MON_1399725324"/>
      <w:bookmarkStart w:id="58" w:name="_MON_1399725890"/>
      <w:bookmarkStart w:id="59" w:name="_MON_1399725904"/>
      <w:bookmarkStart w:id="60" w:name="_MON_1431966922"/>
      <w:bookmarkStart w:id="61" w:name="_MON_1431967982"/>
      <w:bookmarkStart w:id="62" w:name="_MON_1431968579"/>
      <w:bookmarkEnd w:id="55"/>
      <w:bookmarkEnd w:id="56"/>
      <w:bookmarkEnd w:id="57"/>
      <w:bookmarkEnd w:id="58"/>
      <w:bookmarkEnd w:id="59"/>
      <w:bookmarkEnd w:id="60"/>
      <w:bookmarkEnd w:id="61"/>
      <w:bookmarkEnd w:id="62"/>
      <w:r>
        <w:rPr>
          <w:noProof/>
        </w:rPr>
        <w:drawing>
          <wp:inline distT="0" distB="0" distL="0" distR="0">
            <wp:extent cx="6172200" cy="2743200"/>
            <wp:effectExtent l="0" t="0" r="0" b="0"/>
            <wp:docPr id="10" name="Diagramă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897C52" w:rsidRPr="00980254">
        <w:rPr>
          <w:color w:val="FF0000"/>
          <w:lang w:eastAsia="ro-RO"/>
        </w:rPr>
        <w:br w:type="textWrapping" w:clear="all"/>
      </w:r>
    </w:p>
    <w:p w:rsidR="00897C52" w:rsidRPr="00674B63" w:rsidRDefault="00897C52" w:rsidP="00897C52">
      <w:pPr>
        <w:autoSpaceDE w:val="0"/>
        <w:autoSpaceDN w:val="0"/>
        <w:adjustRightInd w:val="0"/>
        <w:ind w:firstLine="720"/>
        <w:rPr>
          <w:rFonts w:ascii="Arial" w:hAnsi="Arial" w:cs="Arial"/>
          <w:bCs/>
          <w:lang w:val="ro-RO"/>
        </w:rPr>
      </w:pPr>
    </w:p>
    <w:p w:rsidR="00897C52" w:rsidRPr="00674B63" w:rsidRDefault="00897C52" w:rsidP="004136DB">
      <w:pPr>
        <w:pStyle w:val="Listparagraf"/>
        <w:numPr>
          <w:ilvl w:val="0"/>
          <w:numId w:val="41"/>
        </w:numPr>
        <w:spacing w:after="0" w:line="360" w:lineRule="auto"/>
        <w:rPr>
          <w:rFonts w:ascii="Arial" w:hAnsi="Arial" w:cs="Arial"/>
          <w:b/>
          <w:sz w:val="24"/>
          <w:szCs w:val="24"/>
          <w:lang w:eastAsia="ro-RO"/>
        </w:rPr>
      </w:pPr>
      <w:r w:rsidRPr="00674B63">
        <w:rPr>
          <w:rFonts w:ascii="Arial" w:hAnsi="Arial" w:cs="Arial"/>
          <w:b/>
          <w:sz w:val="24"/>
          <w:szCs w:val="24"/>
        </w:rPr>
        <w:t xml:space="preserve">Depuneri atmosferice totale </w:t>
      </w:r>
    </w:p>
    <w:p w:rsidR="00897C52" w:rsidRPr="00674B63" w:rsidRDefault="00897C52" w:rsidP="00674B63">
      <w:pPr>
        <w:pStyle w:val="Corptext"/>
        <w:rPr>
          <w:rFonts w:ascii="Arial" w:hAnsi="Arial" w:cs="Arial"/>
          <w:lang w:val="en-US"/>
        </w:rPr>
      </w:pPr>
      <w:r w:rsidRPr="00674B63">
        <w:rPr>
          <w:rFonts w:ascii="Arial" w:hAnsi="Arial" w:cs="Arial"/>
          <w:b/>
        </w:rPr>
        <w:tab/>
      </w:r>
      <w:r w:rsidRPr="00674B63">
        <w:rPr>
          <w:rFonts w:ascii="Arial" w:hAnsi="Arial" w:cs="Arial"/>
        </w:rPr>
        <w:t xml:space="preserve">Prelevarea probelor de depuneri atmosferice totale (pulberi sedimentabile şi precipitaţii) se face zilnic de pe o suprafaţă de 0.3 mp, durata de prelevare fiind de </w:t>
      </w:r>
      <w:r w:rsidRPr="00674B63">
        <w:rPr>
          <w:rFonts w:ascii="Arial" w:hAnsi="Arial" w:cs="Arial"/>
        </w:rPr>
        <w:lastRenderedPageBreak/>
        <w:t>24 h. Nivelul radioactivităţii beta globale la măsurarea imediată a probelor de depuneri atmosferice pentru anul 201</w:t>
      </w:r>
      <w:r w:rsidR="00B84559" w:rsidRPr="00674B63">
        <w:rPr>
          <w:rFonts w:ascii="Arial" w:hAnsi="Arial" w:cs="Arial"/>
          <w:lang w:val="en-US"/>
        </w:rPr>
        <w:t>5</w:t>
      </w:r>
      <w:r w:rsidRPr="00674B63">
        <w:rPr>
          <w:rFonts w:ascii="Arial" w:hAnsi="Arial" w:cs="Arial"/>
        </w:rPr>
        <w:t xml:space="preserve"> este prezentat în figura </w:t>
      </w:r>
      <w:r w:rsidR="00B84559" w:rsidRPr="00674B63">
        <w:rPr>
          <w:rFonts w:ascii="Arial" w:hAnsi="Arial" w:cs="Arial"/>
          <w:lang w:val="en-US"/>
        </w:rPr>
        <w:t>I</w:t>
      </w:r>
      <w:r w:rsidRPr="00674B63">
        <w:rPr>
          <w:rFonts w:ascii="Arial" w:hAnsi="Arial" w:cs="Arial"/>
        </w:rPr>
        <w:t xml:space="preserve">X.12. </w:t>
      </w:r>
    </w:p>
    <w:p w:rsidR="00B84559" w:rsidRPr="00B84559" w:rsidRDefault="00B84559" w:rsidP="00B84559">
      <w:pPr>
        <w:pStyle w:val="Indentcorptext3"/>
        <w:ind w:left="0" w:firstLine="283"/>
        <w:rPr>
          <w:rFonts w:ascii="Arial" w:hAnsi="Arial" w:cs="Arial"/>
          <w:sz w:val="24"/>
          <w:szCs w:val="24"/>
        </w:rPr>
      </w:pPr>
      <w:r w:rsidRPr="00B84559">
        <w:rPr>
          <w:rFonts w:ascii="Arial" w:hAnsi="Arial" w:cs="Arial"/>
          <w:sz w:val="24"/>
          <w:szCs w:val="24"/>
        </w:rPr>
        <w:t>Maxima anuală a fost de 63.27 Bq/mp*zi la SSRM Constanţa, înregistrat în data de 26.07.2015, iar la SSRM Cernavodă valoarea maximă a fost de 13.65 Bq/mp*zi, înregistrată în data de 30.04.2015. Nu au fost depăşiri ale nivelului de atenţionare.</w:t>
      </w:r>
    </w:p>
    <w:p w:rsidR="00B84559" w:rsidRPr="00B84559" w:rsidRDefault="00B84559" w:rsidP="00897C52">
      <w:pPr>
        <w:pStyle w:val="Corptext"/>
        <w:rPr>
          <w:rFonts w:ascii="Arial" w:hAnsi="Arial" w:cs="Arial"/>
          <w:color w:val="FF0000"/>
          <w:lang w:val="en-US"/>
        </w:rPr>
      </w:pPr>
      <w:r>
        <w:rPr>
          <w:noProof/>
          <w:lang w:val="en-US" w:eastAsia="en-US"/>
        </w:rPr>
        <w:drawing>
          <wp:inline distT="0" distB="0" distL="0" distR="0">
            <wp:extent cx="6128385" cy="2459990"/>
            <wp:effectExtent l="0" t="0" r="0" b="0"/>
            <wp:docPr id="11" name="Diagramă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97C52" w:rsidRPr="00B84559" w:rsidRDefault="00897C52" w:rsidP="00897C52">
      <w:pPr>
        <w:pStyle w:val="Corptext3"/>
        <w:ind w:firstLine="720"/>
        <w:rPr>
          <w:i/>
          <w:sz w:val="20"/>
          <w:szCs w:val="20"/>
        </w:rPr>
      </w:pPr>
      <w:bookmarkStart w:id="63" w:name="_MON_1369557884"/>
      <w:bookmarkStart w:id="64" w:name="_MON_1399559470"/>
      <w:bookmarkStart w:id="65" w:name="_MON_1399559794"/>
      <w:bookmarkStart w:id="66" w:name="_MON_1399561892"/>
      <w:bookmarkStart w:id="67" w:name="_MON_1399916404"/>
      <w:bookmarkStart w:id="68" w:name="_MON_1399916408"/>
      <w:bookmarkStart w:id="69" w:name="_MON_1431970997"/>
      <w:bookmarkStart w:id="70" w:name="_MON_1433744667"/>
      <w:bookmarkEnd w:id="63"/>
      <w:bookmarkEnd w:id="64"/>
      <w:bookmarkEnd w:id="65"/>
      <w:bookmarkEnd w:id="66"/>
      <w:bookmarkEnd w:id="67"/>
      <w:bookmarkEnd w:id="68"/>
      <w:bookmarkEnd w:id="69"/>
      <w:bookmarkEnd w:id="70"/>
      <w:r w:rsidRPr="00B84559">
        <w:rPr>
          <w:i/>
          <w:sz w:val="20"/>
          <w:szCs w:val="20"/>
        </w:rPr>
        <w:t>Notă: limita de avertizare pentru activitatea beta globala imediată (conform O.M. nr. 1978/2010 ) este de 200 Bq/mp*zi</w:t>
      </w:r>
    </w:p>
    <w:p w:rsidR="00897C52" w:rsidRPr="00980254" w:rsidRDefault="00897C52" w:rsidP="00897C52">
      <w:pPr>
        <w:pStyle w:val="Indentcorptext3"/>
        <w:rPr>
          <w:color w:val="FF0000"/>
        </w:rPr>
      </w:pPr>
    </w:p>
    <w:p w:rsidR="00897C52" w:rsidRPr="00674B63" w:rsidRDefault="00897C52" w:rsidP="00897C52">
      <w:pPr>
        <w:ind w:firstLine="720"/>
        <w:rPr>
          <w:rFonts w:ascii="Arial" w:hAnsi="Arial" w:cs="Arial"/>
        </w:rPr>
      </w:pPr>
      <w:r w:rsidRPr="00674B63">
        <w:rPr>
          <w:rFonts w:ascii="Arial" w:hAnsi="Arial" w:cs="Arial"/>
        </w:rPr>
        <w:t>Variaţia mediilor şi maximelor anuale ale activităţii beta globale la măsurarea imediată (exprimată în Bq/mp*zi) pentru depuneri atmosferice totale înregistrate în perioada 2010 - 201</w:t>
      </w:r>
      <w:r w:rsidR="00B84559" w:rsidRPr="00674B63">
        <w:rPr>
          <w:rFonts w:ascii="Arial" w:hAnsi="Arial" w:cs="Arial"/>
        </w:rPr>
        <w:t>5</w:t>
      </w:r>
      <w:r w:rsidRPr="00674B63">
        <w:rPr>
          <w:rFonts w:ascii="Arial" w:hAnsi="Arial" w:cs="Arial"/>
        </w:rPr>
        <w:t xml:space="preserve"> la SSRM Constanța și Cernavodă este prezentată în figura </w:t>
      </w:r>
      <w:r w:rsidR="00B84559" w:rsidRPr="00674B63">
        <w:rPr>
          <w:rFonts w:ascii="Arial" w:hAnsi="Arial" w:cs="Arial"/>
        </w:rPr>
        <w:t>I</w:t>
      </w:r>
      <w:r w:rsidRPr="00674B63">
        <w:rPr>
          <w:rFonts w:ascii="Arial" w:hAnsi="Arial" w:cs="Arial"/>
        </w:rPr>
        <w:t xml:space="preserve">X.13. </w:t>
      </w:r>
    </w:p>
    <w:p w:rsidR="00897C52" w:rsidRPr="00980254" w:rsidRDefault="00B84559" w:rsidP="00897C52">
      <w:pPr>
        <w:pStyle w:val="Corptext"/>
        <w:jc w:val="center"/>
        <w:rPr>
          <w:rFonts w:ascii="Arial" w:hAnsi="Arial" w:cs="Arial"/>
          <w:color w:val="FF0000"/>
        </w:rPr>
      </w:pPr>
      <w:r>
        <w:rPr>
          <w:noProof/>
          <w:lang w:val="en-US" w:eastAsia="en-US"/>
        </w:rPr>
        <w:drawing>
          <wp:inline distT="0" distB="0" distL="0" distR="0" wp14:anchorId="0D6E18CC" wp14:editId="53B9F08C">
            <wp:extent cx="6000750" cy="2447925"/>
            <wp:effectExtent l="0" t="0" r="19050" b="9525"/>
            <wp:docPr id="13" name="Diagramă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97C52" w:rsidRPr="00980254" w:rsidRDefault="00897C52" w:rsidP="00897C52">
      <w:pPr>
        <w:pStyle w:val="Corptext"/>
        <w:rPr>
          <w:rFonts w:ascii="Arial" w:hAnsi="Arial"/>
          <w:b/>
          <w:color w:val="FF0000"/>
        </w:rPr>
      </w:pPr>
    </w:p>
    <w:p w:rsidR="00B84559" w:rsidRPr="008F387B" w:rsidRDefault="00B84559" w:rsidP="00B84559">
      <w:pPr>
        <w:pStyle w:val="Corptext"/>
        <w:ind w:firstLine="720"/>
        <w:rPr>
          <w:rFonts w:ascii="Arial" w:hAnsi="Arial" w:cs="Arial"/>
        </w:rPr>
      </w:pPr>
      <w:r w:rsidRPr="008F387B">
        <w:rPr>
          <w:rFonts w:ascii="Arial" w:hAnsi="Arial" w:cs="Arial"/>
        </w:rPr>
        <w:t xml:space="preserve">După măsurarea beta globală, probele zilnice colectate de SSRM Cernavodă, Galaţi, Buzău, Tulcea, Sfântu Gheorghe aflate în Regiunea de dezvoltare de Sud-Est au fost cumulate lunar şi </w:t>
      </w:r>
      <w:r>
        <w:rPr>
          <w:rFonts w:ascii="Arial" w:hAnsi="Arial" w:cs="Arial"/>
        </w:rPr>
        <w:t>măsurate gama spectrometric</w:t>
      </w:r>
      <w:r w:rsidRPr="008F387B">
        <w:rPr>
          <w:rFonts w:ascii="Arial" w:hAnsi="Arial" w:cs="Arial"/>
        </w:rPr>
        <w:t xml:space="preserve"> la SSRM Constanţa. </w:t>
      </w:r>
    </w:p>
    <w:p w:rsidR="00B84559" w:rsidRDefault="00B84559" w:rsidP="00B84559">
      <w:pPr>
        <w:pStyle w:val="Corptext"/>
        <w:ind w:firstLine="720"/>
        <w:rPr>
          <w:rFonts w:ascii="Arial" w:hAnsi="Arial" w:cs="Arial"/>
        </w:rPr>
      </w:pPr>
      <w:r w:rsidRPr="008F387B">
        <w:rPr>
          <w:rFonts w:ascii="Arial" w:hAnsi="Arial" w:cs="Arial"/>
        </w:rPr>
        <w:t xml:space="preserve">Radionuclidul natural de origine cosmogenică Be-7 a fost detectat şi măsurat în </w:t>
      </w:r>
      <w:r w:rsidRPr="00E20BB9">
        <w:rPr>
          <w:rFonts w:ascii="Arial" w:hAnsi="Arial" w:cs="Arial"/>
        </w:rPr>
        <w:t xml:space="preserve">toate  probele de depuneri atmosferice totale cumulate lunar (figura </w:t>
      </w:r>
      <w:r w:rsidRPr="00E20BB9">
        <w:rPr>
          <w:rFonts w:ascii="Arial" w:hAnsi="Arial" w:cs="Arial"/>
        </w:rPr>
        <w:lastRenderedPageBreak/>
        <w:t>IX.14.), mai puţin în cea din luna mai de la SSRM Sfântu Gheorghe</w:t>
      </w:r>
      <w:r>
        <w:rPr>
          <w:rFonts w:ascii="Arial" w:hAnsi="Arial" w:cs="Arial"/>
        </w:rPr>
        <w:t>. Concentraţia acestuia a variat</w:t>
      </w:r>
      <w:r w:rsidRPr="008F387B">
        <w:rPr>
          <w:rFonts w:ascii="Arial" w:hAnsi="Arial" w:cs="Arial"/>
        </w:rPr>
        <w:t xml:space="preserve"> între  </w:t>
      </w:r>
      <w:r w:rsidRPr="00CF5E73">
        <w:rPr>
          <w:rFonts w:ascii="Arial" w:hAnsi="Arial" w:cs="Arial"/>
        </w:rPr>
        <w:t>0.029 Bq/mp*zi (SSRM Cernavod</w:t>
      </w:r>
      <w:r>
        <w:rPr>
          <w:rFonts w:ascii="Arial" w:hAnsi="Arial" w:cs="Arial"/>
        </w:rPr>
        <w:t>ă</w:t>
      </w:r>
      <w:r w:rsidRPr="00CF5E73">
        <w:rPr>
          <w:rFonts w:ascii="Arial" w:hAnsi="Arial" w:cs="Arial"/>
        </w:rPr>
        <w:t xml:space="preserve"> în luna decembrie) şi 2.562 Bq/mp*zi (SSRM Sf</w:t>
      </w:r>
      <w:r>
        <w:rPr>
          <w:rFonts w:ascii="Arial" w:hAnsi="Arial" w:cs="Arial"/>
        </w:rPr>
        <w:t>â</w:t>
      </w:r>
      <w:r w:rsidRPr="00CF5E73">
        <w:rPr>
          <w:rFonts w:ascii="Arial" w:hAnsi="Arial" w:cs="Arial"/>
        </w:rPr>
        <w:t>ntu Gheorghe în luna octombrie).</w:t>
      </w:r>
    </w:p>
    <w:p w:rsidR="00897C52" w:rsidRPr="00980254" w:rsidRDefault="00B84559" w:rsidP="00897C52">
      <w:pPr>
        <w:pStyle w:val="Corptext"/>
        <w:rPr>
          <w:rFonts w:ascii="Arial" w:hAnsi="Arial" w:cs="Arial"/>
          <w:color w:val="FF0000"/>
        </w:rPr>
      </w:pPr>
      <w:r>
        <w:rPr>
          <w:noProof/>
          <w:lang w:val="en-US" w:eastAsia="en-US"/>
        </w:rPr>
        <w:drawing>
          <wp:inline distT="0" distB="0" distL="0" distR="0">
            <wp:extent cx="6096000" cy="2721610"/>
            <wp:effectExtent l="0" t="0" r="0" b="0"/>
            <wp:docPr id="14" name="Diagramă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84559" w:rsidRPr="00624121" w:rsidRDefault="00897C52" w:rsidP="00B84559">
      <w:pPr>
        <w:pStyle w:val="Corptext"/>
        <w:ind w:firstLine="720"/>
        <w:rPr>
          <w:rFonts w:ascii="Arial" w:hAnsi="Arial" w:cs="Arial"/>
        </w:rPr>
      </w:pPr>
      <w:r w:rsidRPr="00980254">
        <w:rPr>
          <w:rFonts w:ascii="Arial" w:hAnsi="Arial" w:cs="Arial"/>
          <w:color w:val="FF0000"/>
          <w:sz w:val="24"/>
          <w:szCs w:val="24"/>
        </w:rPr>
        <w:t xml:space="preserve"> </w:t>
      </w:r>
      <w:r w:rsidR="00B84559">
        <w:rPr>
          <w:rFonts w:ascii="Arial" w:hAnsi="Arial" w:cs="Arial"/>
        </w:rPr>
        <w:t xml:space="preserve">Deasemeni, a fost pusă în evidenţă  prezența radionuclidului natural Pb-210 </w:t>
      </w:r>
      <w:r w:rsidR="00B84559" w:rsidRPr="00E20BB9">
        <w:rPr>
          <w:rFonts w:ascii="Arial" w:hAnsi="Arial" w:cs="Arial"/>
        </w:rPr>
        <w:t>în toate  probele de depuneri atmosferice totale cumulate lunar, mai puţin în cea din luna mai de la SSRM Sfântu Gheorghe şi din luna decembrie de la SSRM Cernavodă</w:t>
      </w:r>
      <w:r w:rsidR="00B84559">
        <w:rPr>
          <w:rFonts w:ascii="Arial" w:hAnsi="Arial" w:cs="Arial"/>
        </w:rPr>
        <w:t>. C</w:t>
      </w:r>
      <w:r w:rsidR="00B84559" w:rsidRPr="00E20BB9">
        <w:rPr>
          <w:rFonts w:ascii="Arial" w:hAnsi="Arial" w:cs="Arial"/>
        </w:rPr>
        <w:t>oncentrația</w:t>
      </w:r>
      <w:r w:rsidR="00B84559">
        <w:rPr>
          <w:rFonts w:ascii="Arial" w:hAnsi="Arial" w:cs="Arial"/>
        </w:rPr>
        <w:t xml:space="preserve"> acestuia s-a situat </w:t>
      </w:r>
      <w:r w:rsidR="00B84559" w:rsidRPr="00CF5E73">
        <w:rPr>
          <w:rFonts w:ascii="Arial" w:hAnsi="Arial" w:cs="Arial"/>
        </w:rPr>
        <w:t>între 0.021 Bq/mp*zi (SSRM Buz</w:t>
      </w:r>
      <w:r w:rsidR="00B84559">
        <w:rPr>
          <w:rFonts w:ascii="Arial" w:hAnsi="Arial" w:cs="Arial"/>
        </w:rPr>
        <w:t>ă</w:t>
      </w:r>
      <w:r w:rsidR="00B84559" w:rsidRPr="00CF5E73">
        <w:rPr>
          <w:rFonts w:ascii="Arial" w:hAnsi="Arial" w:cs="Arial"/>
        </w:rPr>
        <w:t>u în luna octombrie) şi 0.717 Bq/mp*zi (SSRM Tulcea în luna august). (figura IX.15.)</w:t>
      </w:r>
    </w:p>
    <w:p w:rsidR="00897C52" w:rsidRPr="00980254" w:rsidRDefault="00B84559" w:rsidP="00E2185C">
      <w:pPr>
        <w:pStyle w:val="Corptext"/>
        <w:ind w:firstLine="720"/>
        <w:jc w:val="both"/>
        <w:rPr>
          <w:rFonts w:ascii="Arial" w:hAnsi="Arial" w:cs="Arial"/>
          <w:color w:val="FF0000"/>
          <w:sz w:val="24"/>
          <w:szCs w:val="24"/>
        </w:rPr>
      </w:pPr>
      <w:r>
        <w:rPr>
          <w:noProof/>
          <w:lang w:val="en-US" w:eastAsia="en-US"/>
        </w:rPr>
        <w:drawing>
          <wp:inline distT="0" distB="0" distL="0" distR="0">
            <wp:extent cx="6096000" cy="2721610"/>
            <wp:effectExtent l="0" t="0" r="0" b="0"/>
            <wp:docPr id="15" name="Diagramă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97C52" w:rsidRPr="00980254" w:rsidRDefault="00897C52" w:rsidP="00897C52">
      <w:pPr>
        <w:autoSpaceDE w:val="0"/>
        <w:autoSpaceDN w:val="0"/>
        <w:adjustRightInd w:val="0"/>
        <w:jc w:val="both"/>
        <w:rPr>
          <w:rFonts w:ascii="Arial" w:hAnsi="Arial"/>
          <w:b/>
          <w:color w:val="FF0000"/>
          <w:lang w:val="ro-RO"/>
        </w:rPr>
      </w:pPr>
    </w:p>
    <w:p w:rsidR="00897C52" w:rsidRPr="00980254" w:rsidRDefault="00897C52" w:rsidP="00897C52">
      <w:pPr>
        <w:autoSpaceDE w:val="0"/>
        <w:autoSpaceDN w:val="0"/>
        <w:adjustRightInd w:val="0"/>
        <w:jc w:val="center"/>
        <w:rPr>
          <w:rFonts w:ascii="Arial" w:hAnsi="Arial"/>
          <w:b/>
          <w:color w:val="FF0000"/>
        </w:rPr>
      </w:pPr>
      <w:bookmarkStart w:id="71" w:name="_MON_1369564568"/>
      <w:bookmarkStart w:id="72" w:name="_MON_1399571374"/>
      <w:bookmarkStart w:id="73" w:name="_MON_1399572277"/>
      <w:bookmarkStart w:id="74" w:name="_MON_1431972088"/>
      <w:bookmarkStart w:id="75" w:name="_MON_1431972610"/>
      <w:bookmarkStart w:id="76" w:name="_MON_1432317193"/>
      <w:bookmarkStart w:id="77" w:name="_MON_1433141976"/>
      <w:bookmarkStart w:id="78" w:name="_MON_1433744700"/>
      <w:bookmarkStart w:id="79" w:name="_MON_1433744926"/>
      <w:bookmarkStart w:id="80" w:name="_MON_1433744945"/>
      <w:bookmarkStart w:id="81" w:name="_MON_1465458596"/>
      <w:bookmarkStart w:id="82" w:name="_MON_1465481552"/>
      <w:bookmarkStart w:id="83" w:name="_MON_1369501125"/>
      <w:bookmarkStart w:id="84" w:name="_MON_1369563503"/>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897C52" w:rsidRPr="00980254" w:rsidRDefault="00897C52" w:rsidP="00897C52">
      <w:pPr>
        <w:pStyle w:val="Corptext"/>
        <w:ind w:firstLine="720"/>
        <w:rPr>
          <w:rFonts w:ascii="Arial" w:hAnsi="Arial" w:cs="Arial"/>
          <w:color w:val="FF0000"/>
        </w:rPr>
      </w:pPr>
    </w:p>
    <w:p w:rsidR="00B84559" w:rsidRPr="00F723C7" w:rsidRDefault="00B84559" w:rsidP="00B84559">
      <w:pPr>
        <w:pStyle w:val="Corptext"/>
        <w:ind w:firstLine="720"/>
        <w:rPr>
          <w:rFonts w:ascii="Arial" w:hAnsi="Arial" w:cs="Arial"/>
        </w:rPr>
      </w:pPr>
      <w:r w:rsidRPr="00CF5E73">
        <w:rPr>
          <w:rFonts w:ascii="Arial" w:hAnsi="Arial" w:cs="Arial"/>
        </w:rPr>
        <w:t>Radionuclidul artificial Cs-137 a fost determinat  în probele de depuneri atmosferice din luna februarie la SSRM Buz</w:t>
      </w:r>
      <w:r>
        <w:rPr>
          <w:rFonts w:ascii="Arial" w:hAnsi="Arial" w:cs="Arial"/>
        </w:rPr>
        <w:t>ă</w:t>
      </w:r>
      <w:r w:rsidRPr="00CF5E73">
        <w:rPr>
          <w:rFonts w:ascii="Arial" w:hAnsi="Arial" w:cs="Arial"/>
        </w:rPr>
        <w:t>u</w:t>
      </w:r>
      <w:r>
        <w:rPr>
          <w:rFonts w:ascii="Arial" w:hAnsi="Arial" w:cs="Arial"/>
          <w:lang w:val="en-US"/>
        </w:rPr>
        <w:t xml:space="preserve"> (</w:t>
      </w:r>
      <w:r w:rsidRPr="00CF5E73">
        <w:rPr>
          <w:rFonts w:ascii="Arial" w:hAnsi="Arial" w:cs="Arial"/>
        </w:rPr>
        <w:t>valoarea 0.003 Bq/mp*zi</w:t>
      </w:r>
      <w:r>
        <w:rPr>
          <w:rFonts w:ascii="Arial" w:hAnsi="Arial" w:cs="Arial"/>
        </w:rPr>
        <w:t>),</w:t>
      </w:r>
      <w:r w:rsidRPr="00CF5E73">
        <w:rPr>
          <w:rFonts w:ascii="Arial" w:hAnsi="Arial" w:cs="Arial"/>
        </w:rPr>
        <w:t xml:space="preserve"> din luna iulie la SSRM Gala</w:t>
      </w:r>
      <w:r>
        <w:rPr>
          <w:rFonts w:ascii="Arial" w:hAnsi="Arial" w:cs="Arial"/>
        </w:rPr>
        <w:t>ţi (</w:t>
      </w:r>
      <w:r w:rsidRPr="00CF5E73">
        <w:rPr>
          <w:rFonts w:ascii="Arial" w:hAnsi="Arial" w:cs="Arial"/>
        </w:rPr>
        <w:t>valoarea 0.002 Bq/mp*zi</w:t>
      </w:r>
      <w:r>
        <w:rPr>
          <w:rFonts w:ascii="Arial" w:hAnsi="Arial" w:cs="Arial"/>
        </w:rPr>
        <w:t>)</w:t>
      </w:r>
      <w:r w:rsidRPr="00CF5E73">
        <w:rPr>
          <w:rFonts w:ascii="Arial" w:hAnsi="Arial" w:cs="Arial"/>
        </w:rPr>
        <w:t xml:space="preserve"> </w:t>
      </w:r>
      <w:r>
        <w:rPr>
          <w:rFonts w:ascii="Arial" w:hAnsi="Arial" w:cs="Arial"/>
        </w:rPr>
        <w:t>ş</w:t>
      </w:r>
      <w:r w:rsidRPr="00CF5E73">
        <w:rPr>
          <w:rFonts w:ascii="Arial" w:hAnsi="Arial" w:cs="Arial"/>
        </w:rPr>
        <w:t>i la SSRM Constan</w:t>
      </w:r>
      <w:r>
        <w:rPr>
          <w:rFonts w:ascii="Arial" w:hAnsi="Arial" w:cs="Arial"/>
        </w:rPr>
        <w:t>ţ</w:t>
      </w:r>
      <w:r w:rsidRPr="00CF5E73">
        <w:rPr>
          <w:rFonts w:ascii="Arial" w:hAnsi="Arial" w:cs="Arial"/>
        </w:rPr>
        <w:t>a</w:t>
      </w:r>
      <w:r>
        <w:rPr>
          <w:rFonts w:ascii="Arial" w:hAnsi="Arial" w:cs="Arial"/>
        </w:rPr>
        <w:t xml:space="preserve"> î</w:t>
      </w:r>
      <w:r w:rsidRPr="00CF5E73">
        <w:rPr>
          <w:rFonts w:ascii="Arial" w:hAnsi="Arial" w:cs="Arial"/>
        </w:rPr>
        <w:t xml:space="preserve">n lunile aprilie, august </w:t>
      </w:r>
      <w:r>
        <w:rPr>
          <w:rFonts w:ascii="Arial" w:hAnsi="Arial" w:cs="Arial"/>
        </w:rPr>
        <w:t>ş</w:t>
      </w:r>
      <w:r w:rsidRPr="00CF5E73">
        <w:rPr>
          <w:rFonts w:ascii="Arial" w:hAnsi="Arial" w:cs="Arial"/>
        </w:rPr>
        <w:t xml:space="preserve">i octombrie </w:t>
      </w:r>
      <w:r>
        <w:rPr>
          <w:rFonts w:ascii="Arial" w:hAnsi="Arial" w:cs="Arial"/>
        </w:rPr>
        <w:t>(</w:t>
      </w:r>
      <w:r w:rsidRPr="00CF5E73">
        <w:rPr>
          <w:rFonts w:ascii="Arial" w:hAnsi="Arial" w:cs="Arial"/>
        </w:rPr>
        <w:t>valorile</w:t>
      </w:r>
      <w:r>
        <w:rPr>
          <w:rFonts w:ascii="Arial" w:hAnsi="Arial" w:cs="Arial"/>
          <w:lang w:val="en-US"/>
        </w:rPr>
        <w:t>:</w:t>
      </w:r>
      <w:r w:rsidRPr="00CF5E73">
        <w:rPr>
          <w:rFonts w:ascii="Arial" w:hAnsi="Arial" w:cs="Arial"/>
        </w:rPr>
        <w:t xml:space="preserve"> 0.005, 0.002, 0.001 Bq/mp*zi</w:t>
      </w:r>
      <w:r>
        <w:rPr>
          <w:rFonts w:ascii="Arial" w:hAnsi="Arial" w:cs="Arial"/>
        </w:rPr>
        <w:t>)</w:t>
      </w:r>
      <w:r w:rsidRPr="00CF5E73">
        <w:rPr>
          <w:rFonts w:ascii="Arial" w:hAnsi="Arial" w:cs="Arial"/>
          <w:bCs/>
          <w:color w:val="000000"/>
        </w:rPr>
        <w:t xml:space="preserve">. Sursa </w:t>
      </w:r>
      <w:r w:rsidRPr="00CF5E73">
        <w:rPr>
          <w:rFonts w:ascii="Arial" w:hAnsi="Arial" w:cs="Arial"/>
          <w:bCs/>
          <w:color w:val="000000"/>
        </w:rPr>
        <w:lastRenderedPageBreak/>
        <w:t>actuală pentru Cs-137 din atmosferă este solul contaminat ca urmare a accidentului</w:t>
      </w:r>
      <w:r w:rsidRPr="00F723C7">
        <w:rPr>
          <w:rFonts w:ascii="Arial" w:hAnsi="Arial" w:cs="Arial"/>
          <w:bCs/>
          <w:color w:val="000000"/>
        </w:rPr>
        <w:t xml:space="preserve"> de la CNE Cernobâl. Mecanismul prin care radionuclizii din sol ajung în atmosferă este resuspensia particulelor fine din stratul superficial de sol.</w:t>
      </w:r>
      <w:r w:rsidRPr="00F723C7">
        <w:rPr>
          <w:rFonts w:ascii="Arial" w:hAnsi="Arial" w:cs="Arial"/>
        </w:rPr>
        <w:t xml:space="preserve"> </w:t>
      </w:r>
    </w:p>
    <w:p w:rsidR="00B84559" w:rsidRDefault="00B84559" w:rsidP="00B84559">
      <w:pPr>
        <w:ind w:firstLine="720"/>
        <w:rPr>
          <w:rFonts w:ascii="Arial" w:hAnsi="Arial" w:cs="Arial"/>
          <w:bCs/>
        </w:rPr>
      </w:pPr>
      <w:r w:rsidRPr="00C4610B">
        <w:rPr>
          <w:rFonts w:ascii="Arial" w:hAnsi="Arial" w:cs="Arial"/>
          <w:lang w:val="ro-RO"/>
        </w:rPr>
        <w:t xml:space="preserve">Pentru determinarea conţinutului de </w:t>
      </w:r>
      <w:r>
        <w:rPr>
          <w:rFonts w:ascii="Arial" w:hAnsi="Arial" w:cs="Arial"/>
          <w:lang w:val="ro-RO"/>
        </w:rPr>
        <w:t xml:space="preserve">tritiu </w:t>
      </w:r>
      <w:r w:rsidRPr="00C4610B">
        <w:rPr>
          <w:rFonts w:ascii="Arial" w:hAnsi="Arial" w:cs="Arial"/>
          <w:lang w:val="ro-RO"/>
        </w:rPr>
        <w:t xml:space="preserve"> în atmosferă au fost prelevate probe de precipitaţii atmosferice. Probele au fost măsurate beta spectrometric cu analizorul cu scintilator lichid .</w:t>
      </w:r>
      <w:r>
        <w:rPr>
          <w:rFonts w:ascii="Arial" w:hAnsi="Arial" w:cs="Arial"/>
          <w:lang w:val="ro-RO"/>
        </w:rPr>
        <w:t xml:space="preserve"> Valorile medii şi maxime ale </w:t>
      </w:r>
      <w:r w:rsidRPr="00FC4D6C">
        <w:rPr>
          <w:rFonts w:ascii="Arial" w:hAnsi="Arial" w:cs="Arial"/>
          <w:sz w:val="25"/>
          <w:szCs w:val="25"/>
        </w:rPr>
        <w:t xml:space="preserve"> activităţii tritiului</w:t>
      </w:r>
      <w:r w:rsidRPr="005F0F4C">
        <w:rPr>
          <w:rFonts w:ascii="Arial" w:hAnsi="Arial" w:cs="Arial"/>
          <w:sz w:val="25"/>
          <w:szCs w:val="25"/>
        </w:rPr>
        <w:t xml:space="preserve"> </w:t>
      </w:r>
      <w:r w:rsidRPr="00FC4D6C">
        <w:rPr>
          <w:rFonts w:ascii="Arial" w:hAnsi="Arial" w:cs="Arial"/>
          <w:sz w:val="25"/>
          <w:szCs w:val="25"/>
        </w:rPr>
        <w:t xml:space="preserve"> în probele de precipitaţii atmosferice, </w:t>
      </w:r>
      <w:r>
        <w:rPr>
          <w:rFonts w:ascii="Arial" w:hAnsi="Arial" w:cs="Arial"/>
          <w:sz w:val="25"/>
          <w:szCs w:val="25"/>
        </w:rPr>
        <w:t>măsurate</w:t>
      </w:r>
      <w:r w:rsidRPr="00FC4D6C">
        <w:rPr>
          <w:rFonts w:ascii="Arial" w:hAnsi="Arial" w:cs="Arial"/>
          <w:sz w:val="25"/>
          <w:szCs w:val="25"/>
        </w:rPr>
        <w:t xml:space="preserve"> la </w:t>
      </w:r>
      <w:r w:rsidRPr="005F0F4C">
        <w:rPr>
          <w:rFonts w:ascii="Arial" w:hAnsi="Arial" w:cs="Arial"/>
          <w:sz w:val="25"/>
          <w:szCs w:val="25"/>
        </w:rPr>
        <w:t>SSRM Cernav</w:t>
      </w:r>
      <w:r>
        <w:rPr>
          <w:rFonts w:ascii="Arial" w:hAnsi="Arial" w:cs="Arial"/>
          <w:sz w:val="25"/>
          <w:szCs w:val="25"/>
        </w:rPr>
        <w:t xml:space="preserve">odă în anul 2015 sunt prezentată grafic </w:t>
      </w:r>
      <w:r w:rsidRPr="00F8609F">
        <w:rPr>
          <w:rFonts w:ascii="Arial" w:hAnsi="Arial" w:cs="Arial"/>
          <w:sz w:val="25"/>
          <w:szCs w:val="25"/>
        </w:rPr>
        <w:t>în figura IX.16.</w:t>
      </w:r>
      <w:r w:rsidRPr="00C4610B">
        <w:rPr>
          <w:rFonts w:ascii="Arial" w:hAnsi="Arial" w:cs="Arial"/>
          <w:bCs/>
        </w:rPr>
        <w:t xml:space="preserve"> </w:t>
      </w:r>
      <w:r>
        <w:rPr>
          <w:rFonts w:ascii="Arial" w:hAnsi="Arial" w:cs="Arial"/>
          <w:bCs/>
        </w:rPr>
        <w:tab/>
      </w:r>
    </w:p>
    <w:p w:rsidR="00E2185C" w:rsidRDefault="00B84559" w:rsidP="00E2185C">
      <w:pPr>
        <w:ind w:firstLine="720"/>
        <w:jc w:val="both"/>
        <w:rPr>
          <w:rFonts w:ascii="Arial" w:hAnsi="Arial" w:cs="Arial"/>
          <w:color w:val="FF0000"/>
          <w:lang w:val="ro-RO"/>
        </w:rPr>
      </w:pPr>
      <w:r>
        <w:rPr>
          <w:noProof/>
          <w:lang w:val="en-US"/>
        </w:rPr>
        <w:drawing>
          <wp:inline distT="0" distB="0" distL="0" distR="0" wp14:anchorId="2C153110" wp14:editId="44080E4D">
            <wp:extent cx="6172200" cy="2524125"/>
            <wp:effectExtent l="0" t="0" r="19050" b="9525"/>
            <wp:docPr id="16" name="Diagramă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84559" w:rsidRDefault="00B84559" w:rsidP="00E2185C">
      <w:pPr>
        <w:ind w:firstLine="720"/>
        <w:jc w:val="both"/>
        <w:rPr>
          <w:rFonts w:ascii="Arial" w:hAnsi="Arial" w:cs="Arial"/>
          <w:color w:val="FF0000"/>
          <w:lang w:val="ro-RO"/>
        </w:rPr>
      </w:pPr>
    </w:p>
    <w:p w:rsidR="00E2185C" w:rsidRPr="00980254" w:rsidRDefault="00E2185C" w:rsidP="00897C52">
      <w:pPr>
        <w:tabs>
          <w:tab w:val="left" w:pos="1276"/>
          <w:tab w:val="left" w:leader="dot" w:pos="9356"/>
        </w:tabs>
        <w:ind w:firstLine="737"/>
        <w:rPr>
          <w:color w:val="FF0000"/>
          <w:sz w:val="22"/>
          <w:szCs w:val="26"/>
          <w:lang w:val="ro-RO"/>
        </w:rPr>
      </w:pPr>
    </w:p>
    <w:p w:rsidR="00897C52" w:rsidRPr="00B84559" w:rsidRDefault="00897C52" w:rsidP="00897C52">
      <w:pPr>
        <w:tabs>
          <w:tab w:val="left" w:pos="1276"/>
          <w:tab w:val="left" w:leader="dot" w:pos="9356"/>
        </w:tabs>
        <w:rPr>
          <w:i/>
          <w:sz w:val="22"/>
          <w:szCs w:val="26"/>
          <w:lang w:val="ro-RO"/>
        </w:rPr>
      </w:pPr>
    </w:p>
    <w:p w:rsidR="00755794" w:rsidRPr="00B84559" w:rsidRDefault="00755794" w:rsidP="007816A7">
      <w:pPr>
        <w:numPr>
          <w:ilvl w:val="2"/>
          <w:numId w:val="3"/>
        </w:numPr>
        <w:tabs>
          <w:tab w:val="left" w:pos="1276"/>
          <w:tab w:val="left" w:leader="dot" w:pos="9356"/>
        </w:tabs>
        <w:ind w:left="993"/>
        <w:rPr>
          <w:i/>
          <w:lang w:val="ro-RO"/>
        </w:rPr>
      </w:pPr>
      <w:r w:rsidRPr="00B84559">
        <w:rPr>
          <w:i/>
          <w:lang w:val="ro-RO"/>
        </w:rPr>
        <w:t xml:space="preserve">Radioactivitatea apelor </w:t>
      </w:r>
      <w:r w:rsidR="00546FB6" w:rsidRPr="00B84559">
        <w:rPr>
          <w:i/>
          <w:lang w:val="ro-RO"/>
        </w:rPr>
        <w:t xml:space="preserve"> </w:t>
      </w:r>
    </w:p>
    <w:p w:rsidR="00897C52" w:rsidRPr="00B84559" w:rsidRDefault="00897C52" w:rsidP="00897C52">
      <w:pPr>
        <w:tabs>
          <w:tab w:val="left" w:pos="1276"/>
          <w:tab w:val="left" w:leader="dot" w:pos="9356"/>
        </w:tabs>
        <w:rPr>
          <w:i/>
          <w:lang w:val="ro-RO"/>
        </w:rPr>
      </w:pPr>
    </w:p>
    <w:p w:rsidR="00B84559" w:rsidRPr="00B84559" w:rsidRDefault="00B84559" w:rsidP="00B84559">
      <w:pPr>
        <w:autoSpaceDE w:val="0"/>
        <w:autoSpaceDN w:val="0"/>
        <w:adjustRightInd w:val="0"/>
        <w:jc w:val="both"/>
        <w:rPr>
          <w:b/>
          <w:i/>
          <w:lang w:val="it-IT"/>
        </w:rPr>
      </w:pPr>
      <w:r w:rsidRPr="00B84559">
        <w:rPr>
          <w:b/>
          <w:lang w:val="it-IT"/>
        </w:rPr>
        <w:t xml:space="preserve">A. </w:t>
      </w:r>
      <w:r w:rsidRPr="00B84559">
        <w:rPr>
          <w:b/>
        </w:rPr>
        <w:t xml:space="preserve">Indicatori specifici </w:t>
      </w:r>
      <w:r w:rsidRPr="00B84559">
        <w:rPr>
          <w:i/>
        </w:rPr>
        <w:t>- nu este cazul</w:t>
      </w:r>
      <w:r w:rsidRPr="00B84559">
        <w:rPr>
          <w:b/>
          <w:lang w:val="it-IT"/>
        </w:rPr>
        <w:t xml:space="preserve"> </w:t>
      </w:r>
    </w:p>
    <w:p w:rsidR="00B84559" w:rsidRPr="00B84559" w:rsidRDefault="00B84559" w:rsidP="00B84559">
      <w:pPr>
        <w:pStyle w:val="Corptext3"/>
        <w:numPr>
          <w:ilvl w:val="0"/>
          <w:numId w:val="39"/>
        </w:numPr>
        <w:spacing w:after="0"/>
        <w:jc w:val="both"/>
        <w:rPr>
          <w:b/>
          <w:sz w:val="24"/>
          <w:szCs w:val="24"/>
        </w:rPr>
      </w:pPr>
      <w:r w:rsidRPr="00B84559">
        <w:rPr>
          <w:b/>
          <w:sz w:val="24"/>
          <w:szCs w:val="24"/>
        </w:rPr>
        <w:t xml:space="preserve"> Alte date și informații specifice</w:t>
      </w:r>
    </w:p>
    <w:p w:rsidR="00B84559" w:rsidRPr="00B84559" w:rsidRDefault="00B84559" w:rsidP="00B84559">
      <w:pPr>
        <w:pStyle w:val="Corptext3"/>
        <w:ind w:left="360"/>
        <w:rPr>
          <w:b/>
          <w:sz w:val="24"/>
          <w:szCs w:val="24"/>
        </w:rPr>
      </w:pPr>
    </w:p>
    <w:p w:rsidR="00B84559" w:rsidRPr="00B84559" w:rsidRDefault="00B84559" w:rsidP="00B84559">
      <w:pPr>
        <w:pStyle w:val="CharCaracterCharCharCharCaracter"/>
        <w:numPr>
          <w:ilvl w:val="0"/>
          <w:numId w:val="41"/>
        </w:numPr>
        <w:jc w:val="both"/>
        <w:rPr>
          <w:b/>
          <w:color w:val="FF0000"/>
        </w:rPr>
      </w:pPr>
      <w:r w:rsidRPr="00B84559">
        <w:rPr>
          <w:b/>
        </w:rPr>
        <w:t xml:space="preserve">Apă de suprafaţă colectate în cadrul Programului standard </w:t>
      </w:r>
    </w:p>
    <w:p w:rsidR="00B84559" w:rsidRPr="00B84559" w:rsidRDefault="00B84559" w:rsidP="00B84559">
      <w:pPr>
        <w:pStyle w:val="CharCaracterCharCharCharCaracter"/>
        <w:ind w:left="90" w:firstLine="630"/>
        <w:jc w:val="both"/>
      </w:pPr>
    </w:p>
    <w:p w:rsidR="00B84559" w:rsidRPr="00B84559" w:rsidRDefault="00B84559" w:rsidP="00B84559">
      <w:pPr>
        <w:pStyle w:val="CharCaracterCharCharCharCaracter"/>
        <w:ind w:left="90" w:firstLine="630"/>
        <w:jc w:val="both"/>
        <w:rPr>
          <w:color w:val="FF0000"/>
        </w:rPr>
      </w:pPr>
      <w:r w:rsidRPr="00B84559">
        <w:t xml:space="preserve">În cursul anului 2015 au fost prelevate zilnic, în cadrul </w:t>
      </w:r>
      <w:r w:rsidRPr="00B84559">
        <w:rPr>
          <w:b/>
        </w:rPr>
        <w:t>Programului standard</w:t>
      </w:r>
      <w:r w:rsidRPr="00B84559">
        <w:t>, probe de apă de suprafaţă din Lac Tăbăcărie de către SSRM Constanţa, respectiv din Dunăre (punct de prelevare Gara fluvială) de către SSRM Cernavodă. Rezultatele analizelor beta globale sunt prezentate în figura IX.17.</w:t>
      </w:r>
    </w:p>
    <w:p w:rsidR="00B84559" w:rsidRPr="00B84559" w:rsidRDefault="00B84559" w:rsidP="00B84559">
      <w:pPr>
        <w:pStyle w:val="Indentcorptext3"/>
        <w:rPr>
          <w:sz w:val="24"/>
          <w:szCs w:val="24"/>
        </w:rPr>
      </w:pPr>
      <w:r w:rsidRPr="00B84559">
        <w:rPr>
          <w:sz w:val="24"/>
          <w:szCs w:val="24"/>
        </w:rPr>
        <w:t>Maxima anuală la SSRM Constanţa a fost de 0.411 Bq/l şi s-a înregistrat în data de  18.04.2015, iar la SSRM Cernavodă maxima anuală a fost de 0.524 Bq/l şi s-a înregistrat în data de  13.03.2015.</w:t>
      </w:r>
    </w:p>
    <w:p w:rsidR="00B84559" w:rsidRPr="00DD6F9F" w:rsidRDefault="00B84559" w:rsidP="00B84559">
      <w:pPr>
        <w:pStyle w:val="CharCaracterCharCharCharCaracter"/>
        <w:jc w:val="center"/>
        <w:rPr>
          <w:i/>
          <w:sz w:val="20"/>
          <w:szCs w:val="20"/>
        </w:rPr>
      </w:pPr>
      <w:bookmarkStart w:id="85" w:name="_MON_1399916526"/>
      <w:bookmarkStart w:id="86" w:name="_MON_1399919121"/>
      <w:bookmarkStart w:id="87" w:name="_MON_1432318453"/>
      <w:bookmarkStart w:id="88" w:name="_MON_1465160781"/>
      <w:bookmarkStart w:id="89" w:name="_MON_1465459480"/>
      <w:bookmarkStart w:id="90" w:name="_MON_1369502574"/>
      <w:bookmarkStart w:id="91" w:name="_MON_1399916049"/>
      <w:bookmarkEnd w:id="85"/>
      <w:bookmarkEnd w:id="86"/>
      <w:bookmarkEnd w:id="87"/>
      <w:bookmarkEnd w:id="88"/>
      <w:bookmarkEnd w:id="89"/>
      <w:bookmarkEnd w:id="90"/>
      <w:bookmarkEnd w:id="91"/>
      <w:r>
        <w:rPr>
          <w:noProof/>
          <w:lang w:val="en-US" w:eastAsia="en-US"/>
        </w:rPr>
        <w:lastRenderedPageBreak/>
        <w:drawing>
          <wp:inline distT="0" distB="0" distL="0" distR="0" wp14:anchorId="216DEAAF" wp14:editId="10D10BE7">
            <wp:extent cx="6128385" cy="2459990"/>
            <wp:effectExtent l="0" t="0" r="0" b="0"/>
            <wp:docPr id="25" name="Diagramă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tab/>
      </w:r>
      <w:r w:rsidRPr="00315B9F">
        <w:rPr>
          <w:i/>
          <w:sz w:val="20"/>
          <w:szCs w:val="20"/>
        </w:rPr>
        <w:t>Notă: limita de a</w:t>
      </w:r>
      <w:r>
        <w:rPr>
          <w:i/>
          <w:sz w:val="20"/>
          <w:szCs w:val="20"/>
        </w:rPr>
        <w:t>tenţionar</w:t>
      </w:r>
      <w:r w:rsidRPr="00315B9F">
        <w:rPr>
          <w:i/>
          <w:sz w:val="20"/>
          <w:szCs w:val="20"/>
        </w:rPr>
        <w:t xml:space="preserve">e pentru </w:t>
      </w:r>
      <w:r>
        <w:rPr>
          <w:i/>
          <w:sz w:val="20"/>
          <w:szCs w:val="20"/>
        </w:rPr>
        <w:t>activitatea beta globala imediată pentru ap</w:t>
      </w:r>
      <w:r>
        <w:rPr>
          <w:i/>
          <w:sz w:val="20"/>
          <w:szCs w:val="20"/>
          <w:lang w:val="ro-RO"/>
        </w:rPr>
        <w:t xml:space="preserve">ă </w:t>
      </w:r>
      <w:r w:rsidRPr="00315B9F">
        <w:rPr>
          <w:i/>
          <w:sz w:val="20"/>
          <w:szCs w:val="20"/>
        </w:rPr>
        <w:t xml:space="preserve">(conform O.M. nr. 1978/2010 ) este de </w:t>
      </w:r>
      <w:r w:rsidRPr="00DD6F9F">
        <w:rPr>
          <w:i/>
          <w:sz w:val="20"/>
          <w:szCs w:val="20"/>
        </w:rPr>
        <w:t>2 Bq/l</w:t>
      </w:r>
      <w:r>
        <w:rPr>
          <w:i/>
          <w:sz w:val="20"/>
          <w:szCs w:val="20"/>
        </w:rPr>
        <w:t xml:space="preserve"> </w:t>
      </w:r>
    </w:p>
    <w:p w:rsidR="00B84559" w:rsidRDefault="00B84559" w:rsidP="00B84559">
      <w:pPr>
        <w:pStyle w:val="Indentcorptext3"/>
      </w:pPr>
    </w:p>
    <w:p w:rsidR="00B84559" w:rsidRPr="00B84559" w:rsidRDefault="00B84559" w:rsidP="00B84559">
      <w:pPr>
        <w:pStyle w:val="Indentcorptext3"/>
        <w:rPr>
          <w:sz w:val="24"/>
          <w:szCs w:val="24"/>
          <w:lang w:eastAsia="ro-RO"/>
        </w:rPr>
      </w:pPr>
      <w:r w:rsidRPr="00B84559">
        <w:rPr>
          <w:sz w:val="24"/>
          <w:szCs w:val="24"/>
        </w:rPr>
        <w:t>Evoluția activității beta globale la măsurarea  imediată a probelor de probe de apă de suprafaţă prelevate din Lac Tăbăcărie, respectiv din Dunăre Cernavodă (Gara fluvială), în perioada 2010 – 2015, este prezentată în figura IX.18.</w:t>
      </w:r>
      <w:r w:rsidRPr="00B84559">
        <w:rPr>
          <w:sz w:val="24"/>
          <w:szCs w:val="24"/>
          <w:lang w:eastAsia="ro-RO"/>
        </w:rPr>
        <w:t xml:space="preserve"> </w:t>
      </w:r>
    </w:p>
    <w:p w:rsidR="00B84559" w:rsidRPr="00155146" w:rsidRDefault="00B84559" w:rsidP="00B84559">
      <w:pPr>
        <w:pStyle w:val="Indentcorptext3"/>
        <w:rPr>
          <w:lang w:eastAsia="ro-RO"/>
        </w:rPr>
      </w:pPr>
    </w:p>
    <w:p w:rsidR="00B84559" w:rsidRDefault="00B84559" w:rsidP="00B84559">
      <w:pPr>
        <w:pStyle w:val="Indentcorptext"/>
        <w:ind w:firstLine="0"/>
        <w:rPr>
          <w:rFonts w:ascii="Arial" w:hAnsi="Arial" w:cs="Arial"/>
          <w:color w:val="000000"/>
          <w:lang w:val="fr-FR"/>
        </w:rPr>
      </w:pPr>
      <w:r>
        <w:rPr>
          <w:noProof/>
          <w:lang w:val="en-US" w:eastAsia="en-US"/>
        </w:rPr>
        <w:drawing>
          <wp:inline distT="0" distB="0" distL="0" distR="0" wp14:anchorId="7D5C6655" wp14:editId="5CCEBF8A">
            <wp:extent cx="6000750" cy="2200275"/>
            <wp:effectExtent l="0" t="0" r="19050" b="9525"/>
            <wp:docPr id="17" name="Diagramă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84559" w:rsidRDefault="00B84559" w:rsidP="00B84559">
      <w:pPr>
        <w:pStyle w:val="Indentcorptext"/>
        <w:ind w:firstLine="0"/>
        <w:rPr>
          <w:rFonts w:ascii="Arial" w:hAnsi="Arial" w:cs="Arial"/>
          <w:color w:val="000000"/>
          <w:lang w:val="fr-FR"/>
        </w:rPr>
      </w:pPr>
    </w:p>
    <w:p w:rsidR="00B84559" w:rsidRDefault="00B84559" w:rsidP="00B84559">
      <w:pPr>
        <w:pStyle w:val="CharCaracterCharCharCharCaracter"/>
        <w:ind w:firstLine="720"/>
        <w:jc w:val="both"/>
        <w:rPr>
          <w:rFonts w:ascii="Arial" w:hAnsi="Arial" w:cs="Arial"/>
          <w:lang w:val="ro-RO"/>
        </w:rPr>
      </w:pPr>
      <w:r w:rsidRPr="003C5A1F">
        <w:rPr>
          <w:rFonts w:ascii="Arial" w:hAnsi="Arial" w:cs="Arial"/>
          <w:lang w:val="ro-RO"/>
        </w:rPr>
        <w:t>După măsurarea beta globală, probele zilnice de apă de suprafaţă colectate de SSRM Cernavodă, Galaţi, Buzău, Tulcea, Sfântu Gheorghe sunt cumulate lunar şi măsura</w:t>
      </w:r>
      <w:r>
        <w:rPr>
          <w:rFonts w:ascii="Arial" w:hAnsi="Arial" w:cs="Arial"/>
          <w:lang w:val="ro-RO"/>
        </w:rPr>
        <w:t>t</w:t>
      </w:r>
      <w:r w:rsidRPr="003C5A1F">
        <w:rPr>
          <w:rFonts w:ascii="Arial" w:hAnsi="Arial" w:cs="Arial"/>
          <w:lang w:val="ro-RO"/>
        </w:rPr>
        <w:t>e gama spectrometric la SSRM Constanţa. Rezultatele analizelor gama spectrometrice de înaltă rezoluţie indică accidentul de la Cernobâl ca principala sursă de radioactivitate artificială pentru probele studiate. Radionuclidul art</w:t>
      </w:r>
      <w:r>
        <w:rPr>
          <w:rFonts w:ascii="Arial" w:hAnsi="Arial" w:cs="Arial"/>
          <w:lang w:val="ro-RO"/>
        </w:rPr>
        <w:t xml:space="preserve">ificial identificat a fost </w:t>
      </w:r>
    </w:p>
    <w:p w:rsidR="00B84559" w:rsidRDefault="00B84559" w:rsidP="00B84559">
      <w:pPr>
        <w:pStyle w:val="CharCaracterCharCharCharCaracter"/>
        <w:jc w:val="both"/>
        <w:rPr>
          <w:rFonts w:ascii="Arial" w:hAnsi="Arial" w:cs="Arial"/>
          <w:lang w:val="ro-RO"/>
        </w:rPr>
      </w:pPr>
      <w:r w:rsidRPr="003C5A1F">
        <w:rPr>
          <w:rFonts w:ascii="Arial" w:hAnsi="Arial" w:cs="Arial"/>
          <w:lang w:val="ro-RO"/>
        </w:rPr>
        <w:t xml:space="preserve">Cs-137, produs de fisiune eliberat în mediu pe timpul accidentului. </w:t>
      </w:r>
      <w:r>
        <w:rPr>
          <w:rFonts w:ascii="Arial" w:hAnsi="Arial" w:cs="Arial"/>
          <w:lang w:val="ro-RO"/>
        </w:rPr>
        <w:t xml:space="preserve">          </w:t>
      </w:r>
    </w:p>
    <w:p w:rsidR="00B84559" w:rsidRDefault="00B84559" w:rsidP="00B84559">
      <w:pPr>
        <w:pStyle w:val="CharCaracterCharCharCharCaracter"/>
        <w:ind w:firstLine="720"/>
        <w:jc w:val="both"/>
        <w:rPr>
          <w:rFonts w:ascii="Arial" w:hAnsi="Arial" w:cs="Arial"/>
          <w:lang w:val="ro-RO"/>
        </w:rPr>
      </w:pPr>
      <w:r>
        <w:rPr>
          <w:rFonts w:ascii="Arial" w:hAnsi="Arial" w:cs="Arial"/>
          <w:lang w:val="ro-RO"/>
        </w:rPr>
        <w:t xml:space="preserve"> </w:t>
      </w:r>
      <w:r w:rsidRPr="003C5A1F">
        <w:rPr>
          <w:rFonts w:ascii="Arial" w:hAnsi="Arial" w:cs="Arial"/>
          <w:lang w:val="ro-RO"/>
        </w:rPr>
        <w:t xml:space="preserve">În </w:t>
      </w:r>
      <w:r w:rsidRPr="00F8609F">
        <w:rPr>
          <w:rFonts w:ascii="Arial" w:hAnsi="Arial" w:cs="Arial"/>
          <w:lang w:val="ro-RO"/>
        </w:rPr>
        <w:t>figurile IX.19. şi IX.20. sunt</w:t>
      </w:r>
      <w:r w:rsidRPr="003C5A1F">
        <w:rPr>
          <w:rFonts w:ascii="Arial" w:hAnsi="Arial" w:cs="Arial"/>
          <w:lang w:val="ro-RO"/>
        </w:rPr>
        <w:t xml:space="preserve"> prezentate nivelul şi distribuţia concentraţiilor radionuclizilor Cs-137 şi K-40, radionuclizi cu contribuţie majoră la radioactivitatea probelor de apă, pentru Dunăre, Râu Buzău, Lac Tăbăcărie</w:t>
      </w:r>
      <w:r>
        <w:rPr>
          <w:rFonts w:ascii="Arial" w:hAnsi="Arial" w:cs="Arial"/>
          <w:lang w:val="ro-RO"/>
        </w:rPr>
        <w:t>.</w:t>
      </w:r>
    </w:p>
    <w:p w:rsidR="00B84559" w:rsidRPr="008C0D3D" w:rsidRDefault="00B84559" w:rsidP="00B84559">
      <w:pPr>
        <w:pStyle w:val="CharCaracterCharCharCharCaracter"/>
        <w:ind w:firstLine="720"/>
        <w:jc w:val="both"/>
        <w:rPr>
          <w:rFonts w:ascii="Arial" w:hAnsi="Arial" w:cs="Arial"/>
          <w:lang w:val="ro-RO"/>
        </w:rPr>
      </w:pPr>
      <w:r w:rsidRPr="008C0D3D">
        <w:rPr>
          <w:rFonts w:ascii="Arial" w:hAnsi="Arial" w:cs="Arial"/>
          <w:lang w:val="ro-RO"/>
        </w:rPr>
        <w:t xml:space="preserve"> </w:t>
      </w:r>
    </w:p>
    <w:p w:rsidR="00B84559" w:rsidRDefault="00B84559" w:rsidP="00B84559">
      <w:pPr>
        <w:pStyle w:val="Corptext"/>
        <w:tabs>
          <w:tab w:val="left" w:pos="3680"/>
        </w:tabs>
        <w:jc w:val="center"/>
      </w:pPr>
      <w:r w:rsidRPr="003C5A1F">
        <w:object w:dxaOrig="9591" w:dyaOrig="38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15pt;height:190.3pt" o:ole="" o:preferrelative="f" o:bordertopcolor="black" o:borderleftcolor="black" o:borderbottomcolor="black" o:borderrightcolor="black">
            <v:imagedata r:id="rId27" o:title=""/>
            <o:lock v:ext="edit" aspectratio="f"/>
            <w10:bordertop type="single" width="4"/>
            <w10:borderleft type="single" width="4"/>
            <w10:borderbottom type="single" width="4"/>
            <w10:borderright type="single" width="4"/>
          </v:shape>
          <o:OLEObject Type="Embed" ProgID="MSGraph.Chart.8" ShapeID="_x0000_i1025" DrawAspect="Content" ObjectID="_1543303399" r:id="rId28">
            <o:FieldCodes>\s</o:FieldCodes>
          </o:OLEObject>
        </w:object>
      </w:r>
    </w:p>
    <w:p w:rsidR="00B84559" w:rsidRPr="00614E56" w:rsidRDefault="00B84559" w:rsidP="00B84559">
      <w:pPr>
        <w:pStyle w:val="Corptext"/>
        <w:tabs>
          <w:tab w:val="left" w:pos="3680"/>
        </w:tabs>
        <w:jc w:val="center"/>
        <w:rPr>
          <w:rFonts w:ascii="Arial" w:hAnsi="Arial" w:cs="Arial"/>
          <w:color w:val="FF0000"/>
        </w:rPr>
      </w:pPr>
    </w:p>
    <w:p w:rsidR="00B84559" w:rsidRDefault="00B84559" w:rsidP="00B84559">
      <w:pPr>
        <w:autoSpaceDE w:val="0"/>
        <w:autoSpaceDN w:val="0"/>
        <w:adjustRightInd w:val="0"/>
        <w:jc w:val="center"/>
      </w:pPr>
      <w:r w:rsidRPr="00204376">
        <w:object w:dxaOrig="9605" w:dyaOrig="3900">
          <v:shape id="_x0000_i1026" type="#_x0000_t75" style="width:480pt;height:195.45pt" o:ole="" o:preferrelative="f" o:bordertopcolor="this" o:borderleftcolor="this" o:borderbottomcolor="this" o:borderrightcolor="this">
            <v:imagedata r:id="rId29" o:title=""/>
            <o:lock v:ext="edit" aspectratio="f"/>
            <w10:bordertop type="single" width="4"/>
            <w10:borderleft type="single" width="4"/>
            <w10:borderbottom type="single" width="4"/>
            <w10:borderright type="single" width="4"/>
          </v:shape>
          <o:OLEObject Type="Embed" ProgID="MSGraph.Chart.8" ShapeID="_x0000_i1026" DrawAspect="Content" ObjectID="_1543303400" r:id="rId30">
            <o:FieldCodes>\s</o:FieldCodes>
          </o:OLEObject>
        </w:object>
      </w:r>
    </w:p>
    <w:p w:rsidR="00B84559" w:rsidRPr="003C5D71" w:rsidRDefault="00B84559" w:rsidP="00B84559">
      <w:pPr>
        <w:autoSpaceDE w:val="0"/>
        <w:autoSpaceDN w:val="0"/>
        <w:adjustRightInd w:val="0"/>
        <w:jc w:val="center"/>
      </w:pPr>
    </w:p>
    <w:p w:rsidR="00B84559" w:rsidRPr="00523C99" w:rsidRDefault="00B84559" w:rsidP="00B84559">
      <w:pPr>
        <w:pStyle w:val="Listparagraf"/>
        <w:numPr>
          <w:ilvl w:val="0"/>
          <w:numId w:val="40"/>
        </w:numPr>
        <w:tabs>
          <w:tab w:val="left" w:pos="630"/>
          <w:tab w:val="left" w:pos="720"/>
          <w:tab w:val="left" w:pos="1134"/>
          <w:tab w:val="left" w:pos="7938"/>
        </w:tabs>
        <w:spacing w:after="0" w:line="240" w:lineRule="auto"/>
        <w:ind w:hanging="270"/>
        <w:jc w:val="both"/>
        <w:rPr>
          <w:rFonts w:ascii="Arial" w:hAnsi="Arial" w:cs="Arial"/>
          <w:bCs/>
          <w:sz w:val="24"/>
          <w:szCs w:val="24"/>
        </w:rPr>
      </w:pPr>
      <w:r>
        <w:rPr>
          <w:rFonts w:ascii="Arial" w:hAnsi="Arial" w:cs="Arial"/>
          <w:b/>
          <w:bCs/>
          <w:sz w:val="24"/>
          <w:szCs w:val="24"/>
          <w:lang w:val="pt-BR"/>
        </w:rPr>
        <w:t xml:space="preserve">Apă de suprafaţă colectată </w:t>
      </w:r>
      <w:r>
        <w:rPr>
          <w:rFonts w:ascii="Arial" w:hAnsi="Arial" w:cs="Arial"/>
          <w:b/>
          <w:bCs/>
          <w:sz w:val="24"/>
          <w:szCs w:val="24"/>
        </w:rPr>
        <w:t>î</w:t>
      </w:r>
      <w:r>
        <w:rPr>
          <w:rFonts w:ascii="Arial" w:hAnsi="Arial" w:cs="Arial"/>
          <w:b/>
          <w:bCs/>
          <w:sz w:val="24"/>
          <w:szCs w:val="24"/>
          <w:lang w:val="pt-BR"/>
        </w:rPr>
        <w:t>n cadrul Programelor de monitorizare în zone cu fond natural modificat antropic</w:t>
      </w:r>
    </w:p>
    <w:p w:rsidR="00B84559" w:rsidRPr="00523C99" w:rsidRDefault="00B84559" w:rsidP="00B84559">
      <w:pPr>
        <w:pStyle w:val="Listparagraf"/>
        <w:tabs>
          <w:tab w:val="left" w:pos="567"/>
          <w:tab w:val="left" w:pos="1134"/>
          <w:tab w:val="left" w:pos="7938"/>
        </w:tabs>
        <w:jc w:val="both"/>
        <w:rPr>
          <w:rFonts w:ascii="Arial" w:hAnsi="Arial" w:cs="Arial"/>
          <w:bCs/>
          <w:sz w:val="24"/>
          <w:szCs w:val="24"/>
        </w:rPr>
      </w:pPr>
    </w:p>
    <w:p w:rsidR="00B84559" w:rsidRPr="00523C99" w:rsidRDefault="00B84559" w:rsidP="00B84559">
      <w:pPr>
        <w:pStyle w:val="Listparagraf"/>
        <w:tabs>
          <w:tab w:val="left" w:pos="540"/>
          <w:tab w:val="left" w:pos="1134"/>
          <w:tab w:val="left" w:pos="7938"/>
        </w:tabs>
        <w:ind w:left="0" w:firstLine="720"/>
        <w:jc w:val="both"/>
        <w:rPr>
          <w:rFonts w:ascii="Arial" w:hAnsi="Arial" w:cs="Arial"/>
          <w:bCs/>
          <w:sz w:val="24"/>
          <w:szCs w:val="24"/>
        </w:rPr>
      </w:pPr>
      <w:r w:rsidRPr="00523C99">
        <w:rPr>
          <w:rFonts w:ascii="Arial" w:hAnsi="Arial" w:cs="Arial"/>
          <w:bCs/>
          <w:sz w:val="24"/>
          <w:szCs w:val="24"/>
          <w:lang w:val="pt-BR"/>
        </w:rPr>
        <w:t xml:space="preserve">În cadrul Programului de supraveghere a </w:t>
      </w:r>
      <w:r>
        <w:rPr>
          <w:rFonts w:ascii="Arial" w:hAnsi="Arial" w:cs="Arial"/>
          <w:bCs/>
          <w:sz w:val="24"/>
          <w:szCs w:val="24"/>
          <w:lang w:val="pt-BR"/>
        </w:rPr>
        <w:t xml:space="preserve">radioactivităţii </w:t>
      </w:r>
      <w:r w:rsidRPr="00523C99">
        <w:rPr>
          <w:rFonts w:ascii="Arial" w:hAnsi="Arial" w:cs="Arial"/>
          <w:bCs/>
          <w:sz w:val="24"/>
          <w:szCs w:val="24"/>
          <w:lang w:val="pt-BR"/>
        </w:rPr>
        <w:t xml:space="preserve">mediului </w:t>
      </w:r>
      <w:r w:rsidRPr="00523C99">
        <w:rPr>
          <w:rFonts w:ascii="Arial" w:hAnsi="Arial" w:cs="Arial"/>
          <w:b/>
          <w:bCs/>
          <w:sz w:val="24"/>
          <w:szCs w:val="24"/>
          <w:lang w:val="pt-BR"/>
        </w:rPr>
        <w:t>în zona de infl</w:t>
      </w:r>
      <w:r w:rsidRPr="00523C99">
        <w:rPr>
          <w:rFonts w:ascii="Arial" w:hAnsi="Arial" w:cs="Arial"/>
          <w:b/>
          <w:bCs/>
          <w:sz w:val="24"/>
          <w:szCs w:val="24"/>
        </w:rPr>
        <w:t>uenţă a CNE Cernavodă</w:t>
      </w:r>
      <w:r w:rsidRPr="00523C99">
        <w:rPr>
          <w:rFonts w:ascii="Arial" w:hAnsi="Arial" w:cs="Arial"/>
          <w:bCs/>
          <w:sz w:val="24"/>
          <w:szCs w:val="24"/>
        </w:rPr>
        <w:t xml:space="preserve"> s-au prelevat probe de apă de suprafaţă di</w:t>
      </w:r>
      <w:r>
        <w:rPr>
          <w:rFonts w:ascii="Arial" w:hAnsi="Arial" w:cs="Arial"/>
          <w:bCs/>
          <w:sz w:val="24"/>
          <w:szCs w:val="24"/>
        </w:rPr>
        <w:t xml:space="preserve">n Canalele de deversare Seimeni </w:t>
      </w:r>
      <w:r w:rsidRPr="00523C99">
        <w:rPr>
          <w:rFonts w:ascii="Arial" w:hAnsi="Arial" w:cs="Arial"/>
          <w:bCs/>
          <w:sz w:val="24"/>
          <w:szCs w:val="24"/>
        </w:rPr>
        <w:t>şi Ecluză, din Canalul Dunăre-Marea Neagră (la Medgidia</w:t>
      </w:r>
      <w:r>
        <w:rPr>
          <w:rFonts w:ascii="Arial" w:hAnsi="Arial" w:cs="Arial"/>
          <w:bCs/>
          <w:sz w:val="24"/>
          <w:szCs w:val="24"/>
        </w:rPr>
        <w:t xml:space="preserve"> şi Saligny</w:t>
      </w:r>
      <w:r w:rsidRPr="00523C99">
        <w:rPr>
          <w:rFonts w:ascii="Arial" w:hAnsi="Arial" w:cs="Arial"/>
          <w:bCs/>
          <w:sz w:val="24"/>
          <w:szCs w:val="24"/>
        </w:rPr>
        <w:t xml:space="preserve">), din Dunăre (puncte de colectare Gara fluvială Cernavodă, Cochirleni, </w:t>
      </w:r>
      <w:r>
        <w:rPr>
          <w:rFonts w:ascii="Arial" w:hAnsi="Arial" w:cs="Arial"/>
          <w:bCs/>
          <w:sz w:val="24"/>
          <w:szCs w:val="24"/>
        </w:rPr>
        <w:t>Capidava, Feteşti-Braţul Borcea</w:t>
      </w:r>
      <w:r w:rsidRPr="00523C99">
        <w:rPr>
          <w:rFonts w:ascii="Arial" w:hAnsi="Arial" w:cs="Arial"/>
          <w:bCs/>
          <w:sz w:val="24"/>
          <w:szCs w:val="24"/>
        </w:rPr>
        <w:t>), din Lac Baciu şi Lac Domneasca. Probele au fost supuse analizelor beta globale, beta şi gama spectrometrice, pentru determinarea concentraţiei de tritiu şi  radionuclizilor artificiali gama emiţători.</w:t>
      </w:r>
    </w:p>
    <w:p w:rsidR="00B84559" w:rsidRPr="00740B0C" w:rsidRDefault="00B84559" w:rsidP="00B84559">
      <w:pPr>
        <w:pStyle w:val="Listparagraf"/>
        <w:numPr>
          <w:ilvl w:val="0"/>
          <w:numId w:val="42"/>
        </w:numPr>
        <w:tabs>
          <w:tab w:val="left" w:pos="567"/>
          <w:tab w:val="left" w:pos="1134"/>
          <w:tab w:val="left" w:pos="7938"/>
        </w:tabs>
        <w:spacing w:after="0" w:line="240" w:lineRule="auto"/>
        <w:rPr>
          <w:rFonts w:ascii="Arial" w:hAnsi="Arial" w:cs="Arial"/>
          <w:b/>
          <w:bCs/>
          <w:sz w:val="24"/>
          <w:szCs w:val="24"/>
        </w:rPr>
      </w:pPr>
      <w:r w:rsidRPr="00740B0C">
        <w:rPr>
          <w:rFonts w:ascii="Arial" w:hAnsi="Arial" w:cs="Arial"/>
          <w:b/>
          <w:bCs/>
          <w:sz w:val="24"/>
          <w:szCs w:val="24"/>
        </w:rPr>
        <w:t xml:space="preserve">Apă de suprafaţă din canalele de deversare ale CNE Cernavodă </w:t>
      </w:r>
    </w:p>
    <w:p w:rsidR="00B84559" w:rsidRPr="00FB52F1" w:rsidRDefault="00B84559" w:rsidP="00B84559">
      <w:pPr>
        <w:tabs>
          <w:tab w:val="left" w:pos="0"/>
        </w:tabs>
        <w:jc w:val="both"/>
        <w:rPr>
          <w:rFonts w:ascii="Arial" w:hAnsi="Arial" w:cs="Arial"/>
          <w:lang w:val="ro-RO"/>
        </w:rPr>
      </w:pPr>
      <w:r w:rsidRPr="004D018D">
        <w:rPr>
          <w:rFonts w:ascii="Arial" w:hAnsi="Arial" w:cs="Arial"/>
          <w:b/>
          <w:bCs/>
        </w:rPr>
        <w:tab/>
      </w:r>
      <w:r w:rsidRPr="004D018D">
        <w:rPr>
          <w:rFonts w:ascii="Arial" w:hAnsi="Arial" w:cs="Arial"/>
          <w:bCs/>
        </w:rPr>
        <w:t>Probele</w:t>
      </w:r>
      <w:r w:rsidRPr="00CF6025">
        <w:rPr>
          <w:rFonts w:ascii="Arial" w:hAnsi="Arial" w:cs="Arial"/>
          <w:bCs/>
        </w:rPr>
        <w:t xml:space="preserve"> de apă din </w:t>
      </w:r>
      <w:r>
        <w:rPr>
          <w:rFonts w:ascii="Arial" w:hAnsi="Arial" w:cs="Arial"/>
          <w:bCs/>
        </w:rPr>
        <w:t>C</w:t>
      </w:r>
      <w:r w:rsidRPr="00CF6025">
        <w:rPr>
          <w:rFonts w:ascii="Arial" w:hAnsi="Arial" w:cs="Arial"/>
          <w:bCs/>
        </w:rPr>
        <w:t xml:space="preserve">anal </w:t>
      </w:r>
      <w:r>
        <w:rPr>
          <w:rFonts w:ascii="Arial" w:hAnsi="Arial" w:cs="Arial"/>
          <w:bCs/>
        </w:rPr>
        <w:t xml:space="preserve">deversare </w:t>
      </w:r>
      <w:r w:rsidRPr="00CF6025">
        <w:rPr>
          <w:rFonts w:ascii="Arial" w:hAnsi="Arial" w:cs="Arial"/>
          <w:bCs/>
        </w:rPr>
        <w:t xml:space="preserve">Seimeni </w:t>
      </w:r>
      <w:r>
        <w:rPr>
          <w:rFonts w:ascii="Arial" w:hAnsi="Arial" w:cs="Arial"/>
          <w:bCs/>
        </w:rPr>
        <w:t xml:space="preserve">şi </w:t>
      </w:r>
      <w:r>
        <w:rPr>
          <w:rFonts w:ascii="Arial" w:hAnsi="Arial" w:cs="Arial"/>
        </w:rPr>
        <w:t>din C</w:t>
      </w:r>
      <w:r w:rsidRPr="00CF6025">
        <w:rPr>
          <w:rFonts w:ascii="Arial" w:hAnsi="Arial" w:cs="Arial"/>
        </w:rPr>
        <w:t xml:space="preserve">anal </w:t>
      </w:r>
      <w:r>
        <w:rPr>
          <w:rFonts w:ascii="Arial" w:hAnsi="Arial" w:cs="Arial"/>
        </w:rPr>
        <w:t>deversare E</w:t>
      </w:r>
      <w:r w:rsidRPr="00CF6025">
        <w:rPr>
          <w:rFonts w:ascii="Arial" w:hAnsi="Arial" w:cs="Arial"/>
        </w:rPr>
        <w:t xml:space="preserve">cluză </w:t>
      </w:r>
      <w:r w:rsidRPr="00CF6025">
        <w:rPr>
          <w:rFonts w:ascii="Arial" w:hAnsi="Arial" w:cs="Arial"/>
          <w:bCs/>
        </w:rPr>
        <w:t>se prelevează zilnic. Un litru se evaporă pen</w:t>
      </w:r>
      <w:r>
        <w:rPr>
          <w:rFonts w:ascii="Arial" w:hAnsi="Arial" w:cs="Arial"/>
          <w:bCs/>
        </w:rPr>
        <w:t>tru măsurători beta globale,</w:t>
      </w:r>
      <w:r w:rsidRPr="00CF6025">
        <w:rPr>
          <w:rFonts w:ascii="Arial" w:hAnsi="Arial" w:cs="Arial"/>
          <w:bCs/>
        </w:rPr>
        <w:t xml:space="preserve"> doi litri se evaporă pentru analize gama spectrometrice</w:t>
      </w:r>
      <w:r>
        <w:rPr>
          <w:rFonts w:ascii="Arial" w:hAnsi="Arial" w:cs="Arial"/>
          <w:bCs/>
        </w:rPr>
        <w:t xml:space="preserve"> şi 250 ml se pregătesc pentru determinări de tritiu</w:t>
      </w:r>
      <w:r w:rsidRPr="00CF6025">
        <w:rPr>
          <w:rFonts w:ascii="Arial" w:hAnsi="Arial" w:cs="Arial"/>
          <w:bCs/>
        </w:rPr>
        <w:t xml:space="preserve">. </w:t>
      </w:r>
      <w:r>
        <w:rPr>
          <w:rFonts w:ascii="Arial" w:hAnsi="Arial" w:cs="Arial"/>
        </w:rPr>
        <w:t>N</w:t>
      </w:r>
      <w:r w:rsidRPr="00CF6025">
        <w:rPr>
          <w:rFonts w:ascii="Arial" w:hAnsi="Arial" w:cs="Arial"/>
        </w:rPr>
        <w:t xml:space="preserve">umărul probelor </w:t>
      </w:r>
      <w:r>
        <w:rPr>
          <w:rFonts w:ascii="Arial" w:hAnsi="Arial" w:cs="Arial"/>
        </w:rPr>
        <w:t>colectate din C</w:t>
      </w:r>
      <w:r w:rsidRPr="00CF6025">
        <w:rPr>
          <w:rFonts w:ascii="Arial" w:hAnsi="Arial" w:cs="Arial"/>
          <w:bCs/>
        </w:rPr>
        <w:t xml:space="preserve">anal </w:t>
      </w:r>
      <w:r>
        <w:rPr>
          <w:rFonts w:ascii="Arial" w:hAnsi="Arial" w:cs="Arial"/>
          <w:bCs/>
        </w:rPr>
        <w:t xml:space="preserve">deversare </w:t>
      </w:r>
      <w:r w:rsidRPr="00CF6025">
        <w:rPr>
          <w:rFonts w:ascii="Arial" w:hAnsi="Arial" w:cs="Arial"/>
          <w:bCs/>
        </w:rPr>
        <w:t xml:space="preserve">Seimeni </w:t>
      </w:r>
      <w:r>
        <w:rPr>
          <w:rFonts w:ascii="Arial" w:hAnsi="Arial" w:cs="Arial"/>
        </w:rPr>
        <w:t xml:space="preserve">şi măsurate beta global a fost de </w:t>
      </w:r>
      <w:r w:rsidRPr="00720AA3">
        <w:rPr>
          <w:rFonts w:ascii="Arial" w:hAnsi="Arial" w:cs="Arial"/>
        </w:rPr>
        <w:t>365, din care au evidenţiat valori semnificative 193</w:t>
      </w:r>
      <w:r w:rsidRPr="00B045C4">
        <w:rPr>
          <w:rFonts w:ascii="Arial" w:hAnsi="Arial" w:cs="Arial"/>
        </w:rPr>
        <w:t xml:space="preserve"> probe</w:t>
      </w:r>
      <w:r w:rsidRPr="00CF6025">
        <w:rPr>
          <w:rFonts w:ascii="Arial" w:hAnsi="Arial" w:cs="Arial"/>
        </w:rPr>
        <w:t>.</w:t>
      </w:r>
      <w:r>
        <w:rPr>
          <w:rFonts w:ascii="Arial" w:hAnsi="Arial" w:cs="Arial"/>
          <w:bCs/>
        </w:rPr>
        <w:t xml:space="preserve"> </w:t>
      </w:r>
      <w:r w:rsidRPr="00CF6025">
        <w:rPr>
          <w:rFonts w:ascii="Arial" w:hAnsi="Arial" w:cs="Arial"/>
        </w:rPr>
        <w:t xml:space="preserve">Valorile </w:t>
      </w:r>
      <w:r w:rsidRPr="00720AA3">
        <w:rPr>
          <w:rFonts w:ascii="Arial" w:hAnsi="Arial" w:cs="Arial"/>
        </w:rPr>
        <w:t>activităţilor specifice obţinute în urma măsurătorilor beta globale imediate s-au situat în intervalul 0.125 – 0.489</w:t>
      </w:r>
      <w:r w:rsidRPr="00CF6025">
        <w:rPr>
          <w:rFonts w:ascii="Arial" w:hAnsi="Arial" w:cs="Arial"/>
        </w:rPr>
        <w:t xml:space="preserve"> Bq/</w:t>
      </w:r>
      <w:r>
        <w:rPr>
          <w:rFonts w:ascii="Arial" w:hAnsi="Arial" w:cs="Arial"/>
        </w:rPr>
        <w:t xml:space="preserve">l, media anuală </w:t>
      </w:r>
      <w:r w:rsidRPr="00720AA3">
        <w:rPr>
          <w:rFonts w:ascii="Arial" w:hAnsi="Arial" w:cs="Arial"/>
        </w:rPr>
        <w:t>fiind de 0.197 Bq/l. Valoarea maximă s-a înregistrat la data de 29.01.2015.</w:t>
      </w:r>
      <w:r w:rsidRPr="004D018D">
        <w:rPr>
          <w:rFonts w:ascii="Arial" w:hAnsi="Arial" w:cs="Arial"/>
        </w:rPr>
        <w:t xml:space="preserve"> </w:t>
      </w:r>
    </w:p>
    <w:p w:rsidR="00B84559" w:rsidRPr="00DB7D9F" w:rsidRDefault="00B84559" w:rsidP="00674B63">
      <w:pPr>
        <w:tabs>
          <w:tab w:val="left" w:pos="567"/>
          <w:tab w:val="left" w:pos="1134"/>
          <w:tab w:val="left" w:pos="7938"/>
        </w:tabs>
        <w:jc w:val="both"/>
        <w:rPr>
          <w:rFonts w:ascii="Arial" w:hAnsi="Arial" w:cs="Arial"/>
        </w:rPr>
      </w:pPr>
      <w:r w:rsidRPr="004D018D">
        <w:rPr>
          <w:rFonts w:ascii="Arial" w:hAnsi="Arial" w:cs="Arial"/>
        </w:rPr>
        <w:lastRenderedPageBreak/>
        <w:tab/>
        <w:t xml:space="preserve">De-a lungul anului </w:t>
      </w:r>
      <w:r>
        <w:rPr>
          <w:rFonts w:ascii="Arial" w:hAnsi="Arial" w:cs="Arial"/>
        </w:rPr>
        <w:t>2015</w:t>
      </w:r>
      <w:r w:rsidRPr="004D018D">
        <w:rPr>
          <w:rFonts w:ascii="Arial" w:hAnsi="Arial" w:cs="Arial"/>
        </w:rPr>
        <w:t xml:space="preserve"> au </w:t>
      </w:r>
      <w:r w:rsidRPr="00720AA3">
        <w:rPr>
          <w:rFonts w:ascii="Arial" w:hAnsi="Arial" w:cs="Arial"/>
        </w:rPr>
        <w:t xml:space="preserve">fost </w:t>
      </w:r>
      <w:r w:rsidRPr="00F541A8">
        <w:rPr>
          <w:rFonts w:ascii="Arial" w:hAnsi="Arial" w:cs="Arial"/>
        </w:rPr>
        <w:t>colectate 365 de</w:t>
      </w:r>
      <w:r w:rsidRPr="00720AA3">
        <w:rPr>
          <w:rFonts w:ascii="Arial" w:hAnsi="Arial" w:cs="Arial"/>
        </w:rPr>
        <w:t xml:space="preserve"> probe din Canal deversare Ecluză, din care au evidenţiat valori semnificative 193. Va</w:t>
      </w:r>
      <w:r>
        <w:rPr>
          <w:rFonts w:ascii="Arial" w:hAnsi="Arial" w:cs="Arial"/>
        </w:rPr>
        <w:t xml:space="preserve">lorile activităţilor specifice </w:t>
      </w:r>
      <w:r w:rsidRPr="00720AA3">
        <w:rPr>
          <w:rFonts w:ascii="Arial" w:hAnsi="Arial" w:cs="Arial"/>
        </w:rPr>
        <w:t>obţinute în urma măsurătorilor beta globale imediate s-au situat în intervalul 0.125 – 0.389</w:t>
      </w:r>
      <w:r>
        <w:rPr>
          <w:rFonts w:ascii="Arial" w:hAnsi="Arial" w:cs="Arial"/>
        </w:rPr>
        <w:t xml:space="preserve"> Bq/l. Valoarea maximă</w:t>
      </w:r>
      <w:r w:rsidRPr="00720AA3">
        <w:rPr>
          <w:rFonts w:ascii="Arial" w:hAnsi="Arial" w:cs="Arial"/>
        </w:rPr>
        <w:t xml:space="preserve"> s-a înregistrat la data de 26.08.2015</w:t>
      </w:r>
      <w:r>
        <w:rPr>
          <w:rFonts w:ascii="Arial" w:hAnsi="Arial" w:cs="Arial"/>
        </w:rPr>
        <w:t>.</w:t>
      </w:r>
    </w:p>
    <w:p w:rsidR="00B84559" w:rsidRPr="00B84559" w:rsidRDefault="00B84559" w:rsidP="00674B63">
      <w:pPr>
        <w:tabs>
          <w:tab w:val="left" w:pos="567"/>
          <w:tab w:val="left" w:pos="1134"/>
          <w:tab w:val="left" w:pos="7938"/>
        </w:tabs>
        <w:jc w:val="both"/>
        <w:rPr>
          <w:rFonts w:ascii="Arial" w:hAnsi="Arial" w:cs="Arial"/>
          <w:bCs/>
        </w:rPr>
      </w:pPr>
      <w:r w:rsidRPr="00B84559">
        <w:rPr>
          <w:rFonts w:ascii="Arial" w:hAnsi="Arial" w:cs="Arial"/>
          <w:bCs/>
        </w:rPr>
        <w:t xml:space="preserve">        Nu s-au înregistrat depăşiri ale limitei de atenţionare de 2</w:t>
      </w:r>
      <w:r w:rsidRPr="00B84559">
        <w:rPr>
          <w:rFonts w:ascii="Arial" w:hAnsi="Arial" w:cs="Arial"/>
        </w:rPr>
        <w:t xml:space="preserve"> </w:t>
      </w:r>
      <w:r w:rsidRPr="00B84559">
        <w:rPr>
          <w:rFonts w:ascii="Arial" w:hAnsi="Arial" w:cs="Arial"/>
          <w:bCs/>
        </w:rPr>
        <w:t>Bq/l.</w:t>
      </w:r>
    </w:p>
    <w:p w:rsidR="00B84559" w:rsidRPr="00B84559" w:rsidRDefault="00674B63" w:rsidP="00674B63">
      <w:pPr>
        <w:pStyle w:val="Indentcorptext2"/>
        <w:tabs>
          <w:tab w:val="left" w:pos="630"/>
          <w:tab w:val="left" w:pos="3402"/>
          <w:tab w:val="left" w:pos="6379"/>
        </w:tabs>
        <w:spacing w:line="240" w:lineRule="auto"/>
        <w:ind w:left="0"/>
        <w:jc w:val="both"/>
        <w:rPr>
          <w:rFonts w:ascii="Arial" w:hAnsi="Arial" w:cs="Arial"/>
          <w:b/>
          <w:bCs/>
          <w:sz w:val="24"/>
          <w:szCs w:val="24"/>
          <w:lang w:val="ro-RO"/>
        </w:rPr>
      </w:pPr>
      <w:r>
        <w:rPr>
          <w:sz w:val="24"/>
          <w:szCs w:val="24"/>
          <w:lang w:val="en-US"/>
        </w:rPr>
        <w:tab/>
      </w:r>
      <w:r w:rsidR="00B84559" w:rsidRPr="00B84559">
        <w:rPr>
          <w:sz w:val="24"/>
          <w:szCs w:val="24"/>
        </w:rPr>
        <w:t xml:space="preserve"> </w:t>
      </w:r>
      <w:r w:rsidR="00B84559" w:rsidRPr="00B84559">
        <w:rPr>
          <w:rFonts w:ascii="Arial" w:hAnsi="Arial" w:cs="Arial"/>
          <w:sz w:val="24"/>
          <w:szCs w:val="24"/>
        </w:rPr>
        <w:t>Analizele gama spectrometrice au eviden</w:t>
      </w:r>
      <w:r w:rsidR="00B84559" w:rsidRPr="00B84559">
        <w:rPr>
          <w:rFonts w:ascii="Arial" w:hAnsi="Arial" w:cs="Arial"/>
          <w:sz w:val="24"/>
          <w:szCs w:val="24"/>
          <w:lang w:val="ro-RO"/>
        </w:rPr>
        <w:t>țiat prezența Cs-137</w:t>
      </w:r>
      <w:r w:rsidR="00B84559" w:rsidRPr="00B84559">
        <w:rPr>
          <w:rFonts w:ascii="Arial" w:hAnsi="Arial" w:cs="Arial"/>
          <w:bCs/>
          <w:color w:val="000000"/>
          <w:sz w:val="24"/>
          <w:szCs w:val="24"/>
        </w:rPr>
        <w:t>,</w:t>
      </w:r>
      <w:r w:rsidR="00B84559" w:rsidRPr="00B84559">
        <w:rPr>
          <w:rFonts w:ascii="Arial" w:hAnsi="Arial" w:cs="Arial"/>
          <w:sz w:val="24"/>
          <w:szCs w:val="24"/>
          <w:lang w:val="ro-RO"/>
        </w:rPr>
        <w:t xml:space="preserve"> în concentrații foarte mici, în probele cumulate în lunile aprilie, octombrie şi decembrie din Canal deversare Seimeni (0.000209Bq/l, 0.000249 Bq/l și 0.000247Bq/l) și respectiv, în lunile februarie şi iulie din Canal Ecluză (0.000522 Bq/l şi 0.000454 Bq/l). Radionuclidul natural K-40 a avut concentraţii cuprinse în intervalul 0.03987 – 0.08305 Bq/l pentru probele din Canal de deversare Seimeni, cu incertitudini statistice asociate de 9 -18 % şi concentraţii de 0.04978 – 0.08959 Bq/l pentru probele din Canalul de deversare Ecluză, cu incertitudini asociate de 9 -15 % (figura IX.21.). </w:t>
      </w:r>
    </w:p>
    <w:p w:rsidR="00B84559" w:rsidRPr="007105C6" w:rsidRDefault="00B84559" w:rsidP="00B84559">
      <w:pPr>
        <w:pStyle w:val="Titlu2"/>
        <w:numPr>
          <w:ilvl w:val="1"/>
          <w:numId w:val="0"/>
        </w:numPr>
        <w:tabs>
          <w:tab w:val="left" w:pos="630"/>
          <w:tab w:val="left" w:pos="1560"/>
        </w:tabs>
        <w:rPr>
          <w:b w:val="0"/>
          <w:sz w:val="24"/>
          <w:lang w:val="ro-RO"/>
        </w:rPr>
      </w:pPr>
    </w:p>
    <w:p w:rsidR="00B84559" w:rsidRPr="00FB52F1" w:rsidRDefault="00B84559" w:rsidP="00B84559">
      <w:pPr>
        <w:jc w:val="center"/>
        <w:rPr>
          <w:lang w:val="ro-RO"/>
        </w:rPr>
      </w:pPr>
      <w:r>
        <w:rPr>
          <w:noProof/>
          <w:lang w:val="en-US"/>
        </w:rPr>
        <w:drawing>
          <wp:inline distT="0" distB="0" distL="0" distR="0" wp14:anchorId="578C8B6C" wp14:editId="45CD9B2E">
            <wp:extent cx="6048375" cy="2657475"/>
            <wp:effectExtent l="0" t="0" r="9525" b="9525"/>
            <wp:docPr id="18" name="Obiect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B84559" w:rsidRDefault="00B84559" w:rsidP="00B84559">
      <w:pPr>
        <w:pStyle w:val="Indentcorptext2"/>
        <w:tabs>
          <w:tab w:val="left" w:pos="630"/>
          <w:tab w:val="left" w:pos="3402"/>
          <w:tab w:val="left" w:pos="6379"/>
        </w:tabs>
        <w:rPr>
          <w:rFonts w:ascii="Arial" w:hAnsi="Arial" w:cs="Arial"/>
          <w:sz w:val="24"/>
          <w:szCs w:val="24"/>
          <w:lang w:val="ro-RO"/>
        </w:rPr>
      </w:pPr>
    </w:p>
    <w:p w:rsidR="00B84559" w:rsidRDefault="00B84559" w:rsidP="00B84559">
      <w:pPr>
        <w:tabs>
          <w:tab w:val="left" w:pos="567"/>
          <w:tab w:val="left" w:pos="1134"/>
          <w:tab w:val="left" w:pos="7938"/>
        </w:tabs>
        <w:jc w:val="both"/>
        <w:rPr>
          <w:rFonts w:ascii="Arial" w:hAnsi="Arial" w:cs="Arial"/>
          <w:lang w:val="ro-RO"/>
        </w:rPr>
      </w:pPr>
      <w:r>
        <w:rPr>
          <w:rFonts w:ascii="Arial" w:hAnsi="Arial" w:cs="Arial"/>
          <w:lang w:val="ro-RO"/>
        </w:rPr>
        <w:tab/>
      </w:r>
      <w:r w:rsidRPr="00FB417F">
        <w:rPr>
          <w:rFonts w:ascii="Arial" w:hAnsi="Arial" w:cs="Arial"/>
          <w:lang w:val="ro-RO"/>
        </w:rPr>
        <w:t xml:space="preserve">În cele două canale de deversare a fost determinat conţinutul de tritiu prin spectrometrie beta cu scintilator lichid. Valorile </w:t>
      </w:r>
      <w:r w:rsidRPr="00720AA3">
        <w:rPr>
          <w:rFonts w:ascii="Arial" w:hAnsi="Arial" w:cs="Arial"/>
          <w:lang w:val="ro-RO"/>
        </w:rPr>
        <w:t>concentraţiei volumice  - medii lunare pentru Canal Ecluză și pentru Canal Seimeni sunt ilustrate în figura IX.22.</w:t>
      </w:r>
    </w:p>
    <w:p w:rsidR="00B84559" w:rsidRPr="00FB417F" w:rsidRDefault="00B84559" w:rsidP="00B84559">
      <w:pPr>
        <w:tabs>
          <w:tab w:val="left" w:pos="567"/>
          <w:tab w:val="left" w:pos="1134"/>
          <w:tab w:val="left" w:pos="7938"/>
        </w:tabs>
        <w:jc w:val="both"/>
        <w:rPr>
          <w:rFonts w:ascii="Arial" w:hAnsi="Arial" w:cs="Arial"/>
          <w:bCs/>
          <w:lang w:val="ro-RO"/>
        </w:rPr>
      </w:pPr>
    </w:p>
    <w:p w:rsidR="00B84559" w:rsidRPr="004C35F9" w:rsidRDefault="00B84559" w:rsidP="00B84559">
      <w:pPr>
        <w:pStyle w:val="Titlu2"/>
        <w:tabs>
          <w:tab w:val="left" w:pos="630"/>
          <w:tab w:val="left" w:pos="1560"/>
        </w:tabs>
        <w:jc w:val="center"/>
        <w:rPr>
          <w:b w:val="0"/>
          <w:bCs w:val="0"/>
          <w:sz w:val="20"/>
          <w:szCs w:val="20"/>
          <w:lang w:val="ro-RO"/>
        </w:rPr>
      </w:pPr>
      <w:r>
        <w:rPr>
          <w:noProof/>
        </w:rPr>
        <w:lastRenderedPageBreak/>
        <w:drawing>
          <wp:inline distT="0" distB="0" distL="0" distR="0" wp14:anchorId="5A5787BC" wp14:editId="6AFF297C">
            <wp:extent cx="6219825" cy="2600325"/>
            <wp:effectExtent l="0" t="0" r="9525" b="9525"/>
            <wp:docPr id="19" name="Obiect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B84559" w:rsidRPr="004C35F9" w:rsidRDefault="00B84559" w:rsidP="00B84559">
      <w:pPr>
        <w:pStyle w:val="Titlu2"/>
        <w:tabs>
          <w:tab w:val="left" w:pos="630"/>
          <w:tab w:val="left" w:pos="1560"/>
        </w:tabs>
        <w:rPr>
          <w:sz w:val="24"/>
          <w:lang w:val="ro-RO"/>
        </w:rPr>
      </w:pPr>
    </w:p>
    <w:p w:rsidR="00B84559" w:rsidRPr="004C35F9" w:rsidRDefault="00B84559" w:rsidP="00B84559">
      <w:pPr>
        <w:pStyle w:val="Titlu2"/>
        <w:numPr>
          <w:ilvl w:val="0"/>
          <w:numId w:val="42"/>
        </w:numPr>
        <w:tabs>
          <w:tab w:val="left" w:pos="1418"/>
          <w:tab w:val="left" w:pos="1560"/>
        </w:tabs>
        <w:spacing w:before="0" w:after="0"/>
        <w:rPr>
          <w:sz w:val="24"/>
          <w:lang w:val="ro-RO"/>
        </w:rPr>
      </w:pPr>
      <w:r w:rsidRPr="004C35F9">
        <w:rPr>
          <w:sz w:val="24"/>
          <w:lang w:val="ro-RO"/>
        </w:rPr>
        <w:t>Apă Canal Dunăre- Marea Neagră</w:t>
      </w:r>
    </w:p>
    <w:p w:rsidR="00B84559" w:rsidRDefault="00B84559" w:rsidP="00B84559">
      <w:pPr>
        <w:tabs>
          <w:tab w:val="left" w:pos="567"/>
          <w:tab w:val="left" w:pos="720"/>
          <w:tab w:val="left" w:pos="1134"/>
          <w:tab w:val="left" w:pos="1350"/>
          <w:tab w:val="left" w:pos="7938"/>
        </w:tabs>
        <w:jc w:val="both"/>
        <w:rPr>
          <w:rFonts w:ascii="Arial" w:hAnsi="Arial" w:cs="Arial"/>
          <w:lang w:val="ro-RO"/>
        </w:rPr>
      </w:pPr>
      <w:r w:rsidRPr="004C35F9">
        <w:rPr>
          <w:rFonts w:ascii="Arial" w:hAnsi="Arial" w:cs="Arial"/>
          <w:lang w:val="ro-RO"/>
        </w:rPr>
        <w:tab/>
      </w:r>
      <w:r>
        <w:rPr>
          <w:rFonts w:ascii="Arial" w:hAnsi="Arial" w:cs="Arial"/>
          <w:lang w:val="ro-RO"/>
        </w:rPr>
        <w:t xml:space="preserve">   </w:t>
      </w:r>
      <w:r w:rsidRPr="004C35F9">
        <w:rPr>
          <w:rFonts w:ascii="Arial" w:hAnsi="Arial" w:cs="Arial"/>
          <w:lang w:val="ro-RO"/>
        </w:rPr>
        <w:t>Din Canalul Dunăre-Marea Neagră, în localit</w:t>
      </w:r>
      <w:r>
        <w:rPr>
          <w:rFonts w:ascii="Arial" w:hAnsi="Arial" w:cs="Arial"/>
          <w:lang w:val="ro-RO"/>
        </w:rPr>
        <w:t>atea</w:t>
      </w:r>
      <w:r w:rsidRPr="004C35F9">
        <w:rPr>
          <w:rFonts w:ascii="Arial" w:hAnsi="Arial" w:cs="Arial"/>
          <w:lang w:val="ro-RO"/>
        </w:rPr>
        <w:t xml:space="preserve"> Medgidia, SSRM Cernavodă a colectat probe </w:t>
      </w:r>
      <w:r w:rsidRPr="004A13DB">
        <w:rPr>
          <w:rFonts w:ascii="Arial" w:hAnsi="Arial" w:cs="Arial"/>
          <w:lang w:val="ro-RO"/>
        </w:rPr>
        <w:t xml:space="preserve">de apă de suprafaţă cu frecvenţă lunară. </w:t>
      </w:r>
      <w:r w:rsidRPr="000578D8">
        <w:rPr>
          <w:rFonts w:ascii="Arial" w:hAnsi="Arial" w:cs="Arial"/>
          <w:lang w:val="ro-RO"/>
        </w:rPr>
        <w:t xml:space="preserve">Activităţile specifice  obţinute în urma măsurătorilor beta globale imediate s-au situat </w:t>
      </w:r>
      <w:r>
        <w:rPr>
          <w:rFonts w:ascii="Arial" w:hAnsi="Arial" w:cs="Arial"/>
          <w:lang w:val="ro-RO"/>
        </w:rPr>
        <w:t xml:space="preserve">în </w:t>
      </w:r>
      <w:r w:rsidRPr="00720AA3">
        <w:rPr>
          <w:rFonts w:ascii="Arial" w:hAnsi="Arial" w:cs="Arial"/>
          <w:lang w:val="ro-RO"/>
        </w:rPr>
        <w:t>intervalul 0.144 – 0.261 Bq/l.</w:t>
      </w:r>
      <w:r>
        <w:rPr>
          <w:rFonts w:ascii="Arial" w:hAnsi="Arial" w:cs="Arial"/>
          <w:lang w:val="ro-RO"/>
        </w:rPr>
        <w:t xml:space="preserve"> </w:t>
      </w:r>
    </w:p>
    <w:p w:rsidR="00B84559" w:rsidRPr="000578D8" w:rsidRDefault="00B84559" w:rsidP="00B84559">
      <w:pPr>
        <w:tabs>
          <w:tab w:val="left" w:pos="567"/>
          <w:tab w:val="left" w:pos="720"/>
          <w:tab w:val="left" w:pos="1134"/>
          <w:tab w:val="left" w:pos="1350"/>
          <w:tab w:val="left" w:pos="7938"/>
        </w:tabs>
        <w:jc w:val="both"/>
        <w:rPr>
          <w:rFonts w:ascii="Arial" w:hAnsi="Arial" w:cs="Arial"/>
          <w:lang w:val="ro-RO"/>
        </w:rPr>
      </w:pPr>
      <w:r>
        <w:rPr>
          <w:rFonts w:ascii="Arial" w:hAnsi="Arial" w:cs="Arial"/>
          <w:lang w:val="ro-RO"/>
        </w:rPr>
        <w:tab/>
        <w:t xml:space="preserve">  Valoarea de atenţionare pentru acest indicator este de 2 Bq</w:t>
      </w:r>
      <w:r w:rsidRPr="000578D8">
        <w:rPr>
          <w:rFonts w:ascii="Arial" w:hAnsi="Arial" w:cs="Arial"/>
          <w:lang w:val="ro-RO"/>
        </w:rPr>
        <w:t>/</w:t>
      </w:r>
      <w:r>
        <w:rPr>
          <w:rFonts w:ascii="Arial" w:hAnsi="Arial" w:cs="Arial"/>
          <w:lang w:val="ro-RO"/>
        </w:rPr>
        <w:t>l.</w:t>
      </w:r>
    </w:p>
    <w:p w:rsidR="00B84559" w:rsidRDefault="00B84559" w:rsidP="00B84559">
      <w:pPr>
        <w:ind w:firstLine="720"/>
        <w:jc w:val="both"/>
        <w:rPr>
          <w:rFonts w:ascii="Arial" w:hAnsi="Arial" w:cs="Arial"/>
          <w:lang w:val="it-IT"/>
        </w:rPr>
      </w:pPr>
      <w:r>
        <w:rPr>
          <w:rFonts w:ascii="Arial" w:hAnsi="Arial" w:cs="Arial"/>
          <w:lang w:val="it-IT"/>
        </w:rPr>
        <w:t xml:space="preserve">Analizele gama spectrometrice </w:t>
      </w:r>
      <w:r w:rsidRPr="007105C6">
        <w:rPr>
          <w:rFonts w:ascii="Arial" w:hAnsi="Arial" w:cs="Arial"/>
          <w:lang w:val="it-IT"/>
        </w:rPr>
        <w:t>nu au pus în evidenţă prezenţa  unor radionuclizi artifici</w:t>
      </w:r>
      <w:r>
        <w:rPr>
          <w:rFonts w:ascii="Arial" w:hAnsi="Arial" w:cs="Arial"/>
          <w:lang w:val="it-IT"/>
        </w:rPr>
        <w:t xml:space="preserve">ali. Radionuclidul natural K-40, </w:t>
      </w:r>
      <w:r w:rsidRPr="00720AA3">
        <w:rPr>
          <w:rFonts w:ascii="Arial" w:hAnsi="Arial" w:cs="Arial"/>
          <w:lang w:val="it-IT"/>
        </w:rPr>
        <w:t>determinat în aproape toate</w:t>
      </w:r>
      <w:r>
        <w:rPr>
          <w:rFonts w:ascii="Arial" w:hAnsi="Arial" w:cs="Arial"/>
          <w:lang w:val="it-IT"/>
        </w:rPr>
        <w:t xml:space="preserve"> probele analizate</w:t>
      </w:r>
      <w:r w:rsidRPr="007105C6">
        <w:rPr>
          <w:rFonts w:ascii="Arial" w:hAnsi="Arial" w:cs="Arial"/>
          <w:lang w:val="it-IT"/>
        </w:rPr>
        <w:t xml:space="preserve">, a avut concentraţii cuprinse în intervalul </w:t>
      </w:r>
      <w:r>
        <w:rPr>
          <w:rFonts w:ascii="Arial" w:hAnsi="Arial" w:cs="Arial"/>
          <w:lang w:val="it-IT"/>
        </w:rPr>
        <w:t>0.0379</w:t>
      </w:r>
      <w:r w:rsidRPr="007105C6">
        <w:rPr>
          <w:rFonts w:ascii="Arial" w:hAnsi="Arial" w:cs="Arial"/>
          <w:lang w:val="it-IT"/>
        </w:rPr>
        <w:t xml:space="preserve"> – </w:t>
      </w:r>
      <w:r>
        <w:rPr>
          <w:rFonts w:ascii="Arial" w:hAnsi="Arial" w:cs="Arial"/>
          <w:lang w:val="it-IT"/>
        </w:rPr>
        <w:t>0.1394</w:t>
      </w:r>
      <w:r w:rsidRPr="007105C6">
        <w:rPr>
          <w:rFonts w:ascii="Arial" w:hAnsi="Arial" w:cs="Arial"/>
          <w:lang w:val="it-IT"/>
        </w:rPr>
        <w:t xml:space="preserve"> Bq/</w:t>
      </w:r>
      <w:r>
        <w:rPr>
          <w:rFonts w:ascii="Arial" w:hAnsi="Arial" w:cs="Arial"/>
          <w:lang w:val="it-IT"/>
        </w:rPr>
        <w:t>l</w:t>
      </w:r>
      <w:r w:rsidRPr="007105C6">
        <w:rPr>
          <w:rFonts w:ascii="Arial" w:hAnsi="Arial" w:cs="Arial"/>
          <w:lang w:val="it-IT"/>
        </w:rPr>
        <w:t xml:space="preserve">, incertitudinile statistice asociate fiind de </w:t>
      </w:r>
      <w:r>
        <w:rPr>
          <w:rFonts w:ascii="Arial" w:hAnsi="Arial" w:cs="Arial"/>
          <w:lang w:val="it-IT"/>
        </w:rPr>
        <w:t>19</w:t>
      </w:r>
      <w:r w:rsidRPr="007105C6">
        <w:rPr>
          <w:rFonts w:ascii="Arial" w:hAnsi="Arial" w:cs="Arial"/>
          <w:lang w:val="it-IT"/>
        </w:rPr>
        <w:t>-</w:t>
      </w:r>
      <w:r>
        <w:rPr>
          <w:rFonts w:ascii="Arial" w:hAnsi="Arial" w:cs="Arial"/>
          <w:lang w:val="it-IT"/>
        </w:rPr>
        <w:t>68</w:t>
      </w:r>
      <w:r w:rsidRPr="007105C6">
        <w:rPr>
          <w:rFonts w:ascii="Arial" w:hAnsi="Arial" w:cs="Arial"/>
          <w:lang w:val="it-IT"/>
        </w:rPr>
        <w:t xml:space="preserve"> % . </w:t>
      </w:r>
    </w:p>
    <w:p w:rsidR="00B84559" w:rsidRPr="00720AA3" w:rsidRDefault="00B84559" w:rsidP="00B84559">
      <w:pPr>
        <w:ind w:firstLine="720"/>
        <w:jc w:val="both"/>
        <w:rPr>
          <w:rFonts w:ascii="Arial" w:hAnsi="Arial" w:cs="Arial"/>
          <w:lang w:val="it-IT"/>
        </w:rPr>
      </w:pPr>
      <w:r w:rsidRPr="002656B3">
        <w:rPr>
          <w:rFonts w:ascii="Arial" w:hAnsi="Arial" w:cs="Arial"/>
          <w:lang w:val="it-IT"/>
        </w:rPr>
        <w:t xml:space="preserve">În ceea ce priveşte analizele beta spectrometrice, valorile activităţilor specifice  obţinute în urma măsurătorilor s-au situat </w:t>
      </w:r>
      <w:r w:rsidRPr="002656B3">
        <w:rPr>
          <w:rFonts w:ascii="Arial" w:hAnsi="Arial" w:cs="Arial"/>
          <w:lang w:val="ro-RO"/>
        </w:rPr>
        <w:t xml:space="preserve">peste limita de detecţie a aparaturii şi metodei </w:t>
      </w:r>
      <w:r w:rsidRPr="00720AA3">
        <w:rPr>
          <w:rFonts w:ascii="Arial" w:hAnsi="Arial" w:cs="Arial"/>
          <w:lang w:val="ro-RO"/>
        </w:rPr>
        <w:t>utilizate</w:t>
      </w:r>
      <w:r w:rsidRPr="00720AA3">
        <w:rPr>
          <w:rFonts w:ascii="Arial" w:hAnsi="Arial" w:cs="Arial"/>
          <w:lang w:val="it-IT"/>
        </w:rPr>
        <w:t xml:space="preserve"> </w:t>
      </w:r>
      <w:r w:rsidRPr="00720AA3">
        <w:rPr>
          <w:rFonts w:ascii="Arial" w:hAnsi="Arial" w:cs="Arial"/>
          <w:lang w:val="ro-RO"/>
        </w:rPr>
        <w:t xml:space="preserve">în 4 din cele 12 probe analizate, variind în intervalul 3.68 </w:t>
      </w:r>
      <w:r w:rsidRPr="00720AA3">
        <w:rPr>
          <w:rFonts w:ascii="Arial" w:hAnsi="Arial" w:cs="Arial"/>
          <w:lang w:val="it-IT"/>
        </w:rPr>
        <w:t>– 8.86 Bq/l.</w:t>
      </w:r>
    </w:p>
    <w:p w:rsidR="00B84559" w:rsidRPr="000B7D17" w:rsidRDefault="00B84559" w:rsidP="00B84559">
      <w:pPr>
        <w:tabs>
          <w:tab w:val="left" w:pos="567"/>
          <w:tab w:val="left" w:pos="1134"/>
          <w:tab w:val="left" w:pos="7938"/>
        </w:tabs>
        <w:ind w:firstLine="720"/>
        <w:rPr>
          <w:rFonts w:ascii="Arial" w:hAnsi="Arial" w:cs="Arial"/>
          <w:bCs/>
          <w:lang w:val="it-IT"/>
        </w:rPr>
      </w:pPr>
      <w:r w:rsidRPr="00720AA3">
        <w:rPr>
          <w:rFonts w:ascii="Arial" w:hAnsi="Arial" w:cs="Arial"/>
          <w:bCs/>
          <w:lang w:val="it-IT"/>
        </w:rPr>
        <w:t>Tot din Canal Dunăre-Marea Neagră, dar din dreptul localităţii Saligny , s-au</w:t>
      </w:r>
      <w:r w:rsidRPr="002656B3">
        <w:rPr>
          <w:rFonts w:ascii="Arial" w:hAnsi="Arial" w:cs="Arial"/>
          <w:bCs/>
          <w:lang w:val="it-IT"/>
        </w:rPr>
        <w:t xml:space="preserve"> făcut prelevări zilnice de probe pentru determinări de tritiu. </w:t>
      </w:r>
      <w:r w:rsidRPr="002656B3">
        <w:rPr>
          <w:rFonts w:ascii="Arial" w:hAnsi="Arial" w:cs="Arial"/>
          <w:lang w:val="it-IT"/>
        </w:rPr>
        <w:t>Valorile concentraţiei volumice  obţinute în urma măsurători</w:t>
      </w:r>
      <w:r>
        <w:rPr>
          <w:rFonts w:ascii="Arial" w:hAnsi="Arial" w:cs="Arial"/>
          <w:lang w:val="it-IT"/>
        </w:rPr>
        <w:t xml:space="preserve">lor s-au situat în </w:t>
      </w:r>
      <w:r w:rsidRPr="000B7D17">
        <w:rPr>
          <w:rFonts w:ascii="Arial" w:hAnsi="Arial" w:cs="Arial"/>
          <w:lang w:val="it-IT"/>
        </w:rPr>
        <w:t>intervalul 1.56 – 55.5</w:t>
      </w:r>
      <w:r w:rsidRPr="000B7D17">
        <w:rPr>
          <w:rFonts w:ascii="Arial" w:eastAsia="Arial Unicode MS" w:hAnsi="Arial" w:cs="Arial"/>
          <w:lang w:val="it-IT"/>
        </w:rPr>
        <w:t xml:space="preserve"> </w:t>
      </w:r>
      <w:r w:rsidRPr="000B7D17">
        <w:rPr>
          <w:rFonts w:ascii="Arial" w:hAnsi="Arial" w:cs="Arial"/>
          <w:lang w:val="it-IT"/>
        </w:rPr>
        <w:t>Bq</w:t>
      </w:r>
      <w:r w:rsidRPr="002656B3">
        <w:rPr>
          <w:rFonts w:ascii="Arial" w:hAnsi="Arial" w:cs="Arial"/>
          <w:lang w:val="it-IT"/>
        </w:rPr>
        <w:t xml:space="preserve">/l; numărul probelor care au prezentat valori semnificative a </w:t>
      </w:r>
      <w:r w:rsidRPr="00DD7411">
        <w:rPr>
          <w:rFonts w:ascii="Arial" w:hAnsi="Arial" w:cs="Arial"/>
          <w:lang w:val="it-IT"/>
        </w:rPr>
        <w:t>fost  de 127, dintr-un total de 360. Valoarea</w:t>
      </w:r>
      <w:r w:rsidRPr="002656B3">
        <w:rPr>
          <w:rFonts w:ascii="Arial" w:hAnsi="Arial" w:cs="Arial"/>
          <w:lang w:val="it-IT"/>
        </w:rPr>
        <w:t xml:space="preserve"> maxim</w:t>
      </w:r>
      <w:r>
        <w:rPr>
          <w:rFonts w:ascii="Arial" w:hAnsi="Arial" w:cs="Arial"/>
          <w:lang w:val="it-IT"/>
        </w:rPr>
        <w:t>ă</w:t>
      </w:r>
      <w:r w:rsidRPr="002656B3">
        <w:rPr>
          <w:rFonts w:ascii="Arial" w:hAnsi="Arial" w:cs="Arial"/>
          <w:lang w:val="it-IT"/>
        </w:rPr>
        <w:t xml:space="preserve"> s-a înregistrat </w:t>
      </w:r>
      <w:r w:rsidRPr="000B7D17">
        <w:rPr>
          <w:rFonts w:ascii="Arial" w:hAnsi="Arial" w:cs="Arial"/>
          <w:lang w:val="it-IT"/>
        </w:rPr>
        <w:t>la data de 01.02.2015.</w:t>
      </w:r>
    </w:p>
    <w:p w:rsidR="00B84559" w:rsidRDefault="00B84559" w:rsidP="00B84559">
      <w:pPr>
        <w:pStyle w:val="Indentcorptext"/>
        <w:rPr>
          <w:rFonts w:ascii="Arial" w:hAnsi="Arial" w:cs="Arial"/>
          <w:lang w:val="it-IT"/>
        </w:rPr>
      </w:pPr>
      <w:r w:rsidRPr="000B7D17">
        <w:rPr>
          <w:rFonts w:ascii="Arial" w:hAnsi="Arial" w:cs="Arial"/>
        </w:rPr>
        <w:t>În figura următoare sunt</w:t>
      </w:r>
      <w:r w:rsidRPr="002656B3">
        <w:rPr>
          <w:rFonts w:ascii="Arial" w:hAnsi="Arial" w:cs="Arial"/>
        </w:rPr>
        <w:t xml:space="preserve"> </w:t>
      </w:r>
      <w:r>
        <w:rPr>
          <w:rFonts w:ascii="Arial" w:hAnsi="Arial" w:cs="Arial"/>
        </w:rPr>
        <w:t>prezentate</w:t>
      </w:r>
      <w:r w:rsidRPr="002656B3">
        <w:rPr>
          <w:rFonts w:ascii="Arial" w:hAnsi="Arial" w:cs="Arial"/>
        </w:rPr>
        <w:t xml:space="preserve"> rezultatele obţinute</w:t>
      </w:r>
      <w:r w:rsidRPr="002656B3">
        <w:rPr>
          <w:rFonts w:ascii="Arial" w:hAnsi="Arial" w:cs="Arial"/>
          <w:lang w:val="it-IT"/>
        </w:rPr>
        <w:t>:</w:t>
      </w:r>
    </w:p>
    <w:p w:rsidR="00B84559" w:rsidRDefault="00B84559" w:rsidP="00B84559">
      <w:pPr>
        <w:pStyle w:val="Indentcorptext"/>
        <w:ind w:firstLine="0"/>
        <w:rPr>
          <w:rFonts w:ascii="Arial" w:hAnsi="Arial" w:cs="Arial"/>
          <w:lang w:val="it-IT"/>
        </w:rPr>
      </w:pPr>
    </w:p>
    <w:p w:rsidR="00B84559" w:rsidRPr="007105C6" w:rsidRDefault="00B84559" w:rsidP="00B84559">
      <w:pPr>
        <w:pStyle w:val="Indentcorptext"/>
        <w:ind w:firstLine="0"/>
        <w:rPr>
          <w:rFonts w:ascii="Arial" w:hAnsi="Arial" w:cs="Arial"/>
          <w:lang w:val="it-IT"/>
        </w:rPr>
      </w:pPr>
      <w:r>
        <w:rPr>
          <w:noProof/>
          <w:lang w:val="en-US" w:eastAsia="en-US"/>
        </w:rPr>
        <w:drawing>
          <wp:inline distT="0" distB="0" distL="0" distR="0" wp14:anchorId="5906FEFF" wp14:editId="7C715E6A">
            <wp:extent cx="6153150" cy="2428875"/>
            <wp:effectExtent l="0" t="0" r="19050" b="9525"/>
            <wp:docPr id="20" name="Obiect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B84559" w:rsidRDefault="00B84559" w:rsidP="00B84559">
      <w:pPr>
        <w:pStyle w:val="Indentcorptext"/>
        <w:keepNext/>
        <w:ind w:firstLine="0"/>
        <w:jc w:val="center"/>
      </w:pPr>
    </w:p>
    <w:p w:rsidR="00B84559" w:rsidRDefault="00B84559" w:rsidP="00B84559">
      <w:pPr>
        <w:ind w:firstLine="709"/>
        <w:jc w:val="both"/>
        <w:rPr>
          <w:rFonts w:ascii="Arial" w:hAnsi="Arial" w:cs="Arial"/>
          <w:lang w:val="ro-RO" w:eastAsia="ro-RO"/>
        </w:rPr>
      </w:pPr>
    </w:p>
    <w:p w:rsidR="00B84559" w:rsidRDefault="00B84559" w:rsidP="00B84559">
      <w:pPr>
        <w:ind w:firstLine="709"/>
        <w:jc w:val="both"/>
        <w:rPr>
          <w:rFonts w:ascii="Arial" w:hAnsi="Arial" w:cs="Arial"/>
          <w:lang w:val="ro-RO" w:eastAsia="ro-RO"/>
        </w:rPr>
      </w:pPr>
      <w:r w:rsidRPr="00B91F9C">
        <w:rPr>
          <w:rFonts w:ascii="Arial" w:hAnsi="Arial" w:cs="Arial"/>
          <w:lang w:val="ro-RO" w:eastAsia="ro-RO"/>
        </w:rPr>
        <w:t xml:space="preserve">În </w:t>
      </w:r>
      <w:r w:rsidRPr="000B7D17">
        <w:rPr>
          <w:rFonts w:ascii="Arial" w:hAnsi="Arial" w:cs="Arial"/>
          <w:lang w:val="ro-RO" w:eastAsia="ro-RO"/>
        </w:rPr>
        <w:t>lunile iunie şi septembrie 2015</w:t>
      </w:r>
      <w:r>
        <w:rPr>
          <w:rFonts w:ascii="Arial" w:hAnsi="Arial" w:cs="Arial"/>
          <w:lang w:val="ro-RO" w:eastAsia="ro-RO"/>
        </w:rPr>
        <w:t xml:space="preserve">, SSRM Constanţa </w:t>
      </w:r>
      <w:r w:rsidRPr="00B91F9C">
        <w:rPr>
          <w:rFonts w:ascii="Arial" w:hAnsi="Arial" w:cs="Arial"/>
          <w:lang w:val="ro-RO" w:eastAsia="ro-RO"/>
        </w:rPr>
        <w:t>a prelevat prob</w:t>
      </w:r>
      <w:r>
        <w:rPr>
          <w:rFonts w:ascii="Arial" w:hAnsi="Arial" w:cs="Arial"/>
          <w:lang w:val="ro-RO" w:eastAsia="ro-RO"/>
        </w:rPr>
        <w:t>e</w:t>
      </w:r>
      <w:r w:rsidRPr="00B91F9C">
        <w:rPr>
          <w:rFonts w:ascii="Arial" w:hAnsi="Arial" w:cs="Arial"/>
          <w:lang w:val="ro-RO" w:eastAsia="ro-RO"/>
        </w:rPr>
        <w:t xml:space="preserve"> de apă de suprafaţă din Canalul Poarta Albă-Midia</w:t>
      </w:r>
      <w:r>
        <w:rPr>
          <w:rFonts w:ascii="Arial" w:hAnsi="Arial" w:cs="Arial"/>
          <w:lang w:val="ro-RO" w:eastAsia="ro-RO"/>
        </w:rPr>
        <w:t xml:space="preserve"> </w:t>
      </w:r>
      <w:r w:rsidRPr="00B91F9C">
        <w:rPr>
          <w:rFonts w:ascii="Arial" w:hAnsi="Arial" w:cs="Arial"/>
          <w:lang w:val="ro-RO" w:eastAsia="ro-RO"/>
        </w:rPr>
        <w:t>Năvodari</w:t>
      </w:r>
      <w:r>
        <w:rPr>
          <w:rFonts w:ascii="Arial" w:hAnsi="Arial" w:cs="Arial"/>
          <w:lang w:val="ro-RO" w:eastAsia="ro-RO"/>
        </w:rPr>
        <w:t xml:space="preserve">, locaţia Mamaia Sat. Din fiecare probă, 1 litru </w:t>
      </w:r>
      <w:r w:rsidRPr="00B91F9C">
        <w:rPr>
          <w:rFonts w:ascii="Arial" w:hAnsi="Arial" w:cs="Arial"/>
          <w:lang w:val="ro-RO" w:eastAsia="ro-RO"/>
        </w:rPr>
        <w:t>a fost prelucrat şi masurat beta glob</w:t>
      </w:r>
      <w:r>
        <w:rPr>
          <w:rFonts w:ascii="Arial" w:hAnsi="Arial" w:cs="Arial"/>
          <w:lang w:val="ro-RO" w:eastAsia="ro-RO"/>
        </w:rPr>
        <w:t>al după 5 zile de la prelevare, iar a</w:t>
      </w:r>
      <w:r w:rsidRPr="00B91F9C">
        <w:rPr>
          <w:rFonts w:ascii="Arial" w:hAnsi="Arial" w:cs="Arial"/>
          <w:lang w:val="ro-RO" w:eastAsia="ro-RO"/>
        </w:rPr>
        <w:t xml:space="preserve">lţi 20 l </w:t>
      </w:r>
      <w:r>
        <w:rPr>
          <w:rFonts w:ascii="Arial" w:hAnsi="Arial" w:cs="Arial"/>
          <w:lang w:val="ro-RO" w:eastAsia="ro-RO"/>
        </w:rPr>
        <w:t>a</w:t>
      </w:r>
      <w:r w:rsidRPr="00B91F9C">
        <w:rPr>
          <w:rFonts w:ascii="Arial" w:hAnsi="Arial" w:cs="Arial"/>
          <w:lang w:val="ro-RO" w:eastAsia="ro-RO"/>
        </w:rPr>
        <w:t xml:space="preserve">u fost evaporaţi pentru măsurători gama spectrometrice. </w:t>
      </w:r>
    </w:p>
    <w:p w:rsidR="00B84559" w:rsidRPr="00B91F9C" w:rsidRDefault="00B84559" w:rsidP="00B84559">
      <w:pPr>
        <w:ind w:firstLine="709"/>
        <w:jc w:val="both"/>
        <w:rPr>
          <w:rFonts w:ascii="Arial" w:hAnsi="Arial" w:cs="Arial"/>
          <w:lang w:val="ro-RO" w:eastAsia="ro-RO"/>
        </w:rPr>
      </w:pPr>
      <w:r w:rsidRPr="00B91F9C">
        <w:rPr>
          <w:rFonts w:ascii="Arial" w:hAnsi="Arial" w:cs="Arial"/>
          <w:lang w:val="ro-RO" w:eastAsia="ro-RO"/>
        </w:rPr>
        <w:t>Valo</w:t>
      </w:r>
      <w:r>
        <w:rPr>
          <w:rFonts w:ascii="Arial" w:hAnsi="Arial" w:cs="Arial"/>
          <w:lang w:val="ro-RO" w:eastAsia="ro-RO"/>
        </w:rPr>
        <w:t>rile obţinute pentru activitatea</w:t>
      </w:r>
      <w:r w:rsidRPr="00B91F9C">
        <w:rPr>
          <w:rFonts w:ascii="Arial" w:hAnsi="Arial" w:cs="Arial"/>
          <w:lang w:val="ro-RO" w:eastAsia="ro-RO"/>
        </w:rPr>
        <w:t xml:space="preserve"> specific</w:t>
      </w:r>
      <w:r>
        <w:rPr>
          <w:rFonts w:ascii="Arial" w:hAnsi="Arial" w:cs="Arial"/>
          <w:lang w:val="ro-RO" w:eastAsia="ro-RO"/>
        </w:rPr>
        <w:t>ă beta globală s</w:t>
      </w:r>
      <w:r>
        <w:rPr>
          <w:rFonts w:ascii="Arial" w:hAnsi="Arial" w:cs="Arial"/>
          <w:lang w:eastAsia="ro-RO"/>
        </w:rPr>
        <w:t>-</w:t>
      </w:r>
      <w:r>
        <w:rPr>
          <w:rFonts w:ascii="Arial" w:hAnsi="Arial" w:cs="Arial"/>
          <w:lang w:val="ro-RO" w:eastAsia="ro-RO"/>
        </w:rPr>
        <w:t>au situat sub limita de detecţie aferentă metodei şi aparaturii utilizate.</w:t>
      </w:r>
      <w:r w:rsidRPr="00B91F9C">
        <w:rPr>
          <w:rFonts w:ascii="Arial" w:hAnsi="Arial" w:cs="Arial"/>
          <w:lang w:val="ro-RO" w:eastAsia="ro-RO"/>
        </w:rPr>
        <w:t xml:space="preserve"> </w:t>
      </w:r>
    </w:p>
    <w:p w:rsidR="00B84559" w:rsidRDefault="00B84559" w:rsidP="00B84559">
      <w:pPr>
        <w:pStyle w:val="Indentcorptext"/>
        <w:tabs>
          <w:tab w:val="left" w:pos="709"/>
        </w:tabs>
        <w:ind w:firstLine="0"/>
        <w:rPr>
          <w:rFonts w:ascii="Arial" w:hAnsi="Arial" w:cs="Arial"/>
        </w:rPr>
      </w:pPr>
      <w:r>
        <w:rPr>
          <w:rFonts w:ascii="Arial" w:hAnsi="Arial" w:cs="Arial"/>
        </w:rPr>
        <w:tab/>
        <w:t>Reziduurile obţinute în urma evaporării s-au măsurat gama spectrometric. Radionuclizii identificaţi au fost K-40 (0.111</w:t>
      </w:r>
      <w:r w:rsidRPr="00675597">
        <w:rPr>
          <w:rFonts w:ascii="Arial" w:hAnsi="Arial" w:cs="Arial"/>
        </w:rPr>
        <w:t xml:space="preserve"> </w:t>
      </w:r>
      <w:r>
        <w:rPr>
          <w:rFonts w:ascii="Arial" w:hAnsi="Arial" w:cs="Arial"/>
        </w:rPr>
        <w:t>Bq/l , respectiv 0.148 Bq/l), Th-234 (0.063 Bq/l, respectiv 0.037</w:t>
      </w:r>
      <w:r w:rsidRPr="00675597">
        <w:rPr>
          <w:rFonts w:ascii="Arial" w:hAnsi="Arial" w:cs="Arial"/>
        </w:rPr>
        <w:t xml:space="preserve"> </w:t>
      </w:r>
      <w:r>
        <w:rPr>
          <w:rFonts w:ascii="Arial" w:hAnsi="Arial" w:cs="Arial"/>
        </w:rPr>
        <w:t>Bq/l) , U-235 (0.0021 Bq/l</w:t>
      </w:r>
      <w:r w:rsidRPr="0005787D">
        <w:rPr>
          <w:rFonts w:ascii="Arial" w:hAnsi="Arial" w:cs="Arial"/>
        </w:rPr>
        <w:t>, respectiv</w:t>
      </w:r>
      <w:r>
        <w:rPr>
          <w:rFonts w:ascii="Arial" w:hAnsi="Arial" w:cs="Arial"/>
        </w:rPr>
        <w:t xml:space="preserve"> 0.0013</w:t>
      </w:r>
      <w:r w:rsidRPr="0005787D">
        <w:rPr>
          <w:rFonts w:ascii="Arial" w:hAnsi="Arial" w:cs="Arial"/>
        </w:rPr>
        <w:t xml:space="preserve"> </w:t>
      </w:r>
      <w:r>
        <w:rPr>
          <w:rFonts w:ascii="Arial" w:hAnsi="Arial" w:cs="Arial"/>
        </w:rPr>
        <w:t>Bq/l). Impreciziile statistice au fost urmatoarele: 27%,</w:t>
      </w:r>
      <w:r w:rsidRPr="0005787D">
        <w:rPr>
          <w:rFonts w:ascii="Arial" w:hAnsi="Arial" w:cs="Arial"/>
        </w:rPr>
        <w:t xml:space="preserve"> respectiv</w:t>
      </w:r>
      <w:r>
        <w:rPr>
          <w:rFonts w:ascii="Arial" w:hAnsi="Arial" w:cs="Arial"/>
        </w:rPr>
        <w:t xml:space="preserve"> 20%  pentru   K-40,  17%,</w:t>
      </w:r>
      <w:r w:rsidRPr="0005787D">
        <w:rPr>
          <w:rFonts w:ascii="Arial" w:hAnsi="Arial" w:cs="Arial"/>
        </w:rPr>
        <w:t xml:space="preserve"> respectiv</w:t>
      </w:r>
      <w:r>
        <w:rPr>
          <w:rFonts w:ascii="Arial" w:hAnsi="Arial" w:cs="Arial"/>
        </w:rPr>
        <w:t xml:space="preserve"> 23% pentru   Th-234,  54%,</w:t>
      </w:r>
      <w:r w:rsidRPr="0005787D">
        <w:rPr>
          <w:rFonts w:ascii="Arial" w:hAnsi="Arial" w:cs="Arial"/>
        </w:rPr>
        <w:t xml:space="preserve"> respectiv</w:t>
      </w:r>
      <w:r>
        <w:rPr>
          <w:rFonts w:ascii="Arial" w:hAnsi="Arial" w:cs="Arial"/>
        </w:rPr>
        <w:t xml:space="preserve"> 47% pentru U-235.</w:t>
      </w:r>
    </w:p>
    <w:p w:rsidR="00B84559" w:rsidRDefault="00B84559" w:rsidP="00B84559">
      <w:pPr>
        <w:pStyle w:val="Indentcorptext"/>
        <w:keepNext/>
        <w:ind w:firstLine="0"/>
        <w:jc w:val="left"/>
      </w:pPr>
    </w:p>
    <w:p w:rsidR="00B84559" w:rsidRPr="0026124C" w:rsidRDefault="00B84559" w:rsidP="00B84559">
      <w:pPr>
        <w:pStyle w:val="Listparagraf"/>
        <w:numPr>
          <w:ilvl w:val="0"/>
          <w:numId w:val="42"/>
        </w:numPr>
        <w:tabs>
          <w:tab w:val="left" w:pos="567"/>
          <w:tab w:val="left" w:pos="720"/>
          <w:tab w:val="left" w:pos="1134"/>
          <w:tab w:val="left" w:pos="1350"/>
          <w:tab w:val="left" w:pos="7938"/>
        </w:tabs>
        <w:spacing w:after="0" w:line="240" w:lineRule="auto"/>
        <w:jc w:val="both"/>
        <w:rPr>
          <w:rFonts w:ascii="Arial" w:hAnsi="Arial" w:cs="Arial"/>
          <w:sz w:val="24"/>
          <w:szCs w:val="24"/>
        </w:rPr>
      </w:pPr>
      <w:r>
        <w:rPr>
          <w:rFonts w:ascii="Arial" w:hAnsi="Arial" w:cs="Arial"/>
          <w:b/>
          <w:sz w:val="24"/>
          <w:szCs w:val="24"/>
        </w:rPr>
        <w:t>Apă de suprafaţă Dunăre</w:t>
      </w:r>
    </w:p>
    <w:p w:rsidR="00B84559" w:rsidRPr="0026124C" w:rsidRDefault="00B84559" w:rsidP="00B84559">
      <w:pPr>
        <w:tabs>
          <w:tab w:val="left" w:pos="567"/>
          <w:tab w:val="left" w:pos="720"/>
          <w:tab w:val="left" w:pos="1134"/>
          <w:tab w:val="left" w:pos="1350"/>
          <w:tab w:val="left" w:pos="7938"/>
        </w:tabs>
        <w:jc w:val="both"/>
        <w:rPr>
          <w:rFonts w:ascii="Arial" w:hAnsi="Arial" w:cs="Arial"/>
        </w:rPr>
      </w:pPr>
      <w:r>
        <w:rPr>
          <w:rFonts w:ascii="Arial" w:hAnsi="Arial" w:cs="Arial"/>
        </w:rPr>
        <w:tab/>
      </w:r>
      <w:r w:rsidRPr="0026124C">
        <w:rPr>
          <w:rFonts w:ascii="Arial" w:hAnsi="Arial" w:cs="Arial"/>
        </w:rPr>
        <w:t>Probele de</w:t>
      </w:r>
      <w:r w:rsidRPr="0026124C">
        <w:rPr>
          <w:rFonts w:ascii="Arial" w:hAnsi="Arial" w:cs="Arial"/>
          <w:b/>
        </w:rPr>
        <w:t xml:space="preserve"> </w:t>
      </w:r>
      <w:r w:rsidRPr="0026124C">
        <w:rPr>
          <w:rFonts w:ascii="Arial" w:hAnsi="Arial" w:cs="Arial"/>
        </w:rPr>
        <w:t>apă d</w:t>
      </w:r>
      <w:r>
        <w:rPr>
          <w:rFonts w:ascii="Arial" w:hAnsi="Arial" w:cs="Arial"/>
        </w:rPr>
        <w:t xml:space="preserve">e suprafaţă din Dunăre au avut </w:t>
      </w:r>
      <w:r w:rsidRPr="0026124C">
        <w:rPr>
          <w:rFonts w:ascii="Arial" w:hAnsi="Arial" w:cs="Arial"/>
        </w:rPr>
        <w:t>urm</w:t>
      </w:r>
      <w:r w:rsidRPr="0026124C">
        <w:rPr>
          <w:rFonts w:ascii="Arial" w:hAnsi="Arial" w:cs="Arial"/>
          <w:lang w:val="ro-RO"/>
        </w:rPr>
        <w:t>ă</w:t>
      </w:r>
      <w:r w:rsidRPr="0026124C">
        <w:rPr>
          <w:rFonts w:ascii="Arial" w:hAnsi="Arial" w:cs="Arial"/>
        </w:rPr>
        <w:t>toarele frecvenţe de colectare:</w:t>
      </w:r>
    </w:p>
    <w:p w:rsidR="00B84559" w:rsidRPr="003F3743" w:rsidRDefault="00B84559" w:rsidP="00B84559">
      <w:pPr>
        <w:pStyle w:val="Listparagraf"/>
        <w:numPr>
          <w:ilvl w:val="0"/>
          <w:numId w:val="34"/>
        </w:numPr>
        <w:tabs>
          <w:tab w:val="left" w:pos="567"/>
          <w:tab w:val="left" w:pos="1134"/>
          <w:tab w:val="left" w:pos="1350"/>
          <w:tab w:val="left" w:pos="7938"/>
        </w:tabs>
        <w:spacing w:after="0" w:line="240" w:lineRule="auto"/>
        <w:jc w:val="both"/>
        <w:rPr>
          <w:rFonts w:ascii="Arial" w:hAnsi="Arial" w:cs="Arial"/>
          <w:sz w:val="24"/>
          <w:szCs w:val="24"/>
        </w:rPr>
      </w:pPr>
      <w:r w:rsidRPr="003F3743">
        <w:rPr>
          <w:rFonts w:ascii="Arial" w:hAnsi="Arial" w:cs="Arial"/>
          <w:sz w:val="24"/>
          <w:szCs w:val="24"/>
        </w:rPr>
        <w:t>zilnică pentru punctul de prelevare Gara fluvială Cernavodă</w:t>
      </w:r>
    </w:p>
    <w:p w:rsidR="00B84559" w:rsidRPr="003F3743" w:rsidRDefault="00B84559" w:rsidP="00B84559">
      <w:pPr>
        <w:pStyle w:val="Listparagraf"/>
        <w:numPr>
          <w:ilvl w:val="0"/>
          <w:numId w:val="34"/>
        </w:numPr>
        <w:tabs>
          <w:tab w:val="left" w:pos="567"/>
          <w:tab w:val="left" w:pos="1134"/>
          <w:tab w:val="left" w:pos="1350"/>
          <w:tab w:val="left" w:pos="7938"/>
        </w:tabs>
        <w:spacing w:after="0" w:line="240" w:lineRule="auto"/>
        <w:jc w:val="both"/>
        <w:rPr>
          <w:rFonts w:ascii="Arial" w:hAnsi="Arial" w:cs="Arial"/>
          <w:sz w:val="24"/>
          <w:szCs w:val="24"/>
        </w:rPr>
      </w:pPr>
      <w:r w:rsidRPr="003F3743">
        <w:rPr>
          <w:rFonts w:ascii="Arial" w:hAnsi="Arial" w:cs="Arial"/>
          <w:sz w:val="24"/>
          <w:szCs w:val="24"/>
        </w:rPr>
        <w:t xml:space="preserve">lunară pentru punctele de colectare Cochirleni, Capidava, Feteşti . </w:t>
      </w:r>
    </w:p>
    <w:p w:rsidR="00B84559" w:rsidRPr="00980474" w:rsidRDefault="00B84559" w:rsidP="00B84559">
      <w:pPr>
        <w:pStyle w:val="CharCaracterCharCharCharCaracter"/>
        <w:ind w:firstLine="720"/>
        <w:jc w:val="both"/>
        <w:rPr>
          <w:rFonts w:ascii="Arial" w:hAnsi="Arial"/>
          <w:color w:val="FF0000"/>
        </w:rPr>
      </w:pPr>
      <w:r w:rsidRPr="00165662">
        <w:rPr>
          <w:rFonts w:ascii="Arial" w:hAnsi="Arial" w:cs="Arial"/>
          <w:lang w:val="fr-FR"/>
        </w:rPr>
        <w:t xml:space="preserve">De-a lungul anului </w:t>
      </w:r>
      <w:r>
        <w:rPr>
          <w:rFonts w:ascii="Arial" w:hAnsi="Arial" w:cs="Arial"/>
          <w:lang w:val="fr-FR"/>
        </w:rPr>
        <w:t>2015</w:t>
      </w:r>
      <w:r w:rsidRPr="00165662">
        <w:rPr>
          <w:rFonts w:ascii="Arial" w:hAnsi="Arial" w:cs="Arial"/>
          <w:lang w:val="fr-FR"/>
        </w:rPr>
        <w:t xml:space="preserve"> au fost </w:t>
      </w:r>
      <w:r w:rsidRPr="00C71B97">
        <w:rPr>
          <w:rFonts w:ascii="Arial" w:hAnsi="Arial" w:cs="Arial"/>
          <w:lang w:val="fr-FR"/>
        </w:rPr>
        <w:t xml:space="preserve">colectate 360 probe de la Gara fluvială </w:t>
      </w:r>
      <w:r w:rsidRPr="00C71B97">
        <w:rPr>
          <w:rFonts w:ascii="Arial" w:hAnsi="Arial" w:cs="Arial"/>
          <w:lang w:val="ro-RO"/>
        </w:rPr>
        <w:t>şi câte 12</w:t>
      </w:r>
      <w:r w:rsidRPr="00165662">
        <w:rPr>
          <w:rFonts w:ascii="Arial" w:hAnsi="Arial" w:cs="Arial"/>
          <w:lang w:val="fr-FR"/>
        </w:rPr>
        <w:t xml:space="preserve"> probe de la</w:t>
      </w:r>
      <w:r>
        <w:rPr>
          <w:rFonts w:ascii="Arial" w:hAnsi="Arial" w:cs="Arial"/>
          <w:lang w:val="fr-FR"/>
        </w:rPr>
        <w:t xml:space="preserve"> </w:t>
      </w:r>
      <w:r>
        <w:rPr>
          <w:rFonts w:ascii="Arial" w:hAnsi="Arial" w:cs="Arial"/>
          <w:lang w:val="ro-RO"/>
        </w:rPr>
        <w:t>Cochirleni, Capidava, respectiv Feteşti</w:t>
      </w:r>
      <w:r>
        <w:rPr>
          <w:rFonts w:ascii="Arial" w:hAnsi="Arial" w:cs="Arial"/>
          <w:lang w:val="fr-FR"/>
        </w:rPr>
        <w:t>.</w:t>
      </w:r>
      <w:r>
        <w:rPr>
          <w:rFonts w:ascii="Arial" w:hAnsi="Arial"/>
        </w:rPr>
        <w:t xml:space="preserve"> Rezultatele analizelor beta globale sunt prezentate în </w:t>
      </w:r>
      <w:r w:rsidRPr="000B7D17">
        <w:rPr>
          <w:rFonts w:ascii="Arial" w:hAnsi="Arial"/>
        </w:rPr>
        <w:t>figura IX.24.</w:t>
      </w:r>
    </w:p>
    <w:p w:rsidR="00B84559" w:rsidRDefault="00B84559" w:rsidP="00B84559">
      <w:pPr>
        <w:pStyle w:val="Indentcorptext3"/>
        <w:rPr>
          <w:lang w:val="fr-FR"/>
        </w:rPr>
      </w:pPr>
      <w:r w:rsidRPr="00067CCB">
        <w:t>Nu au fost depăşiri al</w:t>
      </w:r>
      <w:r>
        <w:t>e nivelului de atenţionare</w:t>
      </w:r>
      <w:r w:rsidRPr="007105C6">
        <w:rPr>
          <w:lang w:val="fr-FR"/>
        </w:rPr>
        <w:t>.</w:t>
      </w:r>
    </w:p>
    <w:p w:rsidR="00B84559" w:rsidRDefault="00B84559" w:rsidP="00B84559">
      <w:pPr>
        <w:pStyle w:val="Indentcorptext3"/>
        <w:rPr>
          <w:lang w:val="fr-FR"/>
        </w:rPr>
      </w:pPr>
    </w:p>
    <w:p w:rsidR="00B84559" w:rsidRPr="000C2E5B" w:rsidRDefault="00B84559" w:rsidP="00B84559">
      <w:pPr>
        <w:pStyle w:val="Indentcorptext3"/>
        <w:rPr>
          <w:lang w:val="fr-FR"/>
        </w:rPr>
      </w:pPr>
      <w:r>
        <w:rPr>
          <w:noProof/>
        </w:rPr>
        <w:drawing>
          <wp:inline distT="0" distB="0" distL="0" distR="0" wp14:anchorId="7283F999" wp14:editId="4C0B4975">
            <wp:extent cx="6124575" cy="2600325"/>
            <wp:effectExtent l="0" t="0" r="9525" b="9525"/>
            <wp:docPr id="32" name="Diagramă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B84559" w:rsidRDefault="00B84559" w:rsidP="00B84559">
      <w:pPr>
        <w:pStyle w:val="CharCaracterCharCharCharCaracter"/>
        <w:ind w:firstLine="720"/>
        <w:jc w:val="center"/>
        <w:rPr>
          <w:i/>
          <w:sz w:val="20"/>
          <w:szCs w:val="20"/>
        </w:rPr>
      </w:pPr>
      <w:r w:rsidRPr="00315B9F">
        <w:rPr>
          <w:i/>
          <w:sz w:val="20"/>
          <w:szCs w:val="20"/>
        </w:rPr>
        <w:t>Notă: limita de a</w:t>
      </w:r>
      <w:r>
        <w:rPr>
          <w:i/>
          <w:sz w:val="20"/>
          <w:szCs w:val="20"/>
        </w:rPr>
        <w:t>tenţionar</w:t>
      </w:r>
      <w:r w:rsidRPr="00315B9F">
        <w:rPr>
          <w:i/>
          <w:sz w:val="20"/>
          <w:szCs w:val="20"/>
        </w:rPr>
        <w:t xml:space="preserve">e pentru </w:t>
      </w:r>
      <w:r>
        <w:rPr>
          <w:i/>
          <w:sz w:val="20"/>
          <w:szCs w:val="20"/>
        </w:rPr>
        <w:t>activitatea beta globala imediată pentru ap</w:t>
      </w:r>
      <w:r>
        <w:rPr>
          <w:i/>
          <w:sz w:val="20"/>
          <w:szCs w:val="20"/>
          <w:lang w:val="ro-RO"/>
        </w:rPr>
        <w:t xml:space="preserve">ă </w:t>
      </w:r>
      <w:r w:rsidRPr="00315B9F">
        <w:rPr>
          <w:i/>
          <w:sz w:val="20"/>
          <w:szCs w:val="20"/>
        </w:rPr>
        <w:t xml:space="preserve">(conform O.M. nr. 1978/2010 ) este de </w:t>
      </w:r>
      <w:r w:rsidRPr="00DD6F9F">
        <w:rPr>
          <w:i/>
          <w:sz w:val="20"/>
          <w:szCs w:val="20"/>
        </w:rPr>
        <w:t>2 Bq/l</w:t>
      </w:r>
    </w:p>
    <w:p w:rsidR="00B84559" w:rsidRDefault="00B84559" w:rsidP="00B84559">
      <w:pPr>
        <w:pStyle w:val="CharCaracterCharCharCharCaracter"/>
        <w:ind w:firstLine="720"/>
        <w:jc w:val="center"/>
        <w:rPr>
          <w:rFonts w:ascii="Arial" w:hAnsi="Arial" w:cs="Arial"/>
          <w:b/>
          <w:lang w:val="ro-RO"/>
        </w:rPr>
      </w:pPr>
    </w:p>
    <w:p w:rsidR="00B84559" w:rsidRPr="00674B63" w:rsidRDefault="00B84559" w:rsidP="00B84559">
      <w:pPr>
        <w:pStyle w:val="Indentcorptext3"/>
        <w:rPr>
          <w:sz w:val="24"/>
          <w:szCs w:val="24"/>
          <w:lang w:eastAsia="ro-RO"/>
        </w:rPr>
      </w:pPr>
      <w:r w:rsidRPr="00674B63">
        <w:rPr>
          <w:sz w:val="24"/>
          <w:szCs w:val="24"/>
        </w:rPr>
        <w:t>Evoluția activității beta globale (medie și maximă anuală – măsurare  imediată) a probelor de probe de apă de suprafaţă din Dunăre prelevate de la Gara fluvială Cernavodă, Cochirleni, Capidava și Feteşti în perioada 2010 - 2015 este prezentată în figura IX.25.</w:t>
      </w:r>
      <w:r w:rsidRPr="00674B63">
        <w:rPr>
          <w:sz w:val="24"/>
          <w:szCs w:val="24"/>
          <w:lang w:eastAsia="ro-RO"/>
        </w:rPr>
        <w:t xml:space="preserve"> </w:t>
      </w:r>
    </w:p>
    <w:p w:rsidR="00B84559" w:rsidRDefault="00B84559" w:rsidP="00B84559">
      <w:pPr>
        <w:pStyle w:val="Indentcorptext"/>
        <w:ind w:firstLine="0"/>
        <w:rPr>
          <w:rFonts w:ascii="Arial" w:hAnsi="Arial" w:cs="Arial"/>
          <w:color w:val="000000"/>
          <w:lang w:val="fr-FR"/>
        </w:rPr>
      </w:pPr>
      <w:r>
        <w:rPr>
          <w:noProof/>
          <w:lang w:val="en-US" w:eastAsia="en-US"/>
        </w:rPr>
        <w:lastRenderedPageBreak/>
        <w:drawing>
          <wp:inline distT="0" distB="0" distL="0" distR="0" wp14:anchorId="3DAF65F3" wp14:editId="0CE6F678">
            <wp:extent cx="6000750" cy="2886075"/>
            <wp:effectExtent l="0" t="0" r="19050" b="9525"/>
            <wp:docPr id="29" name="Diagramă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B84559" w:rsidRDefault="00B84559" w:rsidP="00B84559">
      <w:pPr>
        <w:pStyle w:val="CharCaracterCharCharCharCaracter"/>
        <w:ind w:firstLine="720"/>
        <w:jc w:val="center"/>
        <w:rPr>
          <w:i/>
          <w:sz w:val="20"/>
          <w:szCs w:val="20"/>
        </w:rPr>
      </w:pPr>
      <w:r w:rsidRPr="00315B9F">
        <w:rPr>
          <w:i/>
          <w:sz w:val="20"/>
          <w:szCs w:val="20"/>
        </w:rPr>
        <w:t>Notă: limita de a</w:t>
      </w:r>
      <w:r>
        <w:rPr>
          <w:i/>
          <w:sz w:val="20"/>
          <w:szCs w:val="20"/>
        </w:rPr>
        <w:t>tenţionar</w:t>
      </w:r>
      <w:r w:rsidRPr="00315B9F">
        <w:rPr>
          <w:i/>
          <w:sz w:val="20"/>
          <w:szCs w:val="20"/>
        </w:rPr>
        <w:t xml:space="preserve">e pentru </w:t>
      </w:r>
      <w:r>
        <w:rPr>
          <w:i/>
          <w:sz w:val="20"/>
          <w:szCs w:val="20"/>
        </w:rPr>
        <w:t>activitatea beta globala imediată pentru ap</w:t>
      </w:r>
      <w:r>
        <w:rPr>
          <w:i/>
          <w:sz w:val="20"/>
          <w:szCs w:val="20"/>
          <w:lang w:val="ro-RO"/>
        </w:rPr>
        <w:t xml:space="preserve">ă </w:t>
      </w:r>
      <w:r w:rsidRPr="00315B9F">
        <w:rPr>
          <w:i/>
          <w:sz w:val="20"/>
          <w:szCs w:val="20"/>
        </w:rPr>
        <w:t xml:space="preserve">(conform O.M. nr. 1978/2010 ) este de </w:t>
      </w:r>
      <w:r w:rsidRPr="00DD6F9F">
        <w:rPr>
          <w:i/>
          <w:sz w:val="20"/>
          <w:szCs w:val="20"/>
        </w:rPr>
        <w:t>2 Bq/l</w:t>
      </w:r>
    </w:p>
    <w:p w:rsidR="00B84559" w:rsidRDefault="00B84559" w:rsidP="00B84559">
      <w:pPr>
        <w:pStyle w:val="Corptext"/>
        <w:rPr>
          <w:rFonts w:ascii="Arial" w:hAnsi="Arial" w:cs="Arial"/>
          <w:color w:val="000000"/>
          <w:lang w:val="fr-FR"/>
        </w:rPr>
      </w:pPr>
    </w:p>
    <w:p w:rsidR="00B84559" w:rsidRPr="00674B63" w:rsidRDefault="00B84559" w:rsidP="00674B63">
      <w:pPr>
        <w:pStyle w:val="Corptext"/>
        <w:ind w:firstLine="709"/>
        <w:jc w:val="both"/>
        <w:rPr>
          <w:rFonts w:ascii="Arial" w:hAnsi="Arial" w:cs="Arial"/>
          <w:sz w:val="24"/>
          <w:szCs w:val="24"/>
        </w:rPr>
      </w:pPr>
      <w:r w:rsidRPr="00674B63">
        <w:rPr>
          <w:rFonts w:ascii="Arial" w:hAnsi="Arial" w:cs="Arial"/>
          <w:sz w:val="24"/>
          <w:szCs w:val="24"/>
        </w:rPr>
        <w:t xml:space="preserve"> Analizele gama spectrometrice au pus în evidenţă prezenţa  radionuclidului artificial Cs-137 în apa de suprafaţă prelevată din Dunăre. Concentraţiile acestuia au variat între 0.00052 – 0.001952 Bq/l. În figura IX.26. sunt reprezentate valorile semnificative obţinute pentru concentraţiile Cs-137. Maxima s-a înregistrat pentru proba cumulată corespunzătoare lunii februarie, punct de colectare Borcea Feteşti. </w:t>
      </w:r>
      <w:r w:rsidRPr="00674B63">
        <w:rPr>
          <w:rFonts w:ascii="Arial" w:hAnsi="Arial" w:cs="Arial"/>
          <w:bCs/>
          <w:color w:val="000000"/>
          <w:sz w:val="24"/>
          <w:szCs w:val="24"/>
        </w:rPr>
        <w:t xml:space="preserve">Sursa actuală pentru Cs-137 din apă este solul contaminat ca urmare a accidentului de la CNE Cernobâl. </w:t>
      </w:r>
    </w:p>
    <w:p w:rsidR="00B84559" w:rsidRDefault="00B84559" w:rsidP="00674B63">
      <w:pPr>
        <w:pStyle w:val="Indentcorptext"/>
        <w:rPr>
          <w:rFonts w:ascii="Arial" w:hAnsi="Arial" w:cs="Arial"/>
        </w:rPr>
      </w:pPr>
      <w:r w:rsidRPr="00065B6A">
        <w:rPr>
          <w:rFonts w:ascii="Arial" w:hAnsi="Arial" w:cs="Arial"/>
        </w:rPr>
        <w:t xml:space="preserve">Radionuclidul natural K-40 a avut concentraţii cuprinse în intervalul </w:t>
      </w:r>
      <w:r>
        <w:rPr>
          <w:rFonts w:ascii="Arial" w:hAnsi="Arial" w:cs="Arial"/>
        </w:rPr>
        <w:t>0.0263 – 0.1551</w:t>
      </w:r>
      <w:r w:rsidRPr="00065B6A">
        <w:rPr>
          <w:rFonts w:ascii="Arial" w:hAnsi="Arial" w:cs="Arial"/>
        </w:rPr>
        <w:t xml:space="preserve"> Bq/</w:t>
      </w:r>
      <w:r>
        <w:rPr>
          <w:rFonts w:ascii="Arial" w:hAnsi="Arial" w:cs="Arial"/>
        </w:rPr>
        <w:t>l</w:t>
      </w:r>
      <w:r w:rsidRPr="00065B6A">
        <w:rPr>
          <w:rFonts w:ascii="Arial" w:hAnsi="Arial" w:cs="Arial"/>
        </w:rPr>
        <w:t>, incertitudinile statistice asociate fiind de</w:t>
      </w:r>
      <w:r>
        <w:rPr>
          <w:rFonts w:ascii="Arial" w:hAnsi="Arial" w:cs="Arial"/>
        </w:rPr>
        <w:t xml:space="preserve"> </w:t>
      </w:r>
      <w:r w:rsidRPr="00065B6A">
        <w:rPr>
          <w:rFonts w:ascii="Arial" w:hAnsi="Arial" w:cs="Arial"/>
        </w:rPr>
        <w:t xml:space="preserve"> </w:t>
      </w:r>
      <w:r w:rsidRPr="005142A8">
        <w:rPr>
          <w:rFonts w:ascii="Arial" w:hAnsi="Arial" w:cs="Arial"/>
        </w:rPr>
        <w:t>8 - 74 % . Maxima s-a înregistrat pentru proba prelevată la data de 1</w:t>
      </w:r>
      <w:r>
        <w:rPr>
          <w:rFonts w:ascii="Arial" w:hAnsi="Arial" w:cs="Arial"/>
        </w:rPr>
        <w:t>8</w:t>
      </w:r>
      <w:r w:rsidRPr="005142A8">
        <w:rPr>
          <w:rFonts w:ascii="Arial" w:hAnsi="Arial" w:cs="Arial"/>
        </w:rPr>
        <w:t>.0</w:t>
      </w:r>
      <w:r>
        <w:rPr>
          <w:rFonts w:ascii="Arial" w:hAnsi="Arial" w:cs="Arial"/>
        </w:rPr>
        <w:t>2</w:t>
      </w:r>
      <w:r w:rsidRPr="005142A8">
        <w:rPr>
          <w:rFonts w:ascii="Arial" w:hAnsi="Arial" w:cs="Arial"/>
        </w:rPr>
        <w:t xml:space="preserve">.2015 la </w:t>
      </w:r>
      <w:r>
        <w:rPr>
          <w:rFonts w:ascii="Arial" w:hAnsi="Arial" w:cs="Arial"/>
        </w:rPr>
        <w:t xml:space="preserve">Feteşti </w:t>
      </w:r>
      <w:r w:rsidRPr="005142A8">
        <w:rPr>
          <w:rFonts w:ascii="Arial" w:hAnsi="Arial" w:cs="Arial"/>
        </w:rPr>
        <w:t>(figura IX.27)</w:t>
      </w:r>
      <w:r>
        <w:rPr>
          <w:rFonts w:ascii="Arial" w:hAnsi="Arial" w:cs="Arial"/>
        </w:rPr>
        <w:t>.</w:t>
      </w:r>
    </w:p>
    <w:p w:rsidR="00B84559" w:rsidRDefault="00B84559" w:rsidP="00B84559">
      <w:pPr>
        <w:pStyle w:val="Indentcorptext"/>
        <w:rPr>
          <w:rFonts w:ascii="Arial" w:hAnsi="Arial" w:cs="Arial"/>
        </w:rPr>
      </w:pPr>
    </w:p>
    <w:p w:rsidR="00B84559" w:rsidRDefault="00B84559" w:rsidP="00B84559">
      <w:pPr>
        <w:pStyle w:val="Indentcorptext"/>
        <w:ind w:firstLine="0"/>
        <w:jc w:val="center"/>
      </w:pPr>
      <w:r>
        <w:rPr>
          <w:noProof/>
          <w:lang w:val="en-US" w:eastAsia="en-US"/>
        </w:rPr>
        <w:drawing>
          <wp:inline distT="0" distB="0" distL="0" distR="0" wp14:anchorId="52A0B37B" wp14:editId="7A1264A6">
            <wp:extent cx="6019800" cy="2409825"/>
            <wp:effectExtent l="0" t="0" r="19050" b="9525"/>
            <wp:docPr id="22" name="Obiect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B84559" w:rsidRDefault="00B84559" w:rsidP="00B84559">
      <w:pPr>
        <w:pStyle w:val="Indentcorptext"/>
        <w:ind w:firstLine="0"/>
        <w:rPr>
          <w:rFonts w:ascii="Arial" w:hAnsi="Arial" w:cs="Arial"/>
        </w:rPr>
      </w:pPr>
    </w:p>
    <w:p w:rsidR="00B84559" w:rsidRDefault="00B84559" w:rsidP="00B84559">
      <w:pPr>
        <w:pStyle w:val="Indentcorptext"/>
        <w:ind w:firstLine="0"/>
        <w:jc w:val="center"/>
        <w:rPr>
          <w:rFonts w:ascii="Arial" w:hAnsi="Arial" w:cs="Arial"/>
        </w:rPr>
      </w:pPr>
      <w:r>
        <w:rPr>
          <w:noProof/>
          <w:lang w:val="en-US" w:eastAsia="en-US"/>
        </w:rPr>
        <w:lastRenderedPageBreak/>
        <w:drawing>
          <wp:inline distT="0" distB="0" distL="0" distR="0" wp14:anchorId="7C2BD265" wp14:editId="38336327">
            <wp:extent cx="6019800" cy="2409825"/>
            <wp:effectExtent l="0" t="0" r="19050" b="9525"/>
            <wp:docPr id="55" name="Obiect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B84559" w:rsidRDefault="00B84559" w:rsidP="00B84559">
      <w:pPr>
        <w:pStyle w:val="Indentcorptext"/>
        <w:rPr>
          <w:rFonts w:ascii="Arial" w:hAnsi="Arial" w:cs="Arial"/>
        </w:rPr>
      </w:pPr>
    </w:p>
    <w:p w:rsidR="00B84559" w:rsidRDefault="00B84559" w:rsidP="00B84559">
      <w:pPr>
        <w:pStyle w:val="Indentcorptext"/>
        <w:rPr>
          <w:bCs/>
        </w:rPr>
      </w:pPr>
      <w:r w:rsidRPr="002656B3">
        <w:rPr>
          <w:rFonts w:ascii="Arial" w:hAnsi="Arial" w:cs="Arial"/>
        </w:rPr>
        <w:t xml:space="preserve">În probele de apă colectate din Dunăre a fost determinat conţinutul de tritiu prin spectrometrie beta cu scintilator lichid. Din totalul probelor colectate au prezentat valori semnificative un număr </w:t>
      </w:r>
      <w:r w:rsidRPr="001A1CEA">
        <w:rPr>
          <w:rFonts w:ascii="Arial" w:hAnsi="Arial" w:cs="Arial"/>
        </w:rPr>
        <w:t>de 60 probe din Dunăre de la Gara fluvială, 2 probe de la Cochirleni, 6 probe de la Capidava şi 1 prob</w:t>
      </w:r>
      <w:r>
        <w:rPr>
          <w:rFonts w:ascii="Arial" w:hAnsi="Arial" w:cs="Arial"/>
        </w:rPr>
        <w:t>ă</w:t>
      </w:r>
      <w:r w:rsidRPr="002656B3">
        <w:rPr>
          <w:rFonts w:ascii="Arial" w:hAnsi="Arial" w:cs="Arial"/>
        </w:rPr>
        <w:t xml:space="preserve"> de la Feteşti. În </w:t>
      </w:r>
      <w:r w:rsidRPr="001A1CEA">
        <w:rPr>
          <w:rFonts w:ascii="Arial" w:hAnsi="Arial" w:cs="Arial"/>
        </w:rPr>
        <w:t>figura IX.28. sunt prezentate mediile valorilor semnificative înregistrate pentru fiecare punct de colectare în parte. Valoarea maximă a concentraţiei volumice a tritiului în apa de suprafaţă a Dunării (14.78 Bq/l) s-a obţinut în data de 17.11.2015 pentru o probă colectată de la Gara fluvială</w:t>
      </w:r>
      <w:r>
        <w:rPr>
          <w:rFonts w:ascii="Arial" w:hAnsi="Arial" w:cs="Arial"/>
        </w:rPr>
        <w:t>.</w:t>
      </w:r>
      <w:r w:rsidRPr="007105C6">
        <w:rPr>
          <w:bCs/>
        </w:rPr>
        <w:tab/>
      </w:r>
    </w:p>
    <w:p w:rsidR="00B84559" w:rsidRPr="007105C6" w:rsidRDefault="00B84559" w:rsidP="00B84559">
      <w:pPr>
        <w:pStyle w:val="Indentcorptext"/>
        <w:rPr>
          <w:rFonts w:ascii="Arial" w:hAnsi="Arial" w:cs="Arial"/>
        </w:rPr>
      </w:pPr>
    </w:p>
    <w:p w:rsidR="00B84559" w:rsidRPr="002656B3" w:rsidRDefault="00B84559" w:rsidP="00B84559">
      <w:pPr>
        <w:tabs>
          <w:tab w:val="left" w:pos="567"/>
          <w:tab w:val="left" w:pos="1134"/>
          <w:tab w:val="left" w:pos="3690"/>
          <w:tab w:val="left" w:pos="7938"/>
        </w:tabs>
        <w:jc w:val="center"/>
        <w:rPr>
          <w:bCs/>
          <w:lang w:val="ro-RO"/>
        </w:rPr>
      </w:pPr>
      <w:r>
        <w:rPr>
          <w:noProof/>
          <w:lang w:val="en-US"/>
        </w:rPr>
        <w:drawing>
          <wp:inline distT="0" distB="0" distL="0" distR="0" wp14:anchorId="1448CE8B" wp14:editId="48286970">
            <wp:extent cx="6115050" cy="2381250"/>
            <wp:effectExtent l="0" t="0" r="19050" b="19050"/>
            <wp:docPr id="28" name="Obiect 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B84559" w:rsidRPr="002656B3" w:rsidRDefault="00B84559" w:rsidP="00B84559">
      <w:pPr>
        <w:tabs>
          <w:tab w:val="left" w:pos="567"/>
          <w:tab w:val="left" w:pos="1134"/>
          <w:tab w:val="left" w:pos="7938"/>
        </w:tabs>
        <w:rPr>
          <w:bCs/>
          <w:lang w:val="ro-RO"/>
        </w:rPr>
      </w:pPr>
    </w:p>
    <w:p w:rsidR="00B84559" w:rsidRPr="00ED371F" w:rsidRDefault="00B84559" w:rsidP="00B84559">
      <w:pPr>
        <w:pStyle w:val="Listparagraf"/>
        <w:numPr>
          <w:ilvl w:val="0"/>
          <w:numId w:val="42"/>
        </w:numPr>
        <w:tabs>
          <w:tab w:val="left" w:pos="567"/>
          <w:tab w:val="left" w:pos="1134"/>
          <w:tab w:val="left" w:pos="7938"/>
        </w:tabs>
        <w:spacing w:after="0" w:line="240" w:lineRule="auto"/>
        <w:rPr>
          <w:rFonts w:ascii="Arial" w:hAnsi="Arial" w:cs="Arial"/>
          <w:b/>
          <w:bCs/>
          <w:sz w:val="24"/>
          <w:szCs w:val="24"/>
        </w:rPr>
      </w:pPr>
      <w:r w:rsidRPr="00ED371F">
        <w:rPr>
          <w:rFonts w:ascii="Arial" w:hAnsi="Arial" w:cs="Arial"/>
          <w:b/>
          <w:bCs/>
          <w:sz w:val="24"/>
          <w:szCs w:val="24"/>
        </w:rPr>
        <w:t>Apă de suprafaţă Lac Baciu şi Lac Domneasca</w:t>
      </w:r>
    </w:p>
    <w:p w:rsidR="00B84559" w:rsidRPr="008C7553" w:rsidRDefault="00B84559" w:rsidP="00B84559">
      <w:pPr>
        <w:tabs>
          <w:tab w:val="left" w:pos="709"/>
          <w:tab w:val="left" w:pos="1134"/>
          <w:tab w:val="left" w:pos="7938"/>
        </w:tabs>
        <w:rPr>
          <w:rFonts w:ascii="Arial" w:hAnsi="Arial" w:cs="Arial"/>
          <w:b/>
          <w:bCs/>
          <w:lang w:val="ro-RO"/>
        </w:rPr>
      </w:pPr>
      <w:r w:rsidRPr="002656B3">
        <w:rPr>
          <w:rFonts w:ascii="Arial" w:hAnsi="Arial" w:cs="Arial"/>
          <w:b/>
          <w:bCs/>
          <w:lang w:val="ro-RO"/>
        </w:rPr>
        <w:tab/>
      </w:r>
      <w:r w:rsidRPr="008C7553">
        <w:rPr>
          <w:rFonts w:ascii="Arial" w:hAnsi="Arial" w:cs="Arial"/>
          <w:lang w:val="ro-RO"/>
        </w:rPr>
        <w:t>În luna</w:t>
      </w:r>
      <w:r>
        <w:rPr>
          <w:rFonts w:ascii="Arial" w:hAnsi="Arial" w:cs="Arial"/>
          <w:lang w:val="ro-RO"/>
        </w:rPr>
        <w:t xml:space="preserve"> martie</w:t>
      </w:r>
      <w:r w:rsidRPr="008C7553">
        <w:rPr>
          <w:rFonts w:ascii="Arial" w:hAnsi="Arial" w:cs="Arial"/>
          <w:lang w:val="ro-RO"/>
        </w:rPr>
        <w:t xml:space="preserve"> </w:t>
      </w:r>
      <w:r>
        <w:rPr>
          <w:rFonts w:ascii="Arial" w:hAnsi="Arial" w:cs="Arial"/>
          <w:lang w:val="ro-RO"/>
        </w:rPr>
        <w:t>2015</w:t>
      </w:r>
      <w:r w:rsidRPr="008C7553">
        <w:rPr>
          <w:rFonts w:ascii="Arial" w:hAnsi="Arial" w:cs="Arial"/>
          <w:lang w:val="ro-RO"/>
        </w:rPr>
        <w:t xml:space="preserve"> a fost colectată o probă de</w:t>
      </w:r>
      <w:r w:rsidRPr="002656B3">
        <w:rPr>
          <w:rFonts w:ascii="Arial" w:hAnsi="Arial" w:cs="Arial"/>
          <w:lang w:val="ro-RO"/>
        </w:rPr>
        <w:t xml:space="preserve"> apă de suprafa</w:t>
      </w:r>
      <w:r w:rsidRPr="008C7553">
        <w:rPr>
          <w:rFonts w:ascii="Arial" w:hAnsi="Arial" w:cs="Arial"/>
          <w:lang w:val="ro-RO"/>
        </w:rPr>
        <w:t>ţă din Lac Baciu</w:t>
      </w:r>
      <w:r>
        <w:rPr>
          <w:rFonts w:ascii="Arial" w:hAnsi="Arial" w:cs="Arial"/>
          <w:lang w:val="ro-RO"/>
        </w:rPr>
        <w:t>, iar în</w:t>
      </w:r>
      <w:r w:rsidRPr="008C7553">
        <w:rPr>
          <w:rFonts w:ascii="Arial" w:hAnsi="Arial" w:cs="Arial"/>
          <w:lang w:val="ro-RO"/>
        </w:rPr>
        <w:t xml:space="preserve"> lunile martie</w:t>
      </w:r>
      <w:r>
        <w:rPr>
          <w:rFonts w:ascii="Arial" w:hAnsi="Arial" w:cs="Arial"/>
          <w:lang w:val="ro-RO"/>
        </w:rPr>
        <w:t>, mai, august</w:t>
      </w:r>
      <w:r w:rsidRPr="008C7553">
        <w:rPr>
          <w:rFonts w:ascii="Arial" w:hAnsi="Arial" w:cs="Arial"/>
          <w:lang w:val="ro-RO"/>
        </w:rPr>
        <w:t xml:space="preserve"> şi </w:t>
      </w:r>
      <w:r>
        <w:rPr>
          <w:rFonts w:ascii="Arial" w:hAnsi="Arial" w:cs="Arial"/>
          <w:lang w:val="ro-RO"/>
        </w:rPr>
        <w:t>decem</w:t>
      </w:r>
      <w:r w:rsidRPr="008C7553">
        <w:rPr>
          <w:rFonts w:ascii="Arial" w:hAnsi="Arial" w:cs="Arial"/>
          <w:lang w:val="ro-RO"/>
        </w:rPr>
        <w:t xml:space="preserve">brie </w:t>
      </w:r>
      <w:r>
        <w:rPr>
          <w:rFonts w:ascii="Arial" w:hAnsi="Arial" w:cs="Arial"/>
          <w:lang w:val="ro-RO"/>
        </w:rPr>
        <w:t>2015</w:t>
      </w:r>
      <w:r w:rsidRPr="008C7553">
        <w:rPr>
          <w:rFonts w:ascii="Arial" w:hAnsi="Arial" w:cs="Arial"/>
          <w:lang w:val="ro-RO"/>
        </w:rPr>
        <w:t xml:space="preserve"> au fost recoltate probe de apă de suprafaţă din Lac </w:t>
      </w:r>
      <w:r>
        <w:rPr>
          <w:rFonts w:ascii="Arial" w:hAnsi="Arial" w:cs="Arial"/>
          <w:lang w:val="ro-RO"/>
        </w:rPr>
        <w:t>Domneasca</w:t>
      </w:r>
      <w:r w:rsidRPr="008C7553">
        <w:rPr>
          <w:rFonts w:ascii="Arial" w:hAnsi="Arial" w:cs="Arial"/>
          <w:lang w:val="ro-RO"/>
        </w:rPr>
        <w:t>.</w:t>
      </w:r>
      <w:r>
        <w:rPr>
          <w:rFonts w:ascii="Arial" w:hAnsi="Arial" w:cs="Arial"/>
          <w:lang w:val="ro-RO"/>
        </w:rPr>
        <w:t xml:space="preserve"> </w:t>
      </w:r>
      <w:r w:rsidRPr="008C7553">
        <w:rPr>
          <w:rFonts w:ascii="Arial" w:hAnsi="Arial" w:cs="Arial"/>
          <w:lang w:val="ro-RO"/>
        </w:rPr>
        <w:t>Analiza gama spectrometrică a pus în evidenţă prezenţa unor radionuclizi din seri</w:t>
      </w:r>
      <w:r>
        <w:rPr>
          <w:rFonts w:ascii="Arial" w:hAnsi="Arial" w:cs="Arial"/>
          <w:lang w:val="ro-RO"/>
        </w:rPr>
        <w:t>ile radioactive naturale precum</w:t>
      </w:r>
      <w:r w:rsidRPr="008C7553">
        <w:rPr>
          <w:rFonts w:ascii="Arial" w:hAnsi="Arial" w:cs="Arial"/>
          <w:lang w:val="ro-RO"/>
        </w:rPr>
        <w:t xml:space="preserve"> </w:t>
      </w:r>
      <w:r>
        <w:rPr>
          <w:rFonts w:ascii="Arial" w:hAnsi="Arial" w:cs="Arial"/>
          <w:lang w:val="ro-RO"/>
        </w:rPr>
        <w:t>Th-234 şi</w:t>
      </w:r>
      <w:r w:rsidRPr="008C7553">
        <w:rPr>
          <w:rFonts w:ascii="Arial" w:hAnsi="Arial" w:cs="Arial"/>
          <w:lang w:val="ro-RO"/>
        </w:rPr>
        <w:t xml:space="preserve">  K-40 . Nu s-a determinat niciun radionuclid artificial.</w:t>
      </w:r>
    </w:p>
    <w:p w:rsidR="00B84559" w:rsidRPr="008C7553" w:rsidRDefault="00B84559" w:rsidP="00B84559">
      <w:pPr>
        <w:pStyle w:val="Indentcorptext2"/>
        <w:tabs>
          <w:tab w:val="left" w:pos="567"/>
          <w:tab w:val="left" w:pos="709"/>
          <w:tab w:val="left" w:pos="851"/>
          <w:tab w:val="left" w:pos="3402"/>
          <w:tab w:val="left" w:pos="6379"/>
        </w:tabs>
        <w:rPr>
          <w:rFonts w:ascii="Arial" w:hAnsi="Arial" w:cs="Arial"/>
          <w:sz w:val="24"/>
          <w:szCs w:val="24"/>
          <w:lang w:val="ro-RO"/>
        </w:rPr>
      </w:pPr>
      <w:r w:rsidRPr="008C7553">
        <w:rPr>
          <w:rFonts w:ascii="Arial" w:hAnsi="Arial" w:cs="Arial"/>
          <w:sz w:val="24"/>
          <w:szCs w:val="24"/>
          <w:lang w:val="ro-RO"/>
        </w:rPr>
        <w:t xml:space="preserve"> </w:t>
      </w:r>
      <w:r w:rsidRPr="008C7553">
        <w:rPr>
          <w:rFonts w:ascii="Arial" w:hAnsi="Arial" w:cs="Arial"/>
          <w:sz w:val="24"/>
          <w:szCs w:val="24"/>
          <w:lang w:val="ro-RO"/>
        </w:rPr>
        <w:tab/>
      </w:r>
      <w:r>
        <w:rPr>
          <w:rFonts w:ascii="Arial" w:hAnsi="Arial" w:cs="Arial"/>
          <w:sz w:val="24"/>
          <w:szCs w:val="24"/>
          <w:lang w:val="ro-RO"/>
        </w:rPr>
        <w:t xml:space="preserve">  </w:t>
      </w:r>
      <w:r w:rsidRPr="008C7553">
        <w:rPr>
          <w:rFonts w:ascii="Arial" w:hAnsi="Arial" w:cs="Arial"/>
          <w:sz w:val="24"/>
          <w:szCs w:val="24"/>
          <w:lang w:val="ro-RO"/>
        </w:rPr>
        <w:t xml:space="preserve">Rezultatele obţinute la analiza concentraţiei volumice a tritiului </w:t>
      </w:r>
      <w:r>
        <w:rPr>
          <w:rFonts w:ascii="Arial" w:hAnsi="Arial" w:cs="Arial"/>
          <w:sz w:val="24"/>
          <w:szCs w:val="24"/>
          <w:lang w:val="ro-RO"/>
        </w:rPr>
        <w:t xml:space="preserve">pentru probele de apă de suprafaţă colectate s-au situat </w:t>
      </w:r>
      <w:r w:rsidRPr="004748B6">
        <w:rPr>
          <w:rFonts w:ascii="Arial" w:hAnsi="Arial" w:cs="Arial"/>
          <w:sz w:val="24"/>
          <w:szCs w:val="24"/>
          <w:lang w:val="ro-RO"/>
        </w:rPr>
        <w:t>între 2.82 – 12.57 Bq/l.</w:t>
      </w:r>
    </w:p>
    <w:p w:rsidR="00B84559" w:rsidRDefault="00B84559" w:rsidP="00B84559">
      <w:pPr>
        <w:pStyle w:val="Titlu2"/>
        <w:tabs>
          <w:tab w:val="left" w:pos="1418"/>
          <w:tab w:val="left" w:pos="1560"/>
        </w:tabs>
        <w:rPr>
          <w:sz w:val="24"/>
          <w:lang w:val="ro-RO"/>
        </w:rPr>
      </w:pPr>
    </w:p>
    <w:p w:rsidR="00B84559" w:rsidRDefault="00B84559" w:rsidP="00B84559">
      <w:pPr>
        <w:rPr>
          <w:lang w:val="ro-RO"/>
        </w:rPr>
      </w:pPr>
    </w:p>
    <w:p w:rsidR="00B84559" w:rsidRDefault="00B84559" w:rsidP="00B84559">
      <w:pPr>
        <w:rPr>
          <w:lang w:val="ro-RO"/>
        </w:rPr>
      </w:pPr>
    </w:p>
    <w:p w:rsidR="00B84559" w:rsidRPr="00CA01D1" w:rsidRDefault="00B84559" w:rsidP="00B84559">
      <w:pPr>
        <w:rPr>
          <w:lang w:val="ro-RO"/>
        </w:rPr>
      </w:pPr>
    </w:p>
    <w:p w:rsidR="00B84559" w:rsidRPr="0095087D" w:rsidRDefault="00B84559" w:rsidP="00B84559">
      <w:pPr>
        <w:pStyle w:val="Listparagraf"/>
        <w:numPr>
          <w:ilvl w:val="0"/>
          <w:numId w:val="40"/>
        </w:numPr>
        <w:tabs>
          <w:tab w:val="left" w:pos="567"/>
          <w:tab w:val="left" w:pos="1134"/>
          <w:tab w:val="left" w:pos="7938"/>
        </w:tabs>
        <w:spacing w:after="0" w:line="240" w:lineRule="auto"/>
        <w:ind w:hanging="270"/>
        <w:rPr>
          <w:rFonts w:ascii="Arial" w:hAnsi="Arial" w:cs="Arial"/>
          <w:bCs/>
          <w:sz w:val="24"/>
          <w:szCs w:val="24"/>
          <w:lang w:val="pt-BR"/>
        </w:rPr>
      </w:pPr>
      <w:r w:rsidRPr="0095087D">
        <w:rPr>
          <w:rFonts w:ascii="Arial" w:hAnsi="Arial" w:cs="Arial"/>
          <w:b/>
          <w:bCs/>
          <w:sz w:val="24"/>
          <w:szCs w:val="24"/>
        </w:rPr>
        <w:t>Radioactivitatea M</w:t>
      </w:r>
      <w:r>
        <w:rPr>
          <w:rFonts w:ascii="Arial" w:hAnsi="Arial" w:cs="Arial"/>
          <w:b/>
          <w:bCs/>
          <w:sz w:val="24"/>
          <w:szCs w:val="24"/>
        </w:rPr>
        <w:t>ă</w:t>
      </w:r>
      <w:r w:rsidRPr="0095087D">
        <w:rPr>
          <w:rFonts w:ascii="Arial" w:hAnsi="Arial" w:cs="Arial"/>
          <w:b/>
          <w:bCs/>
          <w:sz w:val="24"/>
          <w:szCs w:val="24"/>
        </w:rPr>
        <w:t>rii Negre</w:t>
      </w:r>
    </w:p>
    <w:p w:rsidR="00B84559" w:rsidRDefault="00B84559" w:rsidP="00B84559">
      <w:pPr>
        <w:pStyle w:val="CharCaracterCharCharCharCaracter"/>
        <w:ind w:firstLine="720"/>
        <w:jc w:val="both"/>
        <w:rPr>
          <w:rFonts w:ascii="Arial" w:hAnsi="Arial" w:cs="Arial"/>
          <w:lang w:val="it-IT"/>
        </w:rPr>
      </w:pPr>
      <w:r w:rsidRPr="00CC6DE5">
        <w:rPr>
          <w:rFonts w:ascii="Arial" w:hAnsi="Arial" w:cs="Arial"/>
          <w:lang w:val="ro-RO"/>
        </w:rPr>
        <w:t xml:space="preserve">Probele de apă </w:t>
      </w:r>
      <w:r>
        <w:rPr>
          <w:rFonts w:ascii="Arial" w:hAnsi="Arial" w:cs="Arial"/>
          <w:lang w:val="ro-RO"/>
        </w:rPr>
        <w:t xml:space="preserve">de suprafaţă din Marea Neagră au fost prelevate sistematic de către SSRM Constanţa şi SSRM Sfântu Gheorghe, în cadrul programului special de lucru. Radioactivitatea artificială beta </w:t>
      </w:r>
      <w:r w:rsidRPr="004748B6">
        <w:rPr>
          <w:rFonts w:ascii="Arial" w:hAnsi="Arial" w:cs="Arial"/>
          <w:lang w:val="ro-RO"/>
        </w:rPr>
        <w:t>globală a probelor de apă din Marea Neagră la Constanţa este prezentată grafic în figura IX.29. Datorită</w:t>
      </w:r>
      <w:r>
        <w:rPr>
          <w:rFonts w:ascii="Arial" w:hAnsi="Arial" w:cs="Arial"/>
          <w:lang w:val="ro-RO"/>
        </w:rPr>
        <w:t xml:space="preserve"> conţinutului bogat în săruri, reziduurile obţinute la prelucrarea probelor au masa cu un ordin de mărime mai mare decât reziduurile probelor de apă dulce, la acelaşi volum prelevat, şi implicit valorile înregistrate sunt cu un ordin de mărime mai mari decât cele obţinute pe probe de apă dulce. În cursul anului 2015 la SSRM Constanţa au fost prelevate 53 de probe de apă de suprafaţă din Marea Neagră, cu frecvenţă săptămânală. Toate probele au înregistrat valori semnificative. Incertitudinile asociate procesului de măsurare au variat între 12</w:t>
      </w:r>
      <w:r w:rsidRPr="007105C6">
        <w:rPr>
          <w:rFonts w:ascii="Arial" w:hAnsi="Arial" w:cs="Arial"/>
          <w:lang w:val="it-IT"/>
        </w:rPr>
        <w:t>-</w:t>
      </w:r>
      <w:r>
        <w:rPr>
          <w:rFonts w:ascii="Arial" w:hAnsi="Arial" w:cs="Arial"/>
          <w:lang w:val="it-IT"/>
        </w:rPr>
        <w:t>22</w:t>
      </w:r>
      <w:r>
        <w:rPr>
          <w:rFonts w:ascii="Arial" w:hAnsi="Arial" w:cs="Arial"/>
          <w:lang w:val="ro-RO"/>
        </w:rPr>
        <w:t>%. Cea mai mare valoare  s</w:t>
      </w:r>
      <w:r w:rsidRPr="007105C6">
        <w:rPr>
          <w:rFonts w:ascii="Arial" w:hAnsi="Arial" w:cs="Arial"/>
          <w:lang w:val="it-IT"/>
        </w:rPr>
        <w:t>-</w:t>
      </w:r>
      <w:r>
        <w:rPr>
          <w:rFonts w:ascii="Arial" w:hAnsi="Arial" w:cs="Arial"/>
          <w:lang w:val="ro-RO"/>
        </w:rPr>
        <w:t xml:space="preserve">a înregistrat în luna ianuarie </w:t>
      </w:r>
      <w:r w:rsidRPr="007105C6">
        <w:rPr>
          <w:rFonts w:ascii="Arial" w:hAnsi="Arial" w:cs="Arial"/>
          <w:lang w:val="it-IT"/>
        </w:rPr>
        <w:t>( 4</w:t>
      </w:r>
      <w:r>
        <w:rPr>
          <w:rFonts w:ascii="Arial" w:hAnsi="Arial" w:cs="Arial"/>
          <w:lang w:val="it-IT"/>
        </w:rPr>
        <w:t>.0836</w:t>
      </w:r>
      <w:r w:rsidRPr="007105C6">
        <w:rPr>
          <w:rFonts w:ascii="Arial" w:hAnsi="Arial" w:cs="Arial"/>
          <w:lang w:val="it-IT"/>
        </w:rPr>
        <w:t xml:space="preserve"> Bq/</w:t>
      </w:r>
      <w:r>
        <w:rPr>
          <w:rFonts w:ascii="Arial" w:hAnsi="Arial" w:cs="Arial"/>
          <w:lang w:val="it-IT"/>
        </w:rPr>
        <w:t>l</w:t>
      </w:r>
      <w:r w:rsidRPr="007105C6">
        <w:rPr>
          <w:rFonts w:ascii="Arial" w:hAnsi="Arial" w:cs="Arial"/>
          <w:lang w:val="it-IT"/>
        </w:rPr>
        <w:t>).</w:t>
      </w:r>
    </w:p>
    <w:p w:rsidR="00B84559" w:rsidRPr="00827D50" w:rsidRDefault="00B84559" w:rsidP="00B84559">
      <w:pPr>
        <w:pStyle w:val="CharCaracterCharCharCharCaracter"/>
        <w:ind w:firstLine="720"/>
        <w:jc w:val="both"/>
        <w:rPr>
          <w:rFonts w:ascii="Arial" w:hAnsi="Arial" w:cs="Arial"/>
          <w:b/>
          <w:lang w:val="ro-RO"/>
        </w:rPr>
      </w:pPr>
    </w:p>
    <w:p w:rsidR="00B84559" w:rsidRDefault="00B84559" w:rsidP="00B84559">
      <w:pPr>
        <w:pStyle w:val="CharCaracterCharCharCharCaracter"/>
        <w:jc w:val="center"/>
      </w:pPr>
      <w:bookmarkStart w:id="92" w:name="_MON_1399919101"/>
      <w:bookmarkStart w:id="93" w:name="_MON_1432320022"/>
      <w:bookmarkStart w:id="94" w:name="_MON_1432320231"/>
      <w:bookmarkStart w:id="95" w:name="_MON_1465161136"/>
      <w:bookmarkStart w:id="96" w:name="_MON_1465459501"/>
      <w:bookmarkStart w:id="97" w:name="_MON_1369504734"/>
      <w:bookmarkStart w:id="98" w:name="_MON_1399916796"/>
      <w:bookmarkEnd w:id="92"/>
      <w:bookmarkEnd w:id="93"/>
      <w:bookmarkEnd w:id="94"/>
      <w:bookmarkEnd w:id="95"/>
      <w:bookmarkEnd w:id="96"/>
      <w:bookmarkEnd w:id="97"/>
      <w:bookmarkEnd w:id="98"/>
      <w:r>
        <w:rPr>
          <w:noProof/>
          <w:lang w:val="en-US" w:eastAsia="en-US"/>
        </w:rPr>
        <w:drawing>
          <wp:inline distT="0" distB="0" distL="0" distR="0">
            <wp:extent cx="6096000" cy="2133600"/>
            <wp:effectExtent l="0" t="0" r="0" b="0"/>
            <wp:docPr id="24" name="Diagramă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B84559" w:rsidRDefault="00B84559" w:rsidP="00B84559">
      <w:pPr>
        <w:pStyle w:val="CharCaracterCharCharCharCaracter"/>
        <w:ind w:firstLine="720"/>
        <w:jc w:val="both"/>
        <w:rPr>
          <w:rFonts w:ascii="Arial" w:hAnsi="Arial" w:cs="Arial"/>
          <w:lang w:val="ro-RO"/>
        </w:rPr>
      </w:pPr>
    </w:p>
    <w:p w:rsidR="00B84559" w:rsidRDefault="00B84559" w:rsidP="00B84559">
      <w:pPr>
        <w:pStyle w:val="CharCaracterCharCharCharCaracter"/>
        <w:ind w:firstLine="720"/>
        <w:jc w:val="both"/>
        <w:rPr>
          <w:rFonts w:ascii="Arial" w:hAnsi="Arial" w:cs="Arial"/>
          <w:lang w:val="ro-RO"/>
        </w:rPr>
      </w:pPr>
      <w:r w:rsidRPr="003C5A1F">
        <w:rPr>
          <w:rFonts w:ascii="Arial" w:hAnsi="Arial" w:cs="Arial"/>
          <w:lang w:val="ro-RO"/>
        </w:rPr>
        <w:t xml:space="preserve">După măsurarea beta globală, probele de apă de suprafaţă </w:t>
      </w:r>
      <w:r>
        <w:rPr>
          <w:rFonts w:ascii="Arial" w:hAnsi="Arial" w:cs="Arial"/>
          <w:lang w:val="ro-RO"/>
        </w:rPr>
        <w:t xml:space="preserve">din Marea Neagră, </w:t>
      </w:r>
      <w:r w:rsidRPr="003C5A1F">
        <w:rPr>
          <w:rFonts w:ascii="Arial" w:hAnsi="Arial" w:cs="Arial"/>
          <w:lang w:val="ro-RO"/>
        </w:rPr>
        <w:t xml:space="preserve">colectate de SSRM </w:t>
      </w:r>
      <w:r>
        <w:rPr>
          <w:rFonts w:ascii="Arial" w:hAnsi="Arial" w:cs="Arial"/>
          <w:lang w:val="ro-RO"/>
        </w:rPr>
        <w:t>Constanţa şi</w:t>
      </w:r>
      <w:r w:rsidRPr="003C5A1F">
        <w:rPr>
          <w:rFonts w:ascii="Arial" w:hAnsi="Arial" w:cs="Arial"/>
          <w:lang w:val="ro-RO"/>
        </w:rPr>
        <w:t xml:space="preserve"> Sfântu Gheorghe</w:t>
      </w:r>
      <w:r>
        <w:rPr>
          <w:rFonts w:ascii="Arial" w:hAnsi="Arial" w:cs="Arial"/>
          <w:lang w:val="ro-RO"/>
        </w:rPr>
        <w:t>,</w:t>
      </w:r>
      <w:r w:rsidRPr="003C5A1F">
        <w:rPr>
          <w:rFonts w:ascii="Arial" w:hAnsi="Arial" w:cs="Arial"/>
          <w:lang w:val="ro-RO"/>
        </w:rPr>
        <w:t xml:space="preserve"> sunt cumulate lunar şi măsura</w:t>
      </w:r>
      <w:r>
        <w:rPr>
          <w:rFonts w:ascii="Arial" w:hAnsi="Arial" w:cs="Arial"/>
          <w:lang w:val="ro-RO"/>
        </w:rPr>
        <w:t>t</w:t>
      </w:r>
      <w:r w:rsidRPr="003C5A1F">
        <w:rPr>
          <w:rFonts w:ascii="Arial" w:hAnsi="Arial" w:cs="Arial"/>
          <w:lang w:val="ro-RO"/>
        </w:rPr>
        <w:t>e gama spectrometric. Rezultatele analizelor gama spectrometrice de înaltă rezoluţie indică accidentul de la Cernobâl ca principala sursă de radioactivitate artificială pentru probele studiate. Radionuclidul art</w:t>
      </w:r>
      <w:r>
        <w:rPr>
          <w:rFonts w:ascii="Arial" w:hAnsi="Arial" w:cs="Arial"/>
          <w:lang w:val="ro-RO"/>
        </w:rPr>
        <w:t xml:space="preserve">ificial identificat a fost </w:t>
      </w:r>
      <w:r w:rsidRPr="003C5A1F">
        <w:rPr>
          <w:rFonts w:ascii="Arial" w:hAnsi="Arial" w:cs="Arial"/>
          <w:lang w:val="ro-RO"/>
        </w:rPr>
        <w:t xml:space="preserve">Cs-137, produs de fisiune eliberat în mediu pe timpul accidentului. </w:t>
      </w:r>
      <w:r>
        <w:rPr>
          <w:rFonts w:ascii="Arial" w:hAnsi="Arial" w:cs="Arial"/>
          <w:lang w:val="ro-RO"/>
        </w:rPr>
        <w:t xml:space="preserve">          </w:t>
      </w:r>
    </w:p>
    <w:p w:rsidR="00B84559" w:rsidRPr="007105C6" w:rsidRDefault="00B84559" w:rsidP="00B84559">
      <w:pPr>
        <w:pStyle w:val="CharCaracterCharCharCharCaracter"/>
        <w:ind w:firstLine="720"/>
        <w:jc w:val="both"/>
        <w:rPr>
          <w:rFonts w:ascii="Arial" w:hAnsi="Arial" w:cs="Arial"/>
          <w:lang w:val="it-IT"/>
        </w:rPr>
      </w:pPr>
      <w:r>
        <w:rPr>
          <w:rFonts w:ascii="Arial" w:hAnsi="Arial" w:cs="Arial"/>
          <w:lang w:val="ro-RO"/>
        </w:rPr>
        <w:t xml:space="preserve"> </w:t>
      </w:r>
      <w:r w:rsidRPr="003C5A1F">
        <w:rPr>
          <w:rFonts w:ascii="Arial" w:hAnsi="Arial" w:cs="Arial"/>
          <w:lang w:val="ro-RO"/>
        </w:rPr>
        <w:t xml:space="preserve">În </w:t>
      </w:r>
      <w:r w:rsidRPr="004748B6">
        <w:rPr>
          <w:rFonts w:ascii="Arial" w:hAnsi="Arial" w:cs="Arial"/>
          <w:lang w:val="ro-RO"/>
        </w:rPr>
        <w:t>figurile IX.30. şi IX.31. sunt</w:t>
      </w:r>
      <w:r w:rsidRPr="003C5A1F">
        <w:rPr>
          <w:rFonts w:ascii="Arial" w:hAnsi="Arial" w:cs="Arial"/>
          <w:lang w:val="ro-RO"/>
        </w:rPr>
        <w:t xml:space="preserve"> prezentate nivelul şi distribuţia concentraţiilor radionuclizilor Cs-137 şi K-40, radionuclizi cu contribuţie majoră la radioactivitatea probelor </w:t>
      </w:r>
      <w:r>
        <w:rPr>
          <w:rFonts w:ascii="Arial" w:hAnsi="Arial" w:cs="Arial"/>
          <w:lang w:val="ro-RO"/>
        </w:rPr>
        <w:t>studiate.</w:t>
      </w:r>
    </w:p>
    <w:p w:rsidR="00B84559" w:rsidRDefault="00B84559" w:rsidP="00B84559">
      <w:pPr>
        <w:autoSpaceDE w:val="0"/>
        <w:autoSpaceDN w:val="0"/>
        <w:adjustRightInd w:val="0"/>
        <w:rPr>
          <w:color w:val="FF0000"/>
        </w:rPr>
      </w:pPr>
    </w:p>
    <w:p w:rsidR="00B84559" w:rsidRPr="003C5D71" w:rsidRDefault="00B84559" w:rsidP="00B84559">
      <w:pPr>
        <w:autoSpaceDE w:val="0"/>
        <w:autoSpaceDN w:val="0"/>
        <w:adjustRightInd w:val="0"/>
        <w:jc w:val="center"/>
      </w:pPr>
      <w:r w:rsidRPr="006D2E5A">
        <w:object w:dxaOrig="9548" w:dyaOrig="3540">
          <v:shape id="_x0000_i1027" type="#_x0000_t75" style="width:477.45pt;height:177.45pt" o:ole="" o:preferrelative="f" o:bordertopcolor="this" o:borderleftcolor="this" o:borderbottomcolor="this" o:borderrightcolor="this">
            <v:imagedata r:id="rId40" o:title=""/>
            <o:lock v:ext="edit" aspectratio="f"/>
            <w10:bordertop type="single" width="4"/>
            <w10:borderleft type="single" width="4"/>
            <w10:borderbottom type="single" width="4"/>
            <w10:borderright type="single" width="4"/>
          </v:shape>
          <o:OLEObject Type="Embed" ProgID="MSGraph.Chart.8" ShapeID="_x0000_i1027" DrawAspect="Content" ObjectID="_1543303401" r:id="rId41">
            <o:FieldCodes>\s</o:FieldCodes>
          </o:OLEObject>
        </w:object>
      </w:r>
    </w:p>
    <w:p w:rsidR="00B84559" w:rsidRDefault="00B84559" w:rsidP="00B84559">
      <w:pPr>
        <w:autoSpaceDE w:val="0"/>
        <w:autoSpaceDN w:val="0"/>
        <w:adjustRightInd w:val="0"/>
        <w:jc w:val="center"/>
        <w:rPr>
          <w:color w:val="FF0000"/>
        </w:rPr>
      </w:pPr>
    </w:p>
    <w:p w:rsidR="00B84559" w:rsidRDefault="00B84559" w:rsidP="00B84559">
      <w:pPr>
        <w:autoSpaceDE w:val="0"/>
        <w:autoSpaceDN w:val="0"/>
        <w:adjustRightInd w:val="0"/>
        <w:jc w:val="center"/>
        <w:rPr>
          <w:color w:val="FF0000"/>
        </w:rPr>
      </w:pPr>
    </w:p>
    <w:p w:rsidR="00B84559" w:rsidRDefault="00B84559" w:rsidP="00B84559">
      <w:pPr>
        <w:autoSpaceDE w:val="0"/>
        <w:autoSpaceDN w:val="0"/>
        <w:adjustRightInd w:val="0"/>
        <w:jc w:val="center"/>
      </w:pPr>
      <w:r>
        <w:rPr>
          <w:noProof/>
          <w:lang w:val="en-US"/>
        </w:rPr>
        <w:drawing>
          <wp:inline distT="0" distB="0" distL="0" distR="0" wp14:anchorId="05AFBC25" wp14:editId="41D18C57">
            <wp:extent cx="6086475" cy="2505075"/>
            <wp:effectExtent l="0" t="0" r="9525" b="9525"/>
            <wp:docPr id="21" name="Obiec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B84559" w:rsidRDefault="00B84559" w:rsidP="00B84559">
      <w:pPr>
        <w:pStyle w:val="Listparagraf"/>
        <w:tabs>
          <w:tab w:val="left" w:pos="567"/>
          <w:tab w:val="left" w:pos="1134"/>
          <w:tab w:val="left" w:pos="7938"/>
        </w:tabs>
        <w:rPr>
          <w:rFonts w:ascii="Arial" w:hAnsi="Arial" w:cs="Arial"/>
          <w:b/>
          <w:bCs/>
          <w:sz w:val="24"/>
          <w:szCs w:val="24"/>
          <w:highlight w:val="yellow"/>
          <w:lang w:val="pt-BR"/>
        </w:rPr>
      </w:pPr>
    </w:p>
    <w:p w:rsidR="00B84559" w:rsidRDefault="00B84559" w:rsidP="00B84559">
      <w:pPr>
        <w:pStyle w:val="Listparagraf"/>
        <w:tabs>
          <w:tab w:val="left" w:pos="567"/>
          <w:tab w:val="left" w:pos="1134"/>
          <w:tab w:val="left" w:pos="7938"/>
        </w:tabs>
        <w:ind w:left="0" w:firstLine="720"/>
        <w:rPr>
          <w:rFonts w:ascii="Arial" w:hAnsi="Arial" w:cs="Arial"/>
          <w:sz w:val="24"/>
          <w:szCs w:val="24"/>
          <w:lang w:val="pt-BR"/>
        </w:rPr>
      </w:pPr>
      <w:r w:rsidRPr="00873928">
        <w:rPr>
          <w:rFonts w:ascii="Arial" w:hAnsi="Arial" w:cs="Arial"/>
          <w:sz w:val="24"/>
          <w:szCs w:val="24"/>
          <w:lang w:val="pt-BR"/>
        </w:rPr>
        <w:t>Variaţia multianuală a concentraţiei radionuclidului Cs-137</w:t>
      </w:r>
      <w:r>
        <w:rPr>
          <w:rFonts w:ascii="Arial" w:hAnsi="Arial" w:cs="Arial"/>
          <w:sz w:val="24"/>
          <w:szCs w:val="24"/>
          <w:lang w:val="pt-BR"/>
        </w:rPr>
        <w:t xml:space="preserve"> în probele de apă de suprafaţă colectate din Marea Neagră</w:t>
      </w:r>
      <w:r w:rsidRPr="00873928">
        <w:rPr>
          <w:rFonts w:ascii="Arial" w:hAnsi="Arial" w:cs="Arial"/>
          <w:sz w:val="24"/>
          <w:szCs w:val="24"/>
          <w:lang w:val="pt-BR"/>
        </w:rPr>
        <w:t xml:space="preserve"> </w:t>
      </w:r>
      <w:r>
        <w:rPr>
          <w:rFonts w:ascii="Arial" w:hAnsi="Arial" w:cs="Arial"/>
          <w:sz w:val="24"/>
          <w:szCs w:val="24"/>
          <w:lang w:val="pt-BR"/>
        </w:rPr>
        <w:t xml:space="preserve">este prezentată în </w:t>
      </w:r>
      <w:r w:rsidRPr="00CA01D1">
        <w:rPr>
          <w:rFonts w:ascii="Arial" w:hAnsi="Arial" w:cs="Arial"/>
          <w:sz w:val="24"/>
          <w:szCs w:val="24"/>
          <w:lang w:val="pt-BR"/>
        </w:rPr>
        <w:t>figura IX.32.</w:t>
      </w:r>
    </w:p>
    <w:p w:rsidR="00B84559" w:rsidRPr="00CA01D1" w:rsidRDefault="00B84559" w:rsidP="00B84559">
      <w:pPr>
        <w:pStyle w:val="Listparagraf"/>
        <w:tabs>
          <w:tab w:val="left" w:pos="567"/>
          <w:tab w:val="left" w:pos="1134"/>
          <w:tab w:val="left" w:pos="7938"/>
        </w:tabs>
        <w:ind w:left="0" w:firstLine="720"/>
        <w:rPr>
          <w:rFonts w:ascii="Arial" w:hAnsi="Arial" w:cs="Arial"/>
          <w:sz w:val="24"/>
          <w:szCs w:val="24"/>
          <w:lang w:val="pt-BR"/>
        </w:rPr>
      </w:pPr>
    </w:p>
    <w:p w:rsidR="00B84559" w:rsidRPr="00873928" w:rsidRDefault="00B84559" w:rsidP="00B84559">
      <w:pPr>
        <w:pStyle w:val="Listparagraf"/>
        <w:tabs>
          <w:tab w:val="left" w:pos="567"/>
          <w:tab w:val="left" w:pos="1134"/>
          <w:tab w:val="left" w:pos="7938"/>
        </w:tabs>
        <w:ind w:left="0"/>
        <w:rPr>
          <w:rFonts w:ascii="Arial" w:hAnsi="Arial" w:cs="Arial"/>
          <w:sz w:val="24"/>
          <w:szCs w:val="24"/>
          <w:lang w:val="pt-BR"/>
        </w:rPr>
      </w:pPr>
      <w:r>
        <w:rPr>
          <w:noProof/>
          <w:lang w:val="en-US"/>
        </w:rPr>
        <w:drawing>
          <wp:inline distT="0" distB="0" distL="0" distR="0" wp14:anchorId="24AF1BCA" wp14:editId="6CC9CC21">
            <wp:extent cx="6000750" cy="2486025"/>
            <wp:effectExtent l="0" t="0" r="19050" b="9525"/>
            <wp:docPr id="23" name="Diagramă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B84559" w:rsidRPr="0095087D" w:rsidRDefault="00B84559" w:rsidP="00B84559">
      <w:pPr>
        <w:tabs>
          <w:tab w:val="left" w:pos="567"/>
          <w:tab w:val="left" w:pos="1134"/>
          <w:tab w:val="left" w:pos="7938"/>
        </w:tabs>
        <w:rPr>
          <w:rFonts w:ascii="Arial" w:hAnsi="Arial" w:cs="Arial"/>
          <w:lang w:val="pt-BR"/>
        </w:rPr>
      </w:pPr>
    </w:p>
    <w:p w:rsidR="00B84559" w:rsidRPr="00172E2B" w:rsidRDefault="00B84559" w:rsidP="00B84559">
      <w:pPr>
        <w:pStyle w:val="Listparagraf"/>
        <w:numPr>
          <w:ilvl w:val="0"/>
          <w:numId w:val="40"/>
        </w:numPr>
        <w:tabs>
          <w:tab w:val="left" w:pos="567"/>
          <w:tab w:val="left" w:pos="1134"/>
          <w:tab w:val="left" w:pos="7938"/>
        </w:tabs>
        <w:spacing w:after="0" w:line="240" w:lineRule="auto"/>
        <w:ind w:hanging="270"/>
        <w:rPr>
          <w:rFonts w:ascii="Arial" w:hAnsi="Arial" w:cs="Arial"/>
          <w:b/>
          <w:bCs/>
          <w:sz w:val="24"/>
          <w:szCs w:val="24"/>
          <w:lang w:val="pt-BR"/>
        </w:rPr>
      </w:pPr>
      <w:r w:rsidRPr="00172E2B">
        <w:rPr>
          <w:rFonts w:ascii="Arial" w:hAnsi="Arial" w:cs="Arial"/>
          <w:b/>
          <w:bCs/>
          <w:sz w:val="24"/>
          <w:szCs w:val="24"/>
          <w:lang w:val="pt-BR"/>
        </w:rPr>
        <w:t>Apă de foraj</w:t>
      </w:r>
    </w:p>
    <w:p w:rsidR="00B84559" w:rsidRPr="007105C6" w:rsidRDefault="00B84559" w:rsidP="00B84559">
      <w:pPr>
        <w:tabs>
          <w:tab w:val="left" w:pos="567"/>
          <w:tab w:val="left" w:pos="720"/>
          <w:tab w:val="left" w:pos="1134"/>
          <w:tab w:val="left" w:pos="1350"/>
          <w:tab w:val="left" w:pos="7938"/>
        </w:tabs>
        <w:ind w:firstLine="720"/>
        <w:jc w:val="both"/>
        <w:rPr>
          <w:rFonts w:ascii="Arial" w:hAnsi="Arial" w:cs="Arial"/>
          <w:lang w:val="fr-FR"/>
        </w:rPr>
      </w:pPr>
      <w:r w:rsidRPr="008C7553">
        <w:rPr>
          <w:rFonts w:ascii="Arial" w:hAnsi="Arial" w:cs="Arial"/>
          <w:lang w:val="pt-BR"/>
        </w:rPr>
        <w:t xml:space="preserve">În cursul anului </w:t>
      </w:r>
      <w:r>
        <w:rPr>
          <w:rFonts w:ascii="Arial" w:hAnsi="Arial" w:cs="Arial"/>
          <w:lang w:val="pt-BR"/>
        </w:rPr>
        <w:t>2015</w:t>
      </w:r>
      <w:r w:rsidRPr="008C7553">
        <w:rPr>
          <w:rFonts w:ascii="Arial" w:hAnsi="Arial" w:cs="Arial"/>
          <w:lang w:val="pt-BR"/>
        </w:rPr>
        <w:t>, SSRM Cernavodă a prelevat zilnic probe de apă de foraj din z</w:t>
      </w:r>
      <w:r w:rsidRPr="00CF6025">
        <w:rPr>
          <w:rFonts w:ascii="Arial" w:hAnsi="Arial" w:cs="Arial"/>
        </w:rPr>
        <w:t>ona localităţii Faclia. Prob</w:t>
      </w:r>
      <w:r>
        <w:rPr>
          <w:rFonts w:ascii="Arial" w:hAnsi="Arial" w:cs="Arial"/>
        </w:rPr>
        <w:t>ele au fost</w:t>
      </w:r>
      <w:r w:rsidRPr="00CF6025">
        <w:rPr>
          <w:rFonts w:ascii="Arial" w:hAnsi="Arial" w:cs="Arial"/>
        </w:rPr>
        <w:t xml:space="preserve"> evaporate şi măsurate imediat beta global. Au fost </w:t>
      </w:r>
      <w:r w:rsidRPr="00CA01D1">
        <w:rPr>
          <w:rFonts w:ascii="Arial" w:hAnsi="Arial" w:cs="Arial"/>
        </w:rPr>
        <w:t xml:space="preserve">colectate 365 probe dintre care doar 34 au evidenţiat valori semnificative ale activităţii specifice imediate. Media anuală a fost de 0.249 Bq/l, valoarea maximă (0.361 Bq/l ) s-a înregistrat pentru proba colectată la data de 01.09.2015. </w:t>
      </w:r>
      <w:r w:rsidRPr="00CA01D1">
        <w:rPr>
          <w:rFonts w:ascii="Arial" w:hAnsi="Arial" w:cs="Arial"/>
          <w:bCs/>
        </w:rPr>
        <w:t xml:space="preserve">Nu s-au înregistrat depăşiri ale </w:t>
      </w:r>
      <w:r w:rsidRPr="00CA01D1">
        <w:rPr>
          <w:rFonts w:ascii="Arial" w:hAnsi="Arial" w:cs="Arial"/>
          <w:bCs/>
          <w:lang w:val="fr-FR"/>
        </w:rPr>
        <w:t>nivelului de atenţionare de 1</w:t>
      </w:r>
      <w:r w:rsidRPr="00CA01D1">
        <w:rPr>
          <w:rFonts w:ascii="Arial" w:hAnsi="Arial" w:cs="Arial"/>
          <w:lang w:val="fr-FR"/>
        </w:rPr>
        <w:t xml:space="preserve"> </w:t>
      </w:r>
      <w:r w:rsidRPr="00CA01D1">
        <w:rPr>
          <w:rFonts w:ascii="Arial" w:hAnsi="Arial" w:cs="Arial"/>
          <w:bCs/>
          <w:lang w:val="fr-FR"/>
        </w:rPr>
        <w:t>Bq/l</w:t>
      </w:r>
      <w:r w:rsidRPr="00CA01D1">
        <w:rPr>
          <w:rFonts w:ascii="Arial" w:hAnsi="Arial" w:cs="Arial"/>
          <w:lang w:val="fr-FR"/>
        </w:rPr>
        <w:t xml:space="preserve"> stabilit pentru apa potabilă</w:t>
      </w:r>
      <w:r w:rsidRPr="007105C6">
        <w:rPr>
          <w:rFonts w:ascii="Arial" w:hAnsi="Arial" w:cs="Arial"/>
          <w:bCs/>
          <w:lang w:val="fr-FR"/>
        </w:rPr>
        <w:t>.</w:t>
      </w:r>
    </w:p>
    <w:p w:rsidR="00B84559" w:rsidRPr="00D3765F" w:rsidRDefault="00B84559" w:rsidP="00B84559">
      <w:pPr>
        <w:tabs>
          <w:tab w:val="left" w:pos="709"/>
          <w:tab w:val="left" w:pos="1134"/>
          <w:tab w:val="left" w:pos="7938"/>
        </w:tabs>
        <w:ind w:firstLine="720"/>
        <w:jc w:val="both"/>
        <w:rPr>
          <w:rFonts w:ascii="Arial" w:hAnsi="Arial" w:cs="Arial"/>
          <w:lang w:val="fr-FR"/>
        </w:rPr>
      </w:pPr>
      <w:r w:rsidRPr="00CA01D1">
        <w:rPr>
          <w:rFonts w:ascii="Arial" w:hAnsi="Arial" w:cs="Arial"/>
          <w:lang w:val="fr-FR"/>
        </w:rPr>
        <w:t>După evaporarea la sec, reziduurile probelor au fost cumulate lunar şi măsurate gama spectrometric la SSRM Constan</w:t>
      </w:r>
      <w:r w:rsidRPr="00CA01D1">
        <w:rPr>
          <w:rFonts w:ascii="Arial" w:hAnsi="Arial" w:cs="Arial"/>
          <w:lang w:val="ro-RO"/>
        </w:rPr>
        <w:t>ţa</w:t>
      </w:r>
      <w:r w:rsidRPr="00CA01D1">
        <w:rPr>
          <w:rFonts w:ascii="Arial" w:hAnsi="Arial" w:cs="Arial"/>
          <w:lang w:val="fr-FR"/>
        </w:rPr>
        <w:t>. În urma analizelor gama spectrometrice efectuate nu s-a constatat prezenţa vreunui radionuclid artificial. Radionuclidul natural K-40 s-a găsit în concentraţii cuprinse între 0.0287 – 0.2286 Bq/l, valoarea maximă înregistrându-se pentru proba din luna martie. Incertitudinile statistice asociate procesului de măsurare au variat între 10-68%.</w:t>
      </w:r>
      <w:r w:rsidRPr="00D3765F">
        <w:rPr>
          <w:rFonts w:ascii="Arial" w:hAnsi="Arial" w:cs="Arial"/>
          <w:lang w:val="fr-FR"/>
        </w:rPr>
        <w:t xml:space="preserve"> </w:t>
      </w:r>
    </w:p>
    <w:p w:rsidR="00B84559" w:rsidRDefault="00B84559" w:rsidP="00B84559">
      <w:pPr>
        <w:tabs>
          <w:tab w:val="left" w:pos="567"/>
          <w:tab w:val="left" w:pos="1134"/>
          <w:tab w:val="left" w:pos="7938"/>
        </w:tabs>
        <w:ind w:firstLine="720"/>
        <w:jc w:val="both"/>
        <w:rPr>
          <w:rFonts w:ascii="Arial" w:hAnsi="Arial" w:cs="Arial"/>
          <w:lang w:val="fr-FR"/>
        </w:rPr>
      </w:pPr>
      <w:r w:rsidRPr="00D3765F">
        <w:rPr>
          <w:rFonts w:ascii="Arial" w:hAnsi="Arial" w:cs="Arial"/>
          <w:lang w:val="fr-FR"/>
        </w:rPr>
        <w:lastRenderedPageBreak/>
        <w:t xml:space="preserve">În ceea ce priveşte determinarea concentraţiei tritiului, săptămânal s-au analizat probe </w:t>
      </w:r>
      <w:r w:rsidRPr="00CA01D1">
        <w:rPr>
          <w:rFonts w:ascii="Arial" w:hAnsi="Arial" w:cs="Arial"/>
          <w:lang w:val="fr-FR"/>
        </w:rPr>
        <w:t>de apă foraj Faclia. Din cele 52 de probe măsurate pe parcursul anului 2015, doar 6 au evidenţiat valori peste limita de detectie a aparaturii de măsură pentru concentraţia volumică a tritiului, intervalul de variaţie a acesteia fiind 3.73 – 11.9 Bq/l.</w:t>
      </w:r>
    </w:p>
    <w:p w:rsidR="00B84559" w:rsidRPr="00B91F9C" w:rsidRDefault="00B84559" w:rsidP="00B84559">
      <w:pPr>
        <w:ind w:firstLine="720"/>
        <w:jc w:val="both"/>
        <w:rPr>
          <w:rFonts w:ascii="Arial" w:hAnsi="Arial" w:cs="Arial"/>
          <w:lang w:val="ro-RO" w:eastAsia="ro-RO"/>
        </w:rPr>
      </w:pPr>
      <w:r w:rsidRPr="00B91F9C">
        <w:rPr>
          <w:rFonts w:ascii="Arial" w:hAnsi="Arial" w:cs="Arial"/>
          <w:lang w:val="ro-RO" w:eastAsia="ro-RO"/>
        </w:rPr>
        <w:t>În lun</w:t>
      </w:r>
      <w:r>
        <w:rPr>
          <w:rFonts w:ascii="Arial" w:hAnsi="Arial" w:cs="Arial"/>
          <w:lang w:val="ro-RO" w:eastAsia="ro-RO"/>
        </w:rPr>
        <w:t>ile</w:t>
      </w:r>
      <w:r w:rsidRPr="00B91F9C">
        <w:rPr>
          <w:rFonts w:ascii="Arial" w:hAnsi="Arial" w:cs="Arial"/>
          <w:lang w:val="ro-RO" w:eastAsia="ro-RO"/>
        </w:rPr>
        <w:t xml:space="preserve"> </w:t>
      </w:r>
      <w:r>
        <w:rPr>
          <w:rFonts w:ascii="Arial" w:hAnsi="Arial" w:cs="Arial"/>
          <w:lang w:val="ro-RO" w:eastAsia="ro-RO"/>
        </w:rPr>
        <w:t>iunie şi octombrie 2015</w:t>
      </w:r>
      <w:r w:rsidRPr="00B91F9C">
        <w:rPr>
          <w:rFonts w:ascii="Arial" w:hAnsi="Arial" w:cs="Arial"/>
          <w:lang w:val="ro-RO" w:eastAsia="ro-RO"/>
        </w:rPr>
        <w:t xml:space="preserve"> s-a</w:t>
      </w:r>
      <w:r>
        <w:rPr>
          <w:rFonts w:ascii="Arial" w:hAnsi="Arial" w:cs="Arial"/>
          <w:lang w:val="ro-RO" w:eastAsia="ro-RO"/>
        </w:rPr>
        <w:t>u</w:t>
      </w:r>
      <w:r w:rsidRPr="00B91F9C">
        <w:rPr>
          <w:rFonts w:ascii="Arial" w:hAnsi="Arial" w:cs="Arial"/>
          <w:lang w:val="ro-RO" w:eastAsia="ro-RO"/>
        </w:rPr>
        <w:t xml:space="preserve"> prelevat prob</w:t>
      </w:r>
      <w:r>
        <w:rPr>
          <w:rFonts w:ascii="Arial" w:hAnsi="Arial" w:cs="Arial"/>
          <w:lang w:val="ro-RO" w:eastAsia="ro-RO"/>
        </w:rPr>
        <w:t>e</w:t>
      </w:r>
      <w:r w:rsidRPr="00B91F9C">
        <w:rPr>
          <w:rFonts w:ascii="Arial" w:hAnsi="Arial" w:cs="Arial"/>
          <w:lang w:val="ro-RO" w:eastAsia="ro-RO"/>
        </w:rPr>
        <w:t xml:space="preserve"> de apă de </w:t>
      </w:r>
      <w:r>
        <w:rPr>
          <w:rFonts w:ascii="Arial" w:hAnsi="Arial" w:cs="Arial"/>
          <w:lang w:val="ro-RO" w:eastAsia="ro-RO"/>
        </w:rPr>
        <w:t>foraj</w:t>
      </w:r>
      <w:r w:rsidRPr="00B91F9C">
        <w:rPr>
          <w:rFonts w:ascii="Arial" w:hAnsi="Arial" w:cs="Arial"/>
          <w:lang w:val="ro-RO" w:eastAsia="ro-RO"/>
        </w:rPr>
        <w:t xml:space="preserve"> din </w:t>
      </w:r>
      <w:r>
        <w:rPr>
          <w:rFonts w:ascii="Arial" w:hAnsi="Arial" w:cs="Arial"/>
          <w:lang w:val="ro-RO" w:eastAsia="ro-RO"/>
        </w:rPr>
        <w:t xml:space="preserve">Constanţa. Din fiecare probă, </w:t>
      </w:r>
      <w:r w:rsidRPr="00B91F9C">
        <w:rPr>
          <w:rFonts w:ascii="Arial" w:hAnsi="Arial" w:cs="Arial"/>
          <w:lang w:val="ro-RO" w:eastAsia="ro-RO"/>
        </w:rPr>
        <w:t>1 litru  a fost prelucrat şi masurat beta glob</w:t>
      </w:r>
      <w:r>
        <w:rPr>
          <w:rFonts w:ascii="Arial" w:hAnsi="Arial" w:cs="Arial"/>
          <w:lang w:val="ro-RO" w:eastAsia="ro-RO"/>
        </w:rPr>
        <w:t>al după 5 zile de la prelevare, a</w:t>
      </w:r>
      <w:r w:rsidRPr="00B91F9C">
        <w:rPr>
          <w:rFonts w:ascii="Arial" w:hAnsi="Arial" w:cs="Arial"/>
          <w:lang w:val="ro-RO" w:eastAsia="ro-RO"/>
        </w:rPr>
        <w:t xml:space="preserve">lţi 20 l </w:t>
      </w:r>
      <w:r>
        <w:rPr>
          <w:rFonts w:ascii="Arial" w:hAnsi="Arial" w:cs="Arial"/>
          <w:lang w:val="ro-RO" w:eastAsia="ro-RO"/>
        </w:rPr>
        <w:t>a</w:t>
      </w:r>
      <w:r w:rsidRPr="00B91F9C">
        <w:rPr>
          <w:rFonts w:ascii="Arial" w:hAnsi="Arial" w:cs="Arial"/>
          <w:lang w:val="ro-RO" w:eastAsia="ro-RO"/>
        </w:rPr>
        <w:t>u fost evaporaţi pentru măsurători gama spectrometrice. Valo</w:t>
      </w:r>
      <w:r>
        <w:rPr>
          <w:rFonts w:ascii="Arial" w:hAnsi="Arial" w:cs="Arial"/>
          <w:lang w:val="ro-RO" w:eastAsia="ro-RO"/>
        </w:rPr>
        <w:t>rile obţinute pentru activitatea</w:t>
      </w:r>
      <w:r w:rsidRPr="00B91F9C">
        <w:rPr>
          <w:rFonts w:ascii="Arial" w:hAnsi="Arial" w:cs="Arial"/>
          <w:lang w:val="ro-RO" w:eastAsia="ro-RO"/>
        </w:rPr>
        <w:t xml:space="preserve"> specific</w:t>
      </w:r>
      <w:r>
        <w:rPr>
          <w:rFonts w:ascii="Arial" w:hAnsi="Arial" w:cs="Arial"/>
          <w:lang w:val="ro-RO" w:eastAsia="ro-RO"/>
        </w:rPr>
        <w:t>ă beta globală s</w:t>
      </w:r>
      <w:r>
        <w:rPr>
          <w:rFonts w:ascii="Arial" w:hAnsi="Arial" w:cs="Arial"/>
          <w:lang w:eastAsia="ro-RO"/>
        </w:rPr>
        <w:t>-</w:t>
      </w:r>
      <w:r>
        <w:rPr>
          <w:rFonts w:ascii="Arial" w:hAnsi="Arial" w:cs="Arial"/>
          <w:lang w:val="ro-RO" w:eastAsia="ro-RO"/>
        </w:rPr>
        <w:t>au situat sub limita de detecţie aferentă metodei şi aparaturii utilizate.</w:t>
      </w:r>
      <w:r w:rsidRPr="00B91F9C">
        <w:rPr>
          <w:rFonts w:ascii="Arial" w:hAnsi="Arial" w:cs="Arial"/>
          <w:lang w:val="ro-RO" w:eastAsia="ro-RO"/>
        </w:rPr>
        <w:t xml:space="preserve"> </w:t>
      </w:r>
    </w:p>
    <w:p w:rsidR="00B84559" w:rsidRDefault="00B84559" w:rsidP="00B84559">
      <w:pPr>
        <w:pStyle w:val="Indentcorptext"/>
        <w:tabs>
          <w:tab w:val="left" w:pos="709"/>
        </w:tabs>
        <w:ind w:firstLine="0"/>
        <w:rPr>
          <w:rFonts w:ascii="Arial" w:hAnsi="Arial" w:cs="Arial"/>
          <w:b/>
          <w:lang w:val="fr-FR"/>
        </w:rPr>
      </w:pPr>
      <w:r>
        <w:rPr>
          <w:rFonts w:ascii="Arial" w:hAnsi="Arial" w:cs="Arial"/>
        </w:rPr>
        <w:t xml:space="preserve">            </w:t>
      </w:r>
      <w:r w:rsidRPr="00CA01D1">
        <w:rPr>
          <w:rFonts w:ascii="Arial" w:hAnsi="Arial" w:cs="Arial"/>
        </w:rPr>
        <w:t xml:space="preserve">Reziduurile obţinute în urma evaporării s-au măsurat gama spectrometric. Radionuclizii identificaţi au fost K-40 (0.046 Bq/l), Th-234 (0.0502 </w:t>
      </w:r>
      <w:r w:rsidRPr="00CA01D1">
        <w:rPr>
          <w:rFonts w:ascii="Arial" w:hAnsi="Arial" w:cs="Arial"/>
          <w:lang w:val="en-US"/>
        </w:rPr>
        <w:t>-</w:t>
      </w:r>
      <w:r w:rsidRPr="00CA01D1">
        <w:rPr>
          <w:rFonts w:ascii="Arial" w:hAnsi="Arial" w:cs="Arial"/>
        </w:rPr>
        <w:t xml:space="preserve"> 0.0844 Bq/l) , U-235 (0.00498 - 0.00646 Bq/l) şi alţii aparţinând seriilor radioactive naturale.</w:t>
      </w:r>
    </w:p>
    <w:p w:rsidR="00897C52" w:rsidRPr="00980254" w:rsidRDefault="00897C52" w:rsidP="00897C52">
      <w:pPr>
        <w:tabs>
          <w:tab w:val="left" w:pos="1276"/>
          <w:tab w:val="left" w:leader="dot" w:pos="9356"/>
        </w:tabs>
        <w:rPr>
          <w:color w:val="FF0000"/>
          <w:sz w:val="22"/>
          <w:szCs w:val="26"/>
          <w:lang w:val="ro-RO"/>
        </w:rPr>
      </w:pPr>
    </w:p>
    <w:p w:rsidR="00897C52" w:rsidRPr="00674B63" w:rsidRDefault="00897C52" w:rsidP="00897C52">
      <w:pPr>
        <w:tabs>
          <w:tab w:val="left" w:pos="1276"/>
          <w:tab w:val="left" w:leader="dot" w:pos="9356"/>
        </w:tabs>
        <w:rPr>
          <w:rFonts w:ascii="Arial" w:hAnsi="Arial" w:cs="Arial"/>
          <w:i/>
          <w:lang w:val="ro-RO"/>
        </w:rPr>
      </w:pPr>
    </w:p>
    <w:p w:rsidR="00897C52" w:rsidRPr="00674B63" w:rsidRDefault="00897C52" w:rsidP="00897C52">
      <w:pPr>
        <w:tabs>
          <w:tab w:val="left" w:pos="1276"/>
          <w:tab w:val="left" w:leader="dot" w:pos="9356"/>
        </w:tabs>
        <w:rPr>
          <w:rFonts w:ascii="Arial" w:hAnsi="Arial" w:cs="Arial"/>
          <w:i/>
          <w:lang w:val="ro-RO"/>
        </w:rPr>
      </w:pPr>
    </w:p>
    <w:p w:rsidR="00755794" w:rsidRPr="00674B63" w:rsidRDefault="00755794" w:rsidP="007816A7">
      <w:pPr>
        <w:numPr>
          <w:ilvl w:val="2"/>
          <w:numId w:val="3"/>
        </w:numPr>
        <w:tabs>
          <w:tab w:val="left" w:pos="1276"/>
          <w:tab w:val="left" w:leader="dot" w:pos="9356"/>
        </w:tabs>
        <w:ind w:left="993"/>
        <w:rPr>
          <w:rFonts w:ascii="Arial" w:hAnsi="Arial" w:cs="Arial"/>
          <w:i/>
          <w:lang w:val="ro-RO"/>
        </w:rPr>
      </w:pPr>
      <w:r w:rsidRPr="00674B63">
        <w:rPr>
          <w:rFonts w:ascii="Arial" w:hAnsi="Arial" w:cs="Arial"/>
          <w:i/>
          <w:lang w:val="ro-RO"/>
        </w:rPr>
        <w:t xml:space="preserve">Radioactivitatea solului </w:t>
      </w:r>
      <w:r w:rsidR="00546FB6" w:rsidRPr="00674B63">
        <w:rPr>
          <w:rFonts w:ascii="Arial" w:hAnsi="Arial" w:cs="Arial"/>
          <w:i/>
          <w:lang w:val="ro-RO"/>
        </w:rPr>
        <w:t xml:space="preserve"> </w:t>
      </w:r>
    </w:p>
    <w:p w:rsidR="00897C52" w:rsidRPr="00674B63" w:rsidRDefault="00897C52" w:rsidP="00897C52">
      <w:pPr>
        <w:tabs>
          <w:tab w:val="left" w:pos="1276"/>
          <w:tab w:val="left" w:leader="dot" w:pos="9356"/>
        </w:tabs>
        <w:rPr>
          <w:rFonts w:ascii="Arial" w:hAnsi="Arial" w:cs="Arial"/>
          <w:i/>
          <w:lang w:val="ro-RO"/>
        </w:rPr>
      </w:pPr>
    </w:p>
    <w:p w:rsidR="00B84559" w:rsidRPr="00674B63" w:rsidRDefault="00B84559" w:rsidP="00B84559">
      <w:pPr>
        <w:autoSpaceDE w:val="0"/>
        <w:autoSpaceDN w:val="0"/>
        <w:adjustRightInd w:val="0"/>
        <w:jc w:val="both"/>
        <w:rPr>
          <w:rFonts w:ascii="Arial" w:hAnsi="Arial" w:cs="Arial"/>
          <w:b/>
          <w:i/>
          <w:lang w:val="it-IT"/>
        </w:rPr>
      </w:pPr>
      <w:r w:rsidRPr="00674B63">
        <w:rPr>
          <w:rFonts w:ascii="Arial" w:hAnsi="Arial" w:cs="Arial"/>
          <w:b/>
          <w:lang w:val="it-IT"/>
        </w:rPr>
        <w:t xml:space="preserve">A. </w:t>
      </w:r>
      <w:r w:rsidRPr="00674B63">
        <w:rPr>
          <w:rFonts w:ascii="Arial" w:hAnsi="Arial" w:cs="Arial"/>
          <w:b/>
        </w:rPr>
        <w:t xml:space="preserve">Indicatori specifici </w:t>
      </w:r>
      <w:r w:rsidRPr="00674B63">
        <w:rPr>
          <w:rFonts w:ascii="Arial" w:hAnsi="Arial" w:cs="Arial"/>
          <w:i/>
        </w:rPr>
        <w:t>- nu este cazul</w:t>
      </w:r>
      <w:r w:rsidRPr="00674B63">
        <w:rPr>
          <w:rFonts w:ascii="Arial" w:hAnsi="Arial" w:cs="Arial"/>
          <w:b/>
          <w:lang w:val="it-IT"/>
        </w:rPr>
        <w:t xml:space="preserve"> </w:t>
      </w:r>
    </w:p>
    <w:p w:rsidR="00B84559" w:rsidRPr="00674B63" w:rsidRDefault="00B84559" w:rsidP="00B84559">
      <w:pPr>
        <w:pStyle w:val="Corptext3"/>
        <w:numPr>
          <w:ilvl w:val="0"/>
          <w:numId w:val="39"/>
        </w:numPr>
        <w:spacing w:after="0"/>
        <w:jc w:val="both"/>
        <w:rPr>
          <w:rFonts w:ascii="Arial" w:hAnsi="Arial" w:cs="Arial"/>
          <w:b/>
          <w:sz w:val="24"/>
          <w:szCs w:val="24"/>
        </w:rPr>
      </w:pPr>
      <w:r w:rsidRPr="00674B63">
        <w:rPr>
          <w:rFonts w:ascii="Arial" w:hAnsi="Arial" w:cs="Arial"/>
          <w:b/>
          <w:sz w:val="24"/>
          <w:szCs w:val="24"/>
        </w:rPr>
        <w:t xml:space="preserve"> Alte date și informații specifice</w:t>
      </w:r>
    </w:p>
    <w:p w:rsidR="00B84559" w:rsidRDefault="00B84559" w:rsidP="00B84559">
      <w:pPr>
        <w:pStyle w:val="Corptext3"/>
        <w:rPr>
          <w:b/>
        </w:rPr>
      </w:pPr>
    </w:p>
    <w:p w:rsidR="00B84559" w:rsidRPr="00337ECF" w:rsidRDefault="00B84559" w:rsidP="00B84559">
      <w:pPr>
        <w:pStyle w:val="Listparagraf"/>
        <w:numPr>
          <w:ilvl w:val="0"/>
          <w:numId w:val="40"/>
        </w:numPr>
        <w:autoSpaceDE w:val="0"/>
        <w:autoSpaceDN w:val="0"/>
        <w:adjustRightInd w:val="0"/>
        <w:spacing w:after="0" w:line="240" w:lineRule="auto"/>
        <w:rPr>
          <w:rFonts w:ascii="Arial" w:hAnsi="Arial" w:cs="Arial"/>
          <w:sz w:val="24"/>
          <w:szCs w:val="24"/>
        </w:rPr>
      </w:pPr>
      <w:r w:rsidRPr="00337ECF">
        <w:rPr>
          <w:rFonts w:ascii="Arial" w:hAnsi="Arial" w:cs="Arial"/>
          <w:b/>
          <w:sz w:val="24"/>
          <w:szCs w:val="24"/>
        </w:rPr>
        <w:t>Sol necultivat</w:t>
      </w:r>
      <w:r>
        <w:rPr>
          <w:rFonts w:ascii="Arial" w:hAnsi="Arial" w:cs="Arial"/>
          <w:b/>
          <w:sz w:val="24"/>
          <w:szCs w:val="24"/>
        </w:rPr>
        <w:t xml:space="preserve"> colectat în cadrul Programului standard</w:t>
      </w:r>
    </w:p>
    <w:p w:rsidR="00B84559" w:rsidRPr="004E71DA" w:rsidRDefault="00B84559" w:rsidP="00B84559">
      <w:pPr>
        <w:autoSpaceDE w:val="0"/>
        <w:autoSpaceDN w:val="0"/>
        <w:adjustRightInd w:val="0"/>
        <w:ind w:firstLine="720"/>
        <w:jc w:val="both"/>
        <w:rPr>
          <w:rFonts w:ascii="Arial" w:hAnsi="Arial" w:cs="Arial"/>
        </w:rPr>
      </w:pPr>
      <w:r>
        <w:rPr>
          <w:rFonts w:ascii="Arial" w:hAnsi="Arial" w:cs="Arial"/>
        </w:rPr>
        <w:t>Probele de sol necultivat, prev</w:t>
      </w:r>
      <w:r>
        <w:rPr>
          <w:rFonts w:ascii="Arial" w:hAnsi="Arial" w:cs="Arial"/>
          <w:lang w:val="ro-RO"/>
        </w:rPr>
        <w:t xml:space="preserve">ăzute în Programul standard, </w:t>
      </w:r>
      <w:r>
        <w:rPr>
          <w:rFonts w:ascii="Arial" w:hAnsi="Arial" w:cs="Arial"/>
        </w:rPr>
        <w:t xml:space="preserve">au fost prelevate cu frecvenţă săptămânală, din perimetrul amplasamentului fiecărei SSRM. Probele au fost prelucrate şi măsurate beta global. Rezultatele obţinute la SSRM Constanţa şi Cernavodă sunt prezentate în </w:t>
      </w:r>
      <w:r w:rsidRPr="00FD5F3F">
        <w:rPr>
          <w:rFonts w:ascii="Arial" w:hAnsi="Arial" w:cs="Arial"/>
        </w:rPr>
        <w:t>figura IX.33</w:t>
      </w:r>
      <w:r>
        <w:rPr>
          <w:rFonts w:ascii="Arial" w:hAnsi="Arial" w:cs="Arial"/>
        </w:rPr>
        <w:t xml:space="preserve">. </w:t>
      </w:r>
      <w:r w:rsidRPr="00FD5F3F">
        <w:rPr>
          <w:rFonts w:ascii="Arial" w:hAnsi="Arial" w:cs="Arial"/>
        </w:rPr>
        <w:t>Activitatea</w:t>
      </w:r>
      <w:r>
        <w:rPr>
          <w:rFonts w:ascii="Arial" w:hAnsi="Arial" w:cs="Arial"/>
        </w:rPr>
        <w:t xml:space="preserve"> artificială beta globală în probele de sol necultivat a variat în intervalul 236.7</w:t>
      </w:r>
      <w:r w:rsidRPr="00171C66">
        <w:rPr>
          <w:rFonts w:ascii="Arial" w:hAnsi="Arial" w:cs="Arial"/>
        </w:rPr>
        <w:t>-</w:t>
      </w:r>
      <w:r>
        <w:rPr>
          <w:rFonts w:ascii="Arial" w:hAnsi="Arial" w:cs="Arial"/>
        </w:rPr>
        <w:t>772.3 Bq/kg, masă uscată (m.u.)</w:t>
      </w:r>
      <w:r>
        <w:rPr>
          <w:rFonts w:ascii="Arial" w:hAnsi="Arial" w:cs="Arial"/>
          <w:lang w:val="ro-RO"/>
        </w:rPr>
        <w:t>. Incertitudinile asociate procesului de măsurare s-au situat între 8</w:t>
      </w:r>
      <w:r w:rsidRPr="00171C66">
        <w:rPr>
          <w:rFonts w:ascii="Arial" w:hAnsi="Arial" w:cs="Arial"/>
        </w:rPr>
        <w:t>-1</w:t>
      </w:r>
      <w:r>
        <w:rPr>
          <w:rFonts w:ascii="Arial" w:hAnsi="Arial" w:cs="Arial"/>
        </w:rPr>
        <w:t xml:space="preserve">7%. </w:t>
      </w:r>
      <w:r w:rsidRPr="005C74DB">
        <w:rPr>
          <w:rFonts w:ascii="Arial" w:hAnsi="Arial" w:cs="Arial"/>
        </w:rPr>
        <w:t xml:space="preserve">Maxima anuală a fost de </w:t>
      </w:r>
      <w:r>
        <w:rPr>
          <w:rFonts w:ascii="Arial" w:hAnsi="Arial" w:cs="Arial"/>
        </w:rPr>
        <w:t>772.3</w:t>
      </w:r>
      <w:r w:rsidRPr="005C74DB">
        <w:rPr>
          <w:rFonts w:ascii="Arial" w:hAnsi="Arial" w:cs="Arial"/>
          <w:color w:val="FF6600"/>
        </w:rPr>
        <w:t xml:space="preserve"> </w:t>
      </w:r>
      <w:r w:rsidRPr="005C74DB">
        <w:rPr>
          <w:rFonts w:ascii="Arial" w:hAnsi="Arial" w:cs="Arial"/>
        </w:rPr>
        <w:t>Bq/</w:t>
      </w:r>
      <w:r>
        <w:rPr>
          <w:rFonts w:ascii="Arial" w:hAnsi="Arial" w:cs="Arial"/>
        </w:rPr>
        <w:t>kg</w:t>
      </w:r>
      <w:r w:rsidRPr="005C74DB">
        <w:rPr>
          <w:rFonts w:ascii="Arial" w:hAnsi="Arial" w:cs="Arial"/>
        </w:rPr>
        <w:t xml:space="preserve"> </w:t>
      </w:r>
      <w:r>
        <w:rPr>
          <w:rFonts w:ascii="Arial" w:hAnsi="Arial" w:cs="Arial"/>
        </w:rPr>
        <w:t>m.u.</w:t>
      </w:r>
      <w:r w:rsidRPr="005C74DB">
        <w:rPr>
          <w:rFonts w:ascii="Arial" w:hAnsi="Arial" w:cs="Arial"/>
        </w:rPr>
        <w:t xml:space="preserve"> la SSRM C</w:t>
      </w:r>
      <w:r>
        <w:rPr>
          <w:rFonts w:ascii="Arial" w:hAnsi="Arial" w:cs="Arial"/>
        </w:rPr>
        <w:t>ernavod</w:t>
      </w:r>
      <w:r w:rsidRPr="005C74DB">
        <w:rPr>
          <w:rFonts w:ascii="Arial" w:hAnsi="Arial" w:cs="Arial"/>
        </w:rPr>
        <w:t>ă</w:t>
      </w:r>
      <w:r>
        <w:rPr>
          <w:rFonts w:ascii="Arial" w:hAnsi="Arial" w:cs="Arial"/>
        </w:rPr>
        <w:t xml:space="preserve"> şi  s-a înregistrat în data de 16</w:t>
      </w:r>
      <w:r w:rsidRPr="00171C66">
        <w:rPr>
          <w:rFonts w:ascii="Arial" w:hAnsi="Arial" w:cs="Arial"/>
        </w:rPr>
        <w:t>.</w:t>
      </w:r>
      <w:r>
        <w:rPr>
          <w:rFonts w:ascii="Arial" w:hAnsi="Arial" w:cs="Arial"/>
        </w:rPr>
        <w:t>01</w:t>
      </w:r>
      <w:r w:rsidRPr="00171C66">
        <w:rPr>
          <w:rFonts w:ascii="Arial" w:hAnsi="Arial" w:cs="Arial"/>
        </w:rPr>
        <w:t>.</w:t>
      </w:r>
      <w:r>
        <w:rPr>
          <w:rFonts w:ascii="Arial" w:hAnsi="Arial" w:cs="Arial"/>
        </w:rPr>
        <w:t>2015</w:t>
      </w:r>
      <w:r w:rsidRPr="005C74DB">
        <w:rPr>
          <w:rFonts w:ascii="Arial" w:hAnsi="Arial" w:cs="Arial"/>
        </w:rPr>
        <w:t>, iar la SSRM C</w:t>
      </w:r>
      <w:r>
        <w:rPr>
          <w:rFonts w:ascii="Arial" w:hAnsi="Arial" w:cs="Arial"/>
        </w:rPr>
        <w:t>onstanţa</w:t>
      </w:r>
      <w:r w:rsidRPr="005C74DB">
        <w:rPr>
          <w:rFonts w:ascii="Arial" w:hAnsi="Arial" w:cs="Arial"/>
        </w:rPr>
        <w:t xml:space="preserve"> maxima anuală a fost de </w:t>
      </w:r>
      <w:r>
        <w:rPr>
          <w:rFonts w:ascii="Arial" w:hAnsi="Arial" w:cs="Arial"/>
        </w:rPr>
        <w:t>422.8</w:t>
      </w:r>
      <w:r w:rsidRPr="005C74DB">
        <w:rPr>
          <w:rFonts w:ascii="Arial" w:hAnsi="Arial" w:cs="Arial"/>
        </w:rPr>
        <w:t xml:space="preserve"> </w:t>
      </w:r>
      <w:r>
        <w:rPr>
          <w:rFonts w:ascii="Arial" w:hAnsi="Arial" w:cs="Arial"/>
        </w:rPr>
        <w:t xml:space="preserve">Bq/kg </w:t>
      </w:r>
      <w:r w:rsidRPr="004E71DA">
        <w:rPr>
          <w:rFonts w:ascii="Arial" w:hAnsi="Arial" w:cs="Arial"/>
        </w:rPr>
        <w:t>m</w:t>
      </w:r>
      <w:r>
        <w:rPr>
          <w:rFonts w:ascii="Arial" w:hAnsi="Arial" w:cs="Arial"/>
        </w:rPr>
        <w:t xml:space="preserve">.u. </w:t>
      </w:r>
      <w:r w:rsidRPr="004E71DA">
        <w:rPr>
          <w:rFonts w:ascii="Arial" w:hAnsi="Arial" w:cs="Arial"/>
        </w:rPr>
        <w:t xml:space="preserve">şi s-a înregistrat în data de </w:t>
      </w:r>
      <w:r>
        <w:rPr>
          <w:rFonts w:ascii="Arial" w:hAnsi="Arial" w:cs="Arial"/>
        </w:rPr>
        <w:t>23</w:t>
      </w:r>
      <w:r w:rsidRPr="004E71DA">
        <w:rPr>
          <w:rFonts w:ascii="Arial" w:hAnsi="Arial" w:cs="Arial"/>
        </w:rPr>
        <w:t>.</w:t>
      </w:r>
      <w:r>
        <w:rPr>
          <w:rFonts w:ascii="Arial" w:hAnsi="Arial" w:cs="Arial"/>
        </w:rPr>
        <w:t>01</w:t>
      </w:r>
      <w:r w:rsidRPr="004E71DA">
        <w:rPr>
          <w:rFonts w:ascii="Arial" w:hAnsi="Arial" w:cs="Arial"/>
        </w:rPr>
        <w:t>.</w:t>
      </w:r>
      <w:r>
        <w:rPr>
          <w:rFonts w:ascii="Arial" w:hAnsi="Arial" w:cs="Arial"/>
        </w:rPr>
        <w:t>2015.</w:t>
      </w:r>
      <w:r w:rsidRPr="004E71DA">
        <w:rPr>
          <w:rFonts w:ascii="Arial" w:hAnsi="Arial" w:cs="Arial"/>
        </w:rPr>
        <w:t xml:space="preserve"> </w:t>
      </w:r>
    </w:p>
    <w:p w:rsidR="00B84559" w:rsidRPr="004E71DA" w:rsidRDefault="00B84559" w:rsidP="00B84559">
      <w:pPr>
        <w:autoSpaceDE w:val="0"/>
        <w:autoSpaceDN w:val="0"/>
        <w:adjustRightInd w:val="0"/>
        <w:ind w:firstLine="720"/>
        <w:jc w:val="both"/>
        <w:rPr>
          <w:rFonts w:ascii="Arial" w:hAnsi="Arial" w:cs="Arial"/>
        </w:rPr>
      </w:pPr>
    </w:p>
    <w:p w:rsidR="00B84559" w:rsidRDefault="00B84559" w:rsidP="00B84559">
      <w:pPr>
        <w:autoSpaceDE w:val="0"/>
        <w:autoSpaceDN w:val="0"/>
        <w:adjustRightInd w:val="0"/>
        <w:jc w:val="center"/>
        <w:rPr>
          <w:color w:val="FF0000"/>
        </w:rPr>
      </w:pPr>
      <w:r>
        <w:rPr>
          <w:noProof/>
          <w:lang w:val="en-US"/>
        </w:rPr>
        <w:drawing>
          <wp:inline distT="0" distB="0" distL="0" distR="0" wp14:anchorId="6BF41556" wp14:editId="0DE3625B">
            <wp:extent cx="6143625" cy="2505075"/>
            <wp:effectExtent l="0" t="0" r="9525" b="9525"/>
            <wp:docPr id="31" name="Obiect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B84559" w:rsidRDefault="00B84559" w:rsidP="00B84559">
      <w:pPr>
        <w:autoSpaceDE w:val="0"/>
        <w:autoSpaceDN w:val="0"/>
        <w:adjustRightInd w:val="0"/>
        <w:jc w:val="both"/>
        <w:rPr>
          <w:rFonts w:ascii="Arial" w:hAnsi="Arial" w:cs="Arial"/>
        </w:rPr>
      </w:pPr>
    </w:p>
    <w:p w:rsidR="00B84559" w:rsidRDefault="00B84559" w:rsidP="00B84559">
      <w:pPr>
        <w:autoSpaceDE w:val="0"/>
        <w:autoSpaceDN w:val="0"/>
        <w:adjustRightInd w:val="0"/>
        <w:ind w:firstLine="720"/>
        <w:jc w:val="both"/>
        <w:rPr>
          <w:rFonts w:ascii="Arial" w:hAnsi="Arial" w:cs="Arial"/>
        </w:rPr>
      </w:pPr>
      <w:r>
        <w:rPr>
          <w:rFonts w:ascii="Arial" w:hAnsi="Arial" w:cs="Arial"/>
        </w:rPr>
        <w:t xml:space="preserve">Variaţia multianuală a mediilor şi maximelor anuale ale activităţii beta globale a probelor de sol necultivat, înregistrate la SSRM Constanţa şi Cernavodă este prezentată în </w:t>
      </w:r>
      <w:r w:rsidRPr="00FD5F3F">
        <w:rPr>
          <w:rFonts w:ascii="Arial" w:hAnsi="Arial" w:cs="Arial"/>
        </w:rPr>
        <w:t>figura IX.34</w:t>
      </w:r>
      <w:r>
        <w:rPr>
          <w:rFonts w:ascii="Arial" w:hAnsi="Arial" w:cs="Arial"/>
        </w:rPr>
        <w:t>.</w:t>
      </w:r>
    </w:p>
    <w:p w:rsidR="00B84559" w:rsidRDefault="00B84559" w:rsidP="00B84559">
      <w:pPr>
        <w:autoSpaceDE w:val="0"/>
        <w:autoSpaceDN w:val="0"/>
        <w:adjustRightInd w:val="0"/>
        <w:ind w:firstLine="720"/>
        <w:jc w:val="both"/>
        <w:rPr>
          <w:rFonts w:ascii="Arial" w:hAnsi="Arial" w:cs="Arial"/>
        </w:rPr>
      </w:pPr>
    </w:p>
    <w:p w:rsidR="00B84559" w:rsidRDefault="00B84559" w:rsidP="00B84559">
      <w:pPr>
        <w:autoSpaceDE w:val="0"/>
        <w:autoSpaceDN w:val="0"/>
        <w:adjustRightInd w:val="0"/>
        <w:jc w:val="both"/>
        <w:rPr>
          <w:rFonts w:ascii="Arial" w:hAnsi="Arial" w:cs="Arial"/>
        </w:rPr>
      </w:pPr>
      <w:r>
        <w:rPr>
          <w:noProof/>
          <w:lang w:val="en-US"/>
        </w:rPr>
        <w:lastRenderedPageBreak/>
        <w:drawing>
          <wp:anchor distT="0" distB="0" distL="114300" distR="114300" simplePos="0" relativeHeight="251659264" behindDoc="0" locked="0" layoutInCell="1" allowOverlap="1" wp14:anchorId="17FC601E" wp14:editId="48001C9A">
            <wp:simplePos x="0" y="0"/>
            <wp:positionH relativeFrom="column">
              <wp:align>left</wp:align>
            </wp:positionH>
            <wp:positionV relativeFrom="paragraph">
              <wp:align>top</wp:align>
            </wp:positionV>
            <wp:extent cx="6000750" cy="2600325"/>
            <wp:effectExtent l="0" t="0" r="19050" b="9525"/>
            <wp:wrapSquare wrapText="bothSides"/>
            <wp:docPr id="43" name="Diagramă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anchor>
        </w:drawing>
      </w:r>
    </w:p>
    <w:p w:rsidR="00B84559" w:rsidRPr="00337ECF" w:rsidRDefault="00B84559" w:rsidP="00B84559">
      <w:pPr>
        <w:pStyle w:val="Listparagraf"/>
        <w:numPr>
          <w:ilvl w:val="0"/>
          <w:numId w:val="40"/>
        </w:numPr>
        <w:autoSpaceDE w:val="0"/>
        <w:autoSpaceDN w:val="0"/>
        <w:adjustRightInd w:val="0"/>
        <w:spacing w:after="0" w:line="240" w:lineRule="auto"/>
        <w:rPr>
          <w:rFonts w:ascii="Arial" w:hAnsi="Arial" w:cs="Arial"/>
          <w:sz w:val="24"/>
          <w:szCs w:val="24"/>
        </w:rPr>
      </w:pPr>
      <w:r w:rsidRPr="00337ECF">
        <w:rPr>
          <w:rFonts w:ascii="Arial" w:hAnsi="Arial" w:cs="Arial"/>
          <w:b/>
          <w:sz w:val="24"/>
          <w:szCs w:val="24"/>
        </w:rPr>
        <w:t>Sol necultivat</w:t>
      </w:r>
      <w:r>
        <w:rPr>
          <w:rFonts w:ascii="Arial" w:hAnsi="Arial" w:cs="Arial"/>
          <w:b/>
          <w:sz w:val="24"/>
          <w:szCs w:val="24"/>
        </w:rPr>
        <w:t xml:space="preserve"> colectat în cadrul Programelor speciale de monitorizare </w:t>
      </w:r>
    </w:p>
    <w:p w:rsidR="00B84559" w:rsidRDefault="00B84559" w:rsidP="00B84559">
      <w:pPr>
        <w:autoSpaceDE w:val="0"/>
        <w:autoSpaceDN w:val="0"/>
        <w:adjustRightInd w:val="0"/>
        <w:ind w:firstLine="720"/>
        <w:jc w:val="both"/>
        <w:rPr>
          <w:rFonts w:ascii="Arial" w:hAnsi="Arial" w:cs="Arial"/>
        </w:rPr>
      </w:pPr>
      <w:r w:rsidRPr="00AA31E8">
        <w:rPr>
          <w:rFonts w:ascii="Arial" w:hAnsi="Arial" w:cs="Arial"/>
        </w:rPr>
        <w:t>Pentru analiza gama spectrometrică SSRM Galaţi, Buzău, Tulcea, Sfântu Gheorghe au prelevat câte o probă anuală de sol necu</w:t>
      </w:r>
      <w:r>
        <w:rPr>
          <w:rFonts w:ascii="Arial" w:hAnsi="Arial" w:cs="Arial"/>
        </w:rPr>
        <w:t xml:space="preserve">ltivat, de pe o suprafaţă de </w:t>
      </w:r>
      <w:r w:rsidRPr="00AA31E8">
        <w:rPr>
          <w:rFonts w:ascii="Arial" w:hAnsi="Arial" w:cs="Arial"/>
        </w:rPr>
        <w:t>10x10 cm</w:t>
      </w:r>
      <w:r w:rsidRPr="00FD5F3F">
        <w:rPr>
          <w:rFonts w:ascii="Arial" w:hAnsi="Arial" w:cs="Arial"/>
          <w:vertAlign w:val="superscript"/>
        </w:rPr>
        <w:t>2</w:t>
      </w:r>
      <w:r w:rsidRPr="00AA31E8">
        <w:rPr>
          <w:rFonts w:ascii="Arial" w:hAnsi="Arial" w:cs="Arial"/>
        </w:rPr>
        <w:t>, adâncime 5 cm. SSRM Constanţa şi SSRM Cernavodă au prelevat probe semestrial</w:t>
      </w:r>
      <w:r>
        <w:rPr>
          <w:rFonts w:ascii="Arial" w:hAnsi="Arial" w:cs="Arial"/>
        </w:rPr>
        <w:t>e de sol necultivat</w:t>
      </w:r>
      <w:r w:rsidRPr="00AA31E8">
        <w:rPr>
          <w:rFonts w:ascii="Arial" w:hAnsi="Arial" w:cs="Arial"/>
        </w:rPr>
        <w:t>. Probele au fost expediate la sediul SSRM Constanţa pentru măsurare. Rezultatele sunt raportate în Bq/kg masă uscată</w:t>
      </w:r>
      <w:r>
        <w:rPr>
          <w:rFonts w:ascii="Arial" w:hAnsi="Arial" w:cs="Arial"/>
        </w:rPr>
        <w:t xml:space="preserve"> (m.u.)</w:t>
      </w:r>
      <w:r w:rsidRPr="00AA31E8">
        <w:rPr>
          <w:rFonts w:ascii="Arial" w:hAnsi="Arial" w:cs="Arial"/>
        </w:rPr>
        <w:t xml:space="preserve">. </w:t>
      </w:r>
    </w:p>
    <w:p w:rsidR="00B84559" w:rsidRDefault="00B84559" w:rsidP="00B84559">
      <w:pPr>
        <w:autoSpaceDE w:val="0"/>
        <w:autoSpaceDN w:val="0"/>
        <w:adjustRightInd w:val="0"/>
        <w:ind w:firstLine="720"/>
        <w:jc w:val="both"/>
        <w:rPr>
          <w:rFonts w:ascii="Arial" w:hAnsi="Arial" w:cs="Arial"/>
        </w:rPr>
      </w:pPr>
      <w:r w:rsidRPr="00AA31E8">
        <w:rPr>
          <w:rFonts w:ascii="Arial" w:hAnsi="Arial" w:cs="Arial"/>
        </w:rPr>
        <w:t xml:space="preserve">În probele de sol au fost identificaţi radionuclizi naturali precum Pb-214, Bi-214, Ra-226 (din seria U-238), Ac-228,  Pb-212, Bi-212 (din seria Th-232), U-235, K-40 şi radionuclidul artificial Cs-137. Concentraţiile de K-40 variază între </w:t>
      </w:r>
      <w:r>
        <w:rPr>
          <w:rFonts w:ascii="Arial" w:hAnsi="Arial" w:cs="Arial"/>
        </w:rPr>
        <w:t>250.5</w:t>
      </w:r>
      <w:r w:rsidRPr="00AA31E8">
        <w:rPr>
          <w:rFonts w:ascii="Arial" w:hAnsi="Arial" w:cs="Arial"/>
        </w:rPr>
        <w:t xml:space="preserve"> Bq/kg (SSRM </w:t>
      </w:r>
      <w:r w:rsidRPr="00FD5F3F">
        <w:rPr>
          <w:rFonts w:ascii="Arial" w:hAnsi="Arial" w:cs="Arial"/>
        </w:rPr>
        <w:t>Sf</w:t>
      </w:r>
      <w:r w:rsidRPr="00FD5F3F">
        <w:rPr>
          <w:rFonts w:ascii="Arial" w:hAnsi="Arial" w:cs="Arial"/>
          <w:lang w:val="ro-RO"/>
        </w:rPr>
        <w:t>ântu Gheorghe</w:t>
      </w:r>
      <w:r w:rsidRPr="00FD5F3F">
        <w:rPr>
          <w:rFonts w:ascii="Arial" w:hAnsi="Arial" w:cs="Arial"/>
        </w:rPr>
        <w:t>) şi 507.2 Bq/kg (SSRM Buzău), impreciziile statistice asociate fiind de 3-10% (figura IX.35.). Concentraţiile de Cs-137 în solul necultivat (figura IX.36.) au variat între 3.3 Bq/kg (SSRM Constan</w:t>
      </w:r>
      <w:r>
        <w:rPr>
          <w:rFonts w:ascii="Arial" w:hAnsi="Arial" w:cs="Arial"/>
          <w:lang w:val="ro-RO"/>
        </w:rPr>
        <w:t>ţ</w:t>
      </w:r>
      <w:r w:rsidRPr="00FD5F3F">
        <w:rPr>
          <w:rFonts w:ascii="Arial" w:hAnsi="Arial" w:cs="Arial"/>
        </w:rPr>
        <w:t xml:space="preserve">a) şi </w:t>
      </w:r>
      <w:r>
        <w:rPr>
          <w:rFonts w:ascii="Arial" w:hAnsi="Arial" w:cs="Arial"/>
        </w:rPr>
        <w:t>16.0</w:t>
      </w:r>
      <w:r w:rsidRPr="00FD5F3F">
        <w:rPr>
          <w:rFonts w:ascii="Arial" w:hAnsi="Arial" w:cs="Arial"/>
        </w:rPr>
        <w:t xml:space="preserve"> Bq/kg ( SSRM </w:t>
      </w:r>
      <w:r>
        <w:rPr>
          <w:rFonts w:ascii="Arial" w:hAnsi="Arial" w:cs="Arial"/>
        </w:rPr>
        <w:t>Cernavodă</w:t>
      </w:r>
      <w:r w:rsidRPr="00FD5F3F">
        <w:rPr>
          <w:rFonts w:ascii="Arial" w:hAnsi="Arial" w:cs="Arial"/>
        </w:rPr>
        <w:t>), cu imprecizii statistice asociate de până la 11%. Rezultatele analizelor gama spectrometrice de</w:t>
      </w:r>
      <w:r w:rsidRPr="00AA31E8">
        <w:rPr>
          <w:rFonts w:ascii="Arial" w:hAnsi="Arial" w:cs="Arial"/>
        </w:rPr>
        <w:t xml:space="preserve"> înaltă rezoluţie indică accidentul de la Cernobâl ca sursă de radioac</w:t>
      </w:r>
      <w:r>
        <w:rPr>
          <w:rFonts w:ascii="Arial" w:hAnsi="Arial" w:cs="Arial"/>
        </w:rPr>
        <w:t>tivitate artificială în probele investigate.</w:t>
      </w:r>
    </w:p>
    <w:p w:rsidR="00B84559" w:rsidRDefault="00B84559" w:rsidP="00B84559">
      <w:pPr>
        <w:autoSpaceDE w:val="0"/>
        <w:autoSpaceDN w:val="0"/>
        <w:adjustRightInd w:val="0"/>
        <w:ind w:firstLine="720"/>
        <w:jc w:val="both"/>
        <w:rPr>
          <w:rFonts w:ascii="Arial" w:hAnsi="Arial" w:cs="Arial"/>
        </w:rPr>
      </w:pPr>
    </w:p>
    <w:p w:rsidR="00B84559" w:rsidRPr="00AA31E8" w:rsidRDefault="00B84559" w:rsidP="00B84559">
      <w:pPr>
        <w:autoSpaceDE w:val="0"/>
        <w:autoSpaceDN w:val="0"/>
        <w:adjustRightInd w:val="0"/>
        <w:jc w:val="both"/>
        <w:rPr>
          <w:rFonts w:ascii="Arial" w:hAnsi="Arial" w:cs="Arial"/>
          <w:lang w:val="ro-RO"/>
        </w:rPr>
      </w:pPr>
      <w:r>
        <w:rPr>
          <w:noProof/>
          <w:lang w:val="en-US"/>
        </w:rPr>
        <w:drawing>
          <wp:inline distT="0" distB="0" distL="0" distR="0" wp14:anchorId="7283B463" wp14:editId="41AC24BD">
            <wp:extent cx="6143625" cy="2686050"/>
            <wp:effectExtent l="0" t="0" r="9525" b="19050"/>
            <wp:docPr id="26" name="Diagramă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B84559" w:rsidRDefault="00B84559" w:rsidP="00B84559">
      <w:pPr>
        <w:autoSpaceDE w:val="0"/>
        <w:autoSpaceDN w:val="0"/>
        <w:adjustRightInd w:val="0"/>
        <w:jc w:val="both"/>
      </w:pPr>
    </w:p>
    <w:p w:rsidR="00B84559" w:rsidRDefault="00B84559" w:rsidP="00B84559">
      <w:pPr>
        <w:autoSpaceDE w:val="0"/>
        <w:autoSpaceDN w:val="0"/>
        <w:adjustRightInd w:val="0"/>
        <w:jc w:val="center"/>
      </w:pPr>
      <w:bookmarkStart w:id="99" w:name="_MON_1465467696"/>
      <w:bookmarkStart w:id="100" w:name="_MON_1465467782"/>
      <w:bookmarkStart w:id="101" w:name="_MON_1465467793"/>
      <w:bookmarkStart w:id="102" w:name="_MON_1465484686"/>
      <w:bookmarkStart w:id="103" w:name="_MON_1432735245"/>
      <w:bookmarkEnd w:id="99"/>
      <w:bookmarkEnd w:id="100"/>
      <w:bookmarkEnd w:id="101"/>
      <w:bookmarkEnd w:id="102"/>
      <w:bookmarkEnd w:id="103"/>
      <w:r>
        <w:rPr>
          <w:noProof/>
          <w:lang w:val="en-US"/>
        </w:rPr>
        <w:lastRenderedPageBreak/>
        <w:drawing>
          <wp:inline distT="0" distB="0" distL="0" distR="0">
            <wp:extent cx="6172200" cy="2721610"/>
            <wp:effectExtent l="0" t="0" r="0" b="0"/>
            <wp:docPr id="34" name="Diagramă 3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B84559" w:rsidRPr="00356B07" w:rsidRDefault="00B84559" w:rsidP="00B84559">
      <w:pPr>
        <w:autoSpaceDE w:val="0"/>
        <w:autoSpaceDN w:val="0"/>
        <w:adjustRightInd w:val="0"/>
        <w:jc w:val="both"/>
        <w:rPr>
          <w:rFonts w:ascii="Arial" w:hAnsi="Arial" w:cs="Arial"/>
          <w:lang w:val="ro-RO"/>
        </w:rPr>
      </w:pPr>
      <w:r w:rsidRPr="002A6F5E">
        <w:rPr>
          <w:rFonts w:ascii="Arial" w:hAnsi="Arial" w:cs="Arial"/>
          <w:lang w:val="ro-RO"/>
        </w:rPr>
        <w:t xml:space="preserve"> </w:t>
      </w:r>
      <w:r>
        <w:rPr>
          <w:rFonts w:ascii="Arial" w:hAnsi="Arial" w:cs="Arial"/>
          <w:lang w:val="ro-RO"/>
        </w:rPr>
        <w:tab/>
      </w:r>
      <w:r w:rsidRPr="00CF6025">
        <w:rPr>
          <w:rFonts w:ascii="Arial" w:hAnsi="Arial" w:cs="Arial"/>
          <w:bCs/>
        </w:rPr>
        <w:t xml:space="preserve">În </w:t>
      </w:r>
      <w:r>
        <w:rPr>
          <w:rFonts w:ascii="Arial" w:hAnsi="Arial" w:cs="Arial"/>
          <w:bCs/>
        </w:rPr>
        <w:t xml:space="preserve">cursul anului 2015, </w:t>
      </w:r>
      <w:r w:rsidRPr="00CF6025">
        <w:rPr>
          <w:rFonts w:ascii="Arial" w:hAnsi="Arial" w:cs="Arial"/>
          <w:bCs/>
        </w:rPr>
        <w:t xml:space="preserve">SSRM Cernavodă a prelevat </w:t>
      </w:r>
      <w:r>
        <w:rPr>
          <w:rFonts w:ascii="Arial" w:hAnsi="Arial" w:cs="Arial"/>
          <w:bCs/>
        </w:rPr>
        <w:t xml:space="preserve">cu frecvenţă semestrială, în cadrul </w:t>
      </w:r>
      <w:r w:rsidRPr="00BD67E1">
        <w:rPr>
          <w:rFonts w:ascii="Arial" w:hAnsi="Arial" w:cs="Arial"/>
          <w:b/>
          <w:bCs/>
        </w:rPr>
        <w:t>programului de monitorizare a func</w:t>
      </w:r>
      <w:r w:rsidRPr="00BD67E1">
        <w:rPr>
          <w:rFonts w:ascii="Arial" w:hAnsi="Arial" w:cs="Arial"/>
          <w:b/>
          <w:bCs/>
          <w:lang w:val="ro-RO"/>
        </w:rPr>
        <w:t>ţionării CNE</w:t>
      </w:r>
      <w:r>
        <w:rPr>
          <w:rFonts w:ascii="Arial" w:hAnsi="Arial" w:cs="Arial"/>
          <w:bCs/>
        </w:rPr>
        <w:t xml:space="preserve">, </w:t>
      </w:r>
      <w:r w:rsidRPr="00CF6025">
        <w:rPr>
          <w:rFonts w:ascii="Arial" w:hAnsi="Arial" w:cs="Arial"/>
          <w:bCs/>
        </w:rPr>
        <w:t xml:space="preserve">probe de </w:t>
      </w:r>
      <w:r>
        <w:rPr>
          <w:rFonts w:ascii="Arial" w:hAnsi="Arial" w:cs="Arial"/>
          <w:bCs/>
        </w:rPr>
        <w:t>sol necultivat</w:t>
      </w:r>
      <w:r w:rsidRPr="00CF6025">
        <w:rPr>
          <w:rFonts w:ascii="Arial" w:hAnsi="Arial" w:cs="Arial"/>
          <w:bCs/>
        </w:rPr>
        <w:t xml:space="preserve"> din: Seimeni,</w:t>
      </w:r>
      <w:r>
        <w:rPr>
          <w:rFonts w:ascii="Arial" w:hAnsi="Arial" w:cs="Arial"/>
          <w:bCs/>
        </w:rPr>
        <w:t xml:space="preserve"> </w:t>
      </w:r>
      <w:r w:rsidRPr="00CF6025">
        <w:rPr>
          <w:rFonts w:ascii="Arial" w:hAnsi="Arial" w:cs="Arial"/>
          <w:bCs/>
        </w:rPr>
        <w:t>Capidava, Medgidia,</w:t>
      </w:r>
      <w:r w:rsidRPr="00081782">
        <w:rPr>
          <w:rFonts w:ascii="Arial" w:hAnsi="Arial" w:cs="Arial"/>
          <w:bCs/>
        </w:rPr>
        <w:t xml:space="preserve"> </w:t>
      </w:r>
      <w:r w:rsidRPr="00CF6025">
        <w:rPr>
          <w:rFonts w:ascii="Arial" w:hAnsi="Arial" w:cs="Arial"/>
          <w:bCs/>
        </w:rPr>
        <w:t>Tortomanu,</w:t>
      </w:r>
      <w:r w:rsidRPr="00081782">
        <w:rPr>
          <w:rFonts w:ascii="Arial" w:hAnsi="Arial" w:cs="Arial"/>
          <w:bCs/>
        </w:rPr>
        <w:t xml:space="preserve"> </w:t>
      </w:r>
      <w:r>
        <w:rPr>
          <w:rFonts w:ascii="Arial" w:hAnsi="Arial" w:cs="Arial"/>
          <w:bCs/>
        </w:rPr>
        <w:t>Cochirleni,</w:t>
      </w:r>
      <w:r w:rsidRPr="00081782">
        <w:rPr>
          <w:rFonts w:ascii="Arial" w:hAnsi="Arial" w:cs="Arial"/>
          <w:bCs/>
        </w:rPr>
        <w:t xml:space="preserve"> </w:t>
      </w:r>
      <w:r>
        <w:rPr>
          <w:rFonts w:ascii="Arial" w:hAnsi="Arial" w:cs="Arial"/>
          <w:bCs/>
        </w:rPr>
        <w:t xml:space="preserve">zona Ecluză Cernavodă, </w:t>
      </w:r>
      <w:r w:rsidRPr="00CF6025">
        <w:rPr>
          <w:rFonts w:ascii="Arial" w:hAnsi="Arial" w:cs="Arial"/>
          <w:bCs/>
        </w:rPr>
        <w:t xml:space="preserve">Feteşti, </w:t>
      </w:r>
      <w:r>
        <w:rPr>
          <w:rFonts w:ascii="Arial" w:hAnsi="Arial" w:cs="Arial"/>
          <w:bCs/>
        </w:rPr>
        <w:t>Rasova şi Mircea Vodă</w:t>
      </w:r>
      <w:r w:rsidRPr="00CF6025">
        <w:rPr>
          <w:rFonts w:ascii="Arial" w:hAnsi="Arial" w:cs="Arial"/>
          <w:bCs/>
        </w:rPr>
        <w:t>.</w:t>
      </w:r>
      <w:r>
        <w:rPr>
          <w:rFonts w:ascii="Arial" w:hAnsi="Arial" w:cs="Arial"/>
          <w:bCs/>
        </w:rPr>
        <w:t xml:space="preserve"> Probele au fost prelucrate şi analizate beta global şi gama spectrometric.</w:t>
      </w:r>
    </w:p>
    <w:p w:rsidR="00B84559" w:rsidRPr="00CF4A36" w:rsidRDefault="00B84559" w:rsidP="00B84559">
      <w:pPr>
        <w:tabs>
          <w:tab w:val="left" w:pos="-1985"/>
          <w:tab w:val="left" w:pos="567"/>
          <w:tab w:val="left" w:pos="720"/>
          <w:tab w:val="left" w:pos="1134"/>
          <w:tab w:val="left" w:pos="1418"/>
          <w:tab w:val="left" w:pos="3402"/>
          <w:tab w:val="left" w:pos="7938"/>
        </w:tabs>
        <w:jc w:val="both"/>
        <w:rPr>
          <w:rFonts w:ascii="Arial" w:hAnsi="Arial" w:cs="Arial"/>
          <w:bCs/>
          <w:lang w:val="ro-RO"/>
        </w:rPr>
      </w:pPr>
      <w:r>
        <w:rPr>
          <w:rFonts w:ascii="Arial" w:hAnsi="Arial" w:cs="Arial"/>
          <w:bCs/>
        </w:rPr>
        <w:tab/>
      </w:r>
      <w:r w:rsidRPr="008D0561">
        <w:rPr>
          <w:rFonts w:ascii="Arial" w:hAnsi="Arial" w:cs="Arial"/>
          <w:bCs/>
        </w:rPr>
        <w:t>Măsurarea beta globală</w:t>
      </w:r>
      <w:r w:rsidRPr="00CF6025">
        <w:rPr>
          <w:rFonts w:ascii="Arial" w:hAnsi="Arial" w:cs="Arial"/>
          <w:bCs/>
        </w:rPr>
        <w:t xml:space="preserve"> s-a făcut la cinci zile de la colectare. </w:t>
      </w:r>
      <w:r w:rsidRPr="00B275F6">
        <w:rPr>
          <w:rFonts w:ascii="Arial" w:hAnsi="Arial" w:cs="Arial"/>
          <w:bCs/>
        </w:rPr>
        <w:t xml:space="preserve">Toate valorile activităţilor specifice obţinute au fost semnificative şi au variat în intervalul </w:t>
      </w:r>
      <w:r>
        <w:rPr>
          <w:rFonts w:ascii="Arial" w:hAnsi="Arial" w:cs="Arial"/>
          <w:bCs/>
        </w:rPr>
        <w:t>307.4</w:t>
      </w:r>
      <w:r w:rsidRPr="00B275F6">
        <w:rPr>
          <w:rFonts w:ascii="Arial" w:hAnsi="Arial" w:cs="Arial"/>
          <w:bCs/>
        </w:rPr>
        <w:t xml:space="preserve"> – </w:t>
      </w:r>
      <w:r>
        <w:rPr>
          <w:rFonts w:ascii="Arial" w:hAnsi="Arial" w:cs="Arial"/>
          <w:bCs/>
        </w:rPr>
        <w:t>514.7</w:t>
      </w:r>
      <w:r w:rsidRPr="00B275F6">
        <w:rPr>
          <w:rFonts w:ascii="Arial" w:hAnsi="Arial" w:cs="Arial"/>
          <w:bCs/>
        </w:rPr>
        <w:t xml:space="preserve"> </w:t>
      </w:r>
      <w:r>
        <w:rPr>
          <w:rFonts w:ascii="Arial" w:hAnsi="Arial" w:cs="Arial"/>
          <w:bCs/>
        </w:rPr>
        <w:t>Bq/kg m.u.</w:t>
      </w:r>
      <w:r w:rsidRPr="00CF6025">
        <w:rPr>
          <w:rFonts w:ascii="Arial" w:hAnsi="Arial" w:cs="Arial"/>
          <w:bCs/>
        </w:rPr>
        <w:t xml:space="preserve"> </w:t>
      </w:r>
      <w:r w:rsidRPr="00EC7C11">
        <w:rPr>
          <w:rFonts w:ascii="Arial" w:hAnsi="Arial" w:cs="Arial"/>
          <w:bCs/>
          <w:lang w:val="pt-BR"/>
        </w:rPr>
        <w:t>Maxima anuală s-a înregistrat pentru proba colectată în data de 0</w:t>
      </w:r>
      <w:r>
        <w:rPr>
          <w:rFonts w:ascii="Arial" w:hAnsi="Arial" w:cs="Arial"/>
          <w:bCs/>
          <w:lang w:val="pt-BR"/>
        </w:rPr>
        <w:t>2</w:t>
      </w:r>
      <w:r w:rsidRPr="00EC7C11">
        <w:rPr>
          <w:rFonts w:ascii="Arial" w:hAnsi="Arial" w:cs="Arial"/>
          <w:bCs/>
          <w:lang w:val="pt-BR"/>
        </w:rPr>
        <w:t>.0</w:t>
      </w:r>
      <w:r>
        <w:rPr>
          <w:rFonts w:ascii="Arial" w:hAnsi="Arial" w:cs="Arial"/>
          <w:bCs/>
          <w:lang w:val="pt-BR"/>
        </w:rPr>
        <w:t>9</w:t>
      </w:r>
      <w:r w:rsidRPr="00EC7C11">
        <w:rPr>
          <w:rFonts w:ascii="Arial" w:hAnsi="Arial" w:cs="Arial"/>
          <w:bCs/>
          <w:lang w:val="pt-BR"/>
        </w:rPr>
        <w:t>.</w:t>
      </w:r>
      <w:r>
        <w:rPr>
          <w:rFonts w:ascii="Arial" w:hAnsi="Arial" w:cs="Arial"/>
          <w:bCs/>
          <w:lang w:val="pt-BR"/>
        </w:rPr>
        <w:t>2015</w:t>
      </w:r>
      <w:r w:rsidRPr="00EC7C11">
        <w:rPr>
          <w:rFonts w:ascii="Arial" w:hAnsi="Arial" w:cs="Arial"/>
          <w:bCs/>
          <w:lang w:val="pt-BR"/>
        </w:rPr>
        <w:t xml:space="preserve"> de la </w:t>
      </w:r>
      <w:r>
        <w:rPr>
          <w:rFonts w:ascii="Arial" w:hAnsi="Arial" w:cs="Arial"/>
          <w:bCs/>
          <w:lang w:val="pt-BR"/>
        </w:rPr>
        <w:t>Rasova.</w:t>
      </w:r>
      <w:r>
        <w:rPr>
          <w:rFonts w:ascii="Arial" w:hAnsi="Arial" w:cs="Arial"/>
          <w:bCs/>
        </w:rPr>
        <w:t>Incertitudinile statistice asociate procesului de măsurare au fost cuprinse în intervalul 10</w:t>
      </w:r>
      <w:r w:rsidRPr="003B64F1">
        <w:rPr>
          <w:rFonts w:ascii="Arial" w:hAnsi="Arial" w:cs="Arial"/>
          <w:bCs/>
        </w:rPr>
        <w:t>-1</w:t>
      </w:r>
      <w:r>
        <w:rPr>
          <w:rFonts w:ascii="Arial" w:hAnsi="Arial" w:cs="Arial"/>
          <w:bCs/>
        </w:rPr>
        <w:t xml:space="preserve">4%. </w:t>
      </w:r>
      <w:r w:rsidRPr="00CF6025">
        <w:rPr>
          <w:rFonts w:ascii="Arial" w:hAnsi="Arial" w:cs="Arial"/>
          <w:bCs/>
        </w:rPr>
        <w:t xml:space="preserve">Rezultatele sunt prezentate în tabelul </w:t>
      </w:r>
      <w:r>
        <w:rPr>
          <w:rFonts w:ascii="Arial" w:hAnsi="Arial" w:cs="Arial"/>
          <w:bCs/>
        </w:rPr>
        <w:t>următor:</w:t>
      </w:r>
    </w:p>
    <w:p w:rsidR="00B84559" w:rsidRPr="00CF6025" w:rsidRDefault="00B84559" w:rsidP="00B84559">
      <w:pPr>
        <w:tabs>
          <w:tab w:val="left" w:pos="-1985"/>
          <w:tab w:val="left" w:pos="567"/>
          <w:tab w:val="left" w:pos="720"/>
          <w:tab w:val="left" w:pos="1134"/>
          <w:tab w:val="left" w:pos="1418"/>
          <w:tab w:val="left" w:pos="3402"/>
          <w:tab w:val="left" w:pos="7938"/>
        </w:tabs>
        <w:jc w:val="both"/>
        <w:rPr>
          <w:rFonts w:ascii="Arial" w:hAnsi="Arial" w:cs="Arial"/>
          <w:b/>
          <w:bCs/>
        </w:rPr>
      </w:pPr>
    </w:p>
    <w:p w:rsidR="00B84559" w:rsidRPr="00CF4A36" w:rsidRDefault="00B84559" w:rsidP="00B84559">
      <w:pPr>
        <w:tabs>
          <w:tab w:val="left" w:pos="-1985"/>
          <w:tab w:val="left" w:pos="567"/>
          <w:tab w:val="left" w:pos="720"/>
          <w:tab w:val="left" w:pos="1134"/>
          <w:tab w:val="left" w:pos="1418"/>
          <w:tab w:val="left" w:pos="3402"/>
          <w:tab w:val="left" w:pos="7938"/>
        </w:tabs>
        <w:jc w:val="both"/>
        <w:rPr>
          <w:rFonts w:ascii="Arial" w:hAnsi="Arial" w:cs="Arial"/>
          <w:b/>
          <w:bCs/>
        </w:rPr>
      </w:pPr>
      <w:r>
        <w:rPr>
          <w:rFonts w:ascii="Arial" w:hAnsi="Arial" w:cs="Arial"/>
          <w:b/>
          <w:bCs/>
        </w:rPr>
        <w:t>Valorile activităţilor</w:t>
      </w:r>
      <w:r w:rsidRPr="00CF6025">
        <w:rPr>
          <w:rFonts w:ascii="Arial" w:hAnsi="Arial" w:cs="Arial"/>
          <w:b/>
          <w:bCs/>
        </w:rPr>
        <w:t xml:space="preserve"> specifice </w:t>
      </w:r>
      <w:r>
        <w:rPr>
          <w:rFonts w:ascii="Arial" w:hAnsi="Arial" w:cs="Arial"/>
          <w:b/>
          <w:bCs/>
        </w:rPr>
        <w:t xml:space="preserve">beta globale </w:t>
      </w:r>
      <w:r w:rsidRPr="00CF6025">
        <w:rPr>
          <w:rFonts w:ascii="Arial" w:hAnsi="Arial" w:cs="Arial"/>
          <w:b/>
          <w:bCs/>
        </w:rPr>
        <w:t>ale solului necultivat</w:t>
      </w:r>
      <w:r>
        <w:rPr>
          <w:rFonts w:ascii="Arial" w:hAnsi="Arial" w:cs="Arial"/>
          <w:b/>
          <w:bCs/>
        </w:rPr>
        <w:t xml:space="preserve"> (Bq/kg m.u.) colectat din zona de influenţă a CNE Cernavodă în 2015</w:t>
      </w:r>
    </w:p>
    <w:tbl>
      <w:tblPr>
        <w:tblW w:w="9781"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620"/>
        <w:gridCol w:w="1140"/>
        <w:gridCol w:w="1140"/>
        <w:gridCol w:w="1140"/>
        <w:gridCol w:w="1481"/>
        <w:gridCol w:w="850"/>
        <w:gridCol w:w="1560"/>
        <w:gridCol w:w="850"/>
      </w:tblGrid>
      <w:tr w:rsidR="00B84559" w:rsidRPr="00CF6025" w:rsidTr="00596839">
        <w:trPr>
          <w:trHeight w:val="284"/>
        </w:trPr>
        <w:tc>
          <w:tcPr>
            <w:tcW w:w="1620" w:type="dxa"/>
          </w:tcPr>
          <w:p w:rsidR="00B84559" w:rsidRPr="00E5781E" w:rsidRDefault="00B84559" w:rsidP="00596839">
            <w:pPr>
              <w:tabs>
                <w:tab w:val="left" w:pos="1119"/>
              </w:tabs>
              <w:jc w:val="center"/>
              <w:rPr>
                <w:rFonts w:ascii="Arial" w:hAnsi="Arial" w:cs="Arial"/>
                <w:sz w:val="22"/>
                <w:szCs w:val="22"/>
              </w:rPr>
            </w:pPr>
            <w:r w:rsidRPr="00E5781E">
              <w:rPr>
                <w:rFonts w:ascii="Arial" w:hAnsi="Arial" w:cs="Arial"/>
                <w:sz w:val="22"/>
                <w:szCs w:val="22"/>
              </w:rPr>
              <w:t>Locul prelevării</w:t>
            </w:r>
          </w:p>
        </w:tc>
        <w:tc>
          <w:tcPr>
            <w:tcW w:w="1140" w:type="dxa"/>
            <w:vAlign w:val="center"/>
          </w:tcPr>
          <w:p w:rsidR="00B84559" w:rsidRPr="00E5781E" w:rsidRDefault="00B84559" w:rsidP="00596839">
            <w:pPr>
              <w:pStyle w:val="Titlu3"/>
              <w:numPr>
                <w:ilvl w:val="2"/>
                <w:numId w:val="0"/>
              </w:numPr>
              <w:tabs>
                <w:tab w:val="left" w:pos="1119"/>
              </w:tabs>
              <w:jc w:val="center"/>
              <w:rPr>
                <w:szCs w:val="22"/>
              </w:rPr>
            </w:pPr>
            <w:r w:rsidRPr="00E5781E">
              <w:rPr>
                <w:szCs w:val="22"/>
              </w:rPr>
              <w:t>Minima</w:t>
            </w:r>
          </w:p>
          <w:p w:rsidR="00B84559" w:rsidRPr="00E5781E" w:rsidRDefault="00B84559" w:rsidP="00596839">
            <w:pPr>
              <w:jc w:val="center"/>
              <w:rPr>
                <w:rFonts w:ascii="Arial" w:hAnsi="Arial" w:cs="Arial"/>
                <w:sz w:val="22"/>
                <w:szCs w:val="22"/>
              </w:rPr>
            </w:pPr>
            <w:r w:rsidRPr="00E5781E">
              <w:rPr>
                <w:rFonts w:ascii="Arial" w:hAnsi="Arial" w:cs="Arial"/>
                <w:sz w:val="22"/>
                <w:szCs w:val="22"/>
              </w:rPr>
              <w:t>anuală</w:t>
            </w:r>
          </w:p>
        </w:tc>
        <w:tc>
          <w:tcPr>
            <w:tcW w:w="1140" w:type="dxa"/>
            <w:vAlign w:val="center"/>
          </w:tcPr>
          <w:p w:rsidR="00B84559" w:rsidRPr="00E5781E" w:rsidRDefault="00B84559" w:rsidP="00596839">
            <w:pPr>
              <w:pStyle w:val="Titlu3"/>
              <w:numPr>
                <w:ilvl w:val="2"/>
                <w:numId w:val="0"/>
              </w:numPr>
              <w:tabs>
                <w:tab w:val="left" w:pos="1119"/>
              </w:tabs>
              <w:jc w:val="center"/>
              <w:rPr>
                <w:szCs w:val="22"/>
              </w:rPr>
            </w:pPr>
            <w:r w:rsidRPr="00E5781E">
              <w:rPr>
                <w:szCs w:val="22"/>
              </w:rPr>
              <w:t>Media</w:t>
            </w:r>
          </w:p>
          <w:p w:rsidR="00B84559" w:rsidRPr="00E5781E" w:rsidRDefault="00B84559" w:rsidP="00596839">
            <w:pPr>
              <w:jc w:val="center"/>
              <w:rPr>
                <w:rFonts w:ascii="Arial" w:hAnsi="Arial" w:cs="Arial"/>
                <w:sz w:val="22"/>
                <w:szCs w:val="22"/>
              </w:rPr>
            </w:pPr>
            <w:r w:rsidRPr="00E5781E">
              <w:rPr>
                <w:rFonts w:ascii="Arial" w:hAnsi="Arial" w:cs="Arial"/>
                <w:sz w:val="22"/>
                <w:szCs w:val="22"/>
              </w:rPr>
              <w:t>anuală</w:t>
            </w:r>
          </w:p>
        </w:tc>
        <w:tc>
          <w:tcPr>
            <w:tcW w:w="1140" w:type="dxa"/>
            <w:vAlign w:val="center"/>
          </w:tcPr>
          <w:p w:rsidR="00B84559" w:rsidRPr="00E5781E" w:rsidRDefault="00B84559" w:rsidP="00596839">
            <w:pPr>
              <w:pStyle w:val="Titlu3"/>
              <w:numPr>
                <w:ilvl w:val="2"/>
                <w:numId w:val="0"/>
              </w:numPr>
              <w:tabs>
                <w:tab w:val="left" w:pos="1119"/>
              </w:tabs>
              <w:jc w:val="center"/>
              <w:rPr>
                <w:szCs w:val="22"/>
              </w:rPr>
            </w:pPr>
            <w:r w:rsidRPr="00E5781E">
              <w:rPr>
                <w:szCs w:val="22"/>
              </w:rPr>
              <w:t>Maxima</w:t>
            </w:r>
          </w:p>
          <w:p w:rsidR="00B84559" w:rsidRPr="00E5781E" w:rsidRDefault="00B84559" w:rsidP="00596839">
            <w:pPr>
              <w:jc w:val="center"/>
              <w:rPr>
                <w:rFonts w:ascii="Arial" w:hAnsi="Arial" w:cs="Arial"/>
                <w:sz w:val="22"/>
                <w:szCs w:val="22"/>
              </w:rPr>
            </w:pPr>
            <w:r w:rsidRPr="00E5781E">
              <w:rPr>
                <w:rFonts w:ascii="Arial" w:hAnsi="Arial" w:cs="Arial"/>
                <w:sz w:val="22"/>
                <w:szCs w:val="22"/>
              </w:rPr>
              <w:t>anuală</w:t>
            </w:r>
          </w:p>
        </w:tc>
        <w:tc>
          <w:tcPr>
            <w:tcW w:w="1481" w:type="dxa"/>
            <w:vAlign w:val="center"/>
          </w:tcPr>
          <w:p w:rsidR="00B84559" w:rsidRPr="00E5781E" w:rsidRDefault="00B84559" w:rsidP="00596839">
            <w:pPr>
              <w:tabs>
                <w:tab w:val="left" w:pos="1119"/>
              </w:tabs>
              <w:jc w:val="center"/>
              <w:rPr>
                <w:rFonts w:ascii="Arial" w:hAnsi="Arial" w:cs="Arial"/>
                <w:sz w:val="22"/>
                <w:szCs w:val="22"/>
              </w:rPr>
            </w:pPr>
            <w:r w:rsidRPr="00E5781E">
              <w:rPr>
                <w:rFonts w:ascii="Arial" w:hAnsi="Arial" w:cs="Arial"/>
                <w:sz w:val="22"/>
                <w:szCs w:val="22"/>
              </w:rPr>
              <w:t>Data maximei</w:t>
            </w:r>
          </w:p>
        </w:tc>
        <w:tc>
          <w:tcPr>
            <w:tcW w:w="850" w:type="dxa"/>
            <w:vAlign w:val="center"/>
          </w:tcPr>
          <w:p w:rsidR="00B84559" w:rsidRPr="00E5781E" w:rsidRDefault="00B84559" w:rsidP="00596839">
            <w:pPr>
              <w:tabs>
                <w:tab w:val="left" w:pos="1119"/>
              </w:tabs>
              <w:jc w:val="center"/>
              <w:rPr>
                <w:rFonts w:ascii="Arial" w:hAnsi="Arial" w:cs="Arial"/>
                <w:sz w:val="22"/>
                <w:szCs w:val="22"/>
              </w:rPr>
            </w:pPr>
            <w:r w:rsidRPr="00E5781E">
              <w:rPr>
                <w:rFonts w:ascii="Arial" w:hAnsi="Arial" w:cs="Arial"/>
                <w:sz w:val="22"/>
                <w:szCs w:val="22"/>
              </w:rPr>
              <w:t>Nr.val</w:t>
            </w:r>
          </w:p>
        </w:tc>
        <w:tc>
          <w:tcPr>
            <w:tcW w:w="1560" w:type="dxa"/>
            <w:vAlign w:val="center"/>
          </w:tcPr>
          <w:p w:rsidR="00B84559" w:rsidRPr="00E5781E" w:rsidRDefault="00B84559" w:rsidP="00596839">
            <w:pPr>
              <w:tabs>
                <w:tab w:val="left" w:pos="1119"/>
              </w:tabs>
              <w:jc w:val="center"/>
              <w:rPr>
                <w:rFonts w:ascii="Arial" w:hAnsi="Arial" w:cs="Arial"/>
                <w:sz w:val="22"/>
                <w:szCs w:val="22"/>
              </w:rPr>
            </w:pPr>
            <w:r w:rsidRPr="00E5781E">
              <w:rPr>
                <w:rFonts w:ascii="Arial" w:hAnsi="Arial" w:cs="Arial"/>
                <w:sz w:val="22"/>
                <w:szCs w:val="22"/>
              </w:rPr>
              <w:t>Nr.val</w:t>
            </w:r>
          </w:p>
          <w:p w:rsidR="00B84559" w:rsidRPr="00E5781E" w:rsidRDefault="00B84559" w:rsidP="00596839">
            <w:pPr>
              <w:tabs>
                <w:tab w:val="left" w:pos="1119"/>
              </w:tabs>
              <w:jc w:val="center"/>
              <w:rPr>
                <w:rFonts w:ascii="Arial" w:hAnsi="Arial" w:cs="Arial"/>
                <w:sz w:val="22"/>
                <w:szCs w:val="22"/>
              </w:rPr>
            </w:pPr>
            <w:r w:rsidRPr="00E5781E">
              <w:rPr>
                <w:rFonts w:ascii="Arial" w:hAnsi="Arial" w:cs="Arial"/>
                <w:sz w:val="22"/>
                <w:szCs w:val="22"/>
              </w:rPr>
              <w:t>semnificative</w:t>
            </w:r>
          </w:p>
        </w:tc>
        <w:tc>
          <w:tcPr>
            <w:tcW w:w="850" w:type="dxa"/>
            <w:vAlign w:val="center"/>
          </w:tcPr>
          <w:p w:rsidR="00B84559" w:rsidRPr="00E5781E" w:rsidRDefault="00B84559" w:rsidP="00596839">
            <w:pPr>
              <w:tabs>
                <w:tab w:val="left" w:pos="1119"/>
              </w:tabs>
              <w:jc w:val="center"/>
              <w:rPr>
                <w:rFonts w:ascii="Arial" w:hAnsi="Arial" w:cs="Arial"/>
                <w:sz w:val="22"/>
                <w:szCs w:val="22"/>
                <w:vertAlign w:val="subscript"/>
              </w:rPr>
            </w:pPr>
            <w:r w:rsidRPr="00E5781E">
              <w:rPr>
                <w:rFonts w:ascii="Arial" w:hAnsi="Arial" w:cs="Arial"/>
                <w:sz w:val="22"/>
                <w:szCs w:val="22"/>
              </w:rPr>
              <w:sym w:font="Symbol" w:char="F065"/>
            </w:r>
            <w:r w:rsidRPr="00E5781E">
              <w:rPr>
                <w:rFonts w:ascii="Arial" w:hAnsi="Arial" w:cs="Arial"/>
                <w:sz w:val="22"/>
                <w:szCs w:val="22"/>
                <w:vertAlign w:val="subscript"/>
              </w:rPr>
              <w:sym w:font="Symbol" w:char="F04C"/>
            </w:r>
          </w:p>
          <w:p w:rsidR="00B84559" w:rsidRPr="00E5781E" w:rsidRDefault="00B84559" w:rsidP="00596839">
            <w:pPr>
              <w:tabs>
                <w:tab w:val="left" w:pos="1119"/>
              </w:tabs>
              <w:ind w:left="-108" w:firstLine="108"/>
              <w:jc w:val="center"/>
              <w:rPr>
                <w:rFonts w:ascii="Arial" w:hAnsi="Arial" w:cs="Arial"/>
                <w:sz w:val="22"/>
                <w:szCs w:val="22"/>
              </w:rPr>
            </w:pPr>
            <w:r w:rsidRPr="00E5781E">
              <w:rPr>
                <w:rFonts w:ascii="Arial" w:hAnsi="Arial" w:cs="Arial"/>
                <w:sz w:val="22"/>
                <w:szCs w:val="22"/>
                <w:vertAlign w:val="subscript"/>
              </w:rPr>
              <w:t>(%)</w:t>
            </w:r>
          </w:p>
        </w:tc>
      </w:tr>
      <w:tr w:rsidR="00B84559" w:rsidRPr="00CF6025" w:rsidTr="00596839">
        <w:trPr>
          <w:trHeight w:val="284"/>
        </w:trPr>
        <w:tc>
          <w:tcPr>
            <w:tcW w:w="1620" w:type="dxa"/>
          </w:tcPr>
          <w:p w:rsidR="00B84559" w:rsidRPr="00E5781E" w:rsidRDefault="00B84559" w:rsidP="00596839">
            <w:pPr>
              <w:tabs>
                <w:tab w:val="left" w:pos="1119"/>
              </w:tabs>
              <w:jc w:val="center"/>
              <w:rPr>
                <w:rFonts w:ascii="Arial" w:hAnsi="Arial" w:cs="Arial"/>
                <w:sz w:val="22"/>
                <w:szCs w:val="22"/>
              </w:rPr>
            </w:pPr>
            <w:r w:rsidRPr="00E5781E">
              <w:rPr>
                <w:rFonts w:ascii="Arial" w:hAnsi="Arial" w:cs="Arial"/>
                <w:sz w:val="22"/>
                <w:szCs w:val="22"/>
              </w:rPr>
              <w:t>Capidava</w:t>
            </w:r>
          </w:p>
        </w:tc>
        <w:tc>
          <w:tcPr>
            <w:tcW w:w="1140" w:type="dxa"/>
            <w:vAlign w:val="bottom"/>
          </w:tcPr>
          <w:p w:rsidR="00B84559" w:rsidRPr="00E5781E" w:rsidRDefault="00B84559" w:rsidP="00596839">
            <w:pPr>
              <w:jc w:val="center"/>
              <w:rPr>
                <w:rFonts w:ascii="Arial" w:eastAsia="Arial Unicode MS" w:hAnsi="Arial" w:cs="Arial"/>
              </w:rPr>
            </w:pPr>
            <w:r>
              <w:rPr>
                <w:rFonts w:ascii="Arial" w:eastAsia="Arial Unicode MS" w:hAnsi="Arial" w:cs="Arial"/>
              </w:rPr>
              <w:t>354.17</w:t>
            </w:r>
          </w:p>
        </w:tc>
        <w:tc>
          <w:tcPr>
            <w:tcW w:w="1140" w:type="dxa"/>
            <w:vAlign w:val="bottom"/>
          </w:tcPr>
          <w:p w:rsidR="00B84559" w:rsidRPr="00E5781E" w:rsidRDefault="00B84559" w:rsidP="00596839">
            <w:pPr>
              <w:jc w:val="center"/>
              <w:rPr>
                <w:rFonts w:ascii="Arial" w:eastAsia="Arial Unicode MS" w:hAnsi="Arial" w:cs="Arial"/>
              </w:rPr>
            </w:pPr>
            <w:r>
              <w:rPr>
                <w:rFonts w:ascii="Arial" w:eastAsia="Arial Unicode MS" w:hAnsi="Arial" w:cs="Arial"/>
              </w:rPr>
              <w:t>358.83</w:t>
            </w:r>
          </w:p>
        </w:tc>
        <w:tc>
          <w:tcPr>
            <w:tcW w:w="1140" w:type="dxa"/>
            <w:vAlign w:val="bottom"/>
          </w:tcPr>
          <w:p w:rsidR="00B84559" w:rsidRPr="00E5781E" w:rsidRDefault="00B84559" w:rsidP="00596839">
            <w:pPr>
              <w:jc w:val="center"/>
              <w:rPr>
                <w:rFonts w:ascii="Arial" w:eastAsia="Arial Unicode MS" w:hAnsi="Arial" w:cs="Arial"/>
              </w:rPr>
            </w:pPr>
            <w:r>
              <w:rPr>
                <w:rFonts w:ascii="Arial" w:eastAsia="Arial Unicode MS" w:hAnsi="Arial" w:cs="Arial"/>
              </w:rPr>
              <w:t>363.48</w:t>
            </w:r>
          </w:p>
        </w:tc>
        <w:tc>
          <w:tcPr>
            <w:tcW w:w="1481" w:type="dxa"/>
            <w:vAlign w:val="bottom"/>
          </w:tcPr>
          <w:p w:rsidR="00B84559" w:rsidRPr="00E5781E" w:rsidRDefault="00B84559" w:rsidP="00596839">
            <w:pPr>
              <w:jc w:val="center"/>
              <w:rPr>
                <w:rFonts w:ascii="Arial" w:eastAsia="Arial Unicode MS" w:hAnsi="Arial" w:cs="Arial"/>
              </w:rPr>
            </w:pPr>
            <w:r>
              <w:rPr>
                <w:rFonts w:ascii="Arial" w:eastAsia="Arial Unicode MS" w:hAnsi="Arial" w:cs="Arial"/>
              </w:rPr>
              <w:t>09</w:t>
            </w:r>
            <w:r w:rsidRPr="00E5781E">
              <w:rPr>
                <w:rFonts w:ascii="Arial" w:eastAsia="Arial Unicode MS" w:hAnsi="Arial" w:cs="Arial"/>
              </w:rPr>
              <w:t>.</w:t>
            </w:r>
            <w:r>
              <w:rPr>
                <w:rFonts w:ascii="Arial" w:eastAsia="Arial Unicode MS" w:hAnsi="Arial" w:cs="Arial"/>
              </w:rPr>
              <w:t>09</w:t>
            </w:r>
            <w:r w:rsidRPr="00E5781E">
              <w:rPr>
                <w:rFonts w:ascii="Arial" w:eastAsia="Arial Unicode MS" w:hAnsi="Arial" w:cs="Arial"/>
              </w:rPr>
              <w:t>.</w:t>
            </w:r>
            <w:r>
              <w:rPr>
                <w:rFonts w:ascii="Arial" w:eastAsia="Arial Unicode MS" w:hAnsi="Arial" w:cs="Arial"/>
              </w:rPr>
              <w:t>2015</w:t>
            </w:r>
          </w:p>
        </w:tc>
        <w:tc>
          <w:tcPr>
            <w:tcW w:w="850" w:type="dxa"/>
            <w:vAlign w:val="bottom"/>
          </w:tcPr>
          <w:p w:rsidR="00B84559" w:rsidRPr="00E5781E" w:rsidRDefault="00B84559" w:rsidP="00596839">
            <w:pPr>
              <w:jc w:val="center"/>
              <w:rPr>
                <w:rFonts w:ascii="Arial" w:eastAsia="Arial Unicode MS" w:hAnsi="Arial" w:cs="Arial"/>
              </w:rPr>
            </w:pPr>
            <w:r w:rsidRPr="00E5781E">
              <w:rPr>
                <w:rFonts w:ascii="Arial" w:eastAsia="Arial Unicode MS" w:hAnsi="Arial" w:cs="Arial"/>
              </w:rPr>
              <w:t>2</w:t>
            </w:r>
          </w:p>
        </w:tc>
        <w:tc>
          <w:tcPr>
            <w:tcW w:w="1560" w:type="dxa"/>
            <w:vAlign w:val="bottom"/>
          </w:tcPr>
          <w:p w:rsidR="00B84559" w:rsidRPr="00E5781E" w:rsidRDefault="00B84559" w:rsidP="00596839">
            <w:pPr>
              <w:jc w:val="center"/>
              <w:rPr>
                <w:rFonts w:ascii="Arial" w:eastAsia="Arial Unicode MS" w:hAnsi="Arial" w:cs="Arial"/>
              </w:rPr>
            </w:pPr>
            <w:r w:rsidRPr="00E5781E">
              <w:rPr>
                <w:rFonts w:ascii="Arial" w:eastAsia="Arial Unicode MS" w:hAnsi="Arial" w:cs="Arial"/>
              </w:rPr>
              <w:t>2</w:t>
            </w:r>
          </w:p>
        </w:tc>
        <w:tc>
          <w:tcPr>
            <w:tcW w:w="850" w:type="dxa"/>
            <w:vAlign w:val="bottom"/>
          </w:tcPr>
          <w:p w:rsidR="00B84559" w:rsidRPr="00E5781E" w:rsidRDefault="00B84559" w:rsidP="00596839">
            <w:pPr>
              <w:jc w:val="center"/>
              <w:rPr>
                <w:rFonts w:ascii="Arial" w:eastAsia="Arial Unicode MS" w:hAnsi="Arial" w:cs="Arial"/>
              </w:rPr>
            </w:pPr>
            <w:r>
              <w:rPr>
                <w:rFonts w:ascii="Arial" w:eastAsia="Arial Unicode MS" w:hAnsi="Arial" w:cs="Arial"/>
              </w:rPr>
              <w:t>12</w:t>
            </w:r>
          </w:p>
        </w:tc>
      </w:tr>
      <w:tr w:rsidR="00B84559" w:rsidRPr="00CF6025" w:rsidTr="00596839">
        <w:trPr>
          <w:trHeight w:val="284"/>
        </w:trPr>
        <w:tc>
          <w:tcPr>
            <w:tcW w:w="1620" w:type="dxa"/>
          </w:tcPr>
          <w:p w:rsidR="00B84559" w:rsidRPr="00E5781E" w:rsidRDefault="00B84559" w:rsidP="00596839">
            <w:pPr>
              <w:tabs>
                <w:tab w:val="left" w:pos="1119"/>
              </w:tabs>
              <w:jc w:val="center"/>
              <w:rPr>
                <w:rFonts w:ascii="Arial" w:hAnsi="Arial" w:cs="Arial"/>
                <w:sz w:val="22"/>
                <w:szCs w:val="22"/>
              </w:rPr>
            </w:pPr>
            <w:r w:rsidRPr="00E5781E">
              <w:rPr>
                <w:rFonts w:ascii="Arial" w:hAnsi="Arial" w:cs="Arial"/>
                <w:sz w:val="22"/>
                <w:szCs w:val="22"/>
              </w:rPr>
              <w:t>Feteşti</w:t>
            </w:r>
          </w:p>
        </w:tc>
        <w:tc>
          <w:tcPr>
            <w:tcW w:w="1140" w:type="dxa"/>
            <w:vAlign w:val="bottom"/>
          </w:tcPr>
          <w:p w:rsidR="00B84559" w:rsidRPr="00E5781E" w:rsidRDefault="00B84559" w:rsidP="00596839">
            <w:pPr>
              <w:jc w:val="center"/>
              <w:rPr>
                <w:rFonts w:ascii="Arial" w:eastAsia="Arial Unicode MS" w:hAnsi="Arial" w:cs="Arial"/>
              </w:rPr>
            </w:pPr>
            <w:r>
              <w:rPr>
                <w:rFonts w:ascii="Arial" w:eastAsia="Arial Unicode MS" w:hAnsi="Arial" w:cs="Arial"/>
              </w:rPr>
              <w:t>435.88</w:t>
            </w:r>
          </w:p>
        </w:tc>
        <w:tc>
          <w:tcPr>
            <w:tcW w:w="1140" w:type="dxa"/>
            <w:vAlign w:val="bottom"/>
          </w:tcPr>
          <w:p w:rsidR="00B84559" w:rsidRPr="00E5781E" w:rsidRDefault="00B84559" w:rsidP="00596839">
            <w:pPr>
              <w:jc w:val="center"/>
              <w:rPr>
                <w:rFonts w:ascii="Arial" w:eastAsia="Arial Unicode MS" w:hAnsi="Arial" w:cs="Arial"/>
              </w:rPr>
            </w:pPr>
            <w:r>
              <w:rPr>
                <w:rFonts w:ascii="Arial" w:eastAsia="Arial Unicode MS" w:hAnsi="Arial" w:cs="Arial"/>
              </w:rPr>
              <w:t>472.50</w:t>
            </w:r>
          </w:p>
        </w:tc>
        <w:tc>
          <w:tcPr>
            <w:tcW w:w="1140" w:type="dxa"/>
            <w:vAlign w:val="bottom"/>
          </w:tcPr>
          <w:p w:rsidR="00B84559" w:rsidRPr="00E5781E" w:rsidRDefault="00B84559" w:rsidP="00596839">
            <w:pPr>
              <w:jc w:val="center"/>
              <w:rPr>
                <w:rFonts w:ascii="Arial" w:eastAsia="Arial Unicode MS" w:hAnsi="Arial" w:cs="Arial"/>
              </w:rPr>
            </w:pPr>
            <w:r>
              <w:rPr>
                <w:rFonts w:ascii="Arial" w:eastAsia="Arial Unicode MS" w:hAnsi="Arial" w:cs="Arial"/>
              </w:rPr>
              <w:t>509.13</w:t>
            </w:r>
          </w:p>
        </w:tc>
        <w:tc>
          <w:tcPr>
            <w:tcW w:w="1481" w:type="dxa"/>
            <w:vAlign w:val="bottom"/>
          </w:tcPr>
          <w:p w:rsidR="00B84559" w:rsidRPr="00E5781E" w:rsidRDefault="00B84559" w:rsidP="00596839">
            <w:pPr>
              <w:jc w:val="center"/>
              <w:rPr>
                <w:rFonts w:ascii="Arial" w:eastAsia="Arial Unicode MS" w:hAnsi="Arial" w:cs="Arial"/>
              </w:rPr>
            </w:pPr>
            <w:r>
              <w:rPr>
                <w:rFonts w:ascii="Arial" w:eastAsia="Arial Unicode MS" w:hAnsi="Arial" w:cs="Arial"/>
              </w:rPr>
              <w:t>02</w:t>
            </w:r>
            <w:r w:rsidRPr="00E5781E">
              <w:rPr>
                <w:rFonts w:ascii="Arial" w:eastAsia="Arial Unicode MS" w:hAnsi="Arial" w:cs="Arial"/>
              </w:rPr>
              <w:t>.</w:t>
            </w:r>
            <w:r>
              <w:rPr>
                <w:rFonts w:ascii="Arial" w:eastAsia="Arial Unicode MS" w:hAnsi="Arial" w:cs="Arial"/>
              </w:rPr>
              <w:t>09</w:t>
            </w:r>
            <w:r w:rsidRPr="00E5781E">
              <w:rPr>
                <w:rFonts w:ascii="Arial" w:eastAsia="Arial Unicode MS" w:hAnsi="Arial" w:cs="Arial"/>
              </w:rPr>
              <w:t>.</w:t>
            </w:r>
            <w:r>
              <w:rPr>
                <w:rFonts w:ascii="Arial" w:eastAsia="Arial Unicode MS" w:hAnsi="Arial" w:cs="Arial"/>
              </w:rPr>
              <w:t>2015</w:t>
            </w:r>
          </w:p>
        </w:tc>
        <w:tc>
          <w:tcPr>
            <w:tcW w:w="850" w:type="dxa"/>
            <w:vAlign w:val="bottom"/>
          </w:tcPr>
          <w:p w:rsidR="00B84559" w:rsidRPr="00E5781E" w:rsidRDefault="00B84559" w:rsidP="00596839">
            <w:pPr>
              <w:jc w:val="center"/>
              <w:rPr>
                <w:rFonts w:ascii="Arial" w:eastAsia="Arial Unicode MS" w:hAnsi="Arial" w:cs="Arial"/>
              </w:rPr>
            </w:pPr>
            <w:r w:rsidRPr="00E5781E">
              <w:rPr>
                <w:rFonts w:ascii="Arial" w:eastAsia="Arial Unicode MS" w:hAnsi="Arial" w:cs="Arial"/>
              </w:rPr>
              <w:t>2</w:t>
            </w:r>
          </w:p>
        </w:tc>
        <w:tc>
          <w:tcPr>
            <w:tcW w:w="1560" w:type="dxa"/>
            <w:vAlign w:val="bottom"/>
          </w:tcPr>
          <w:p w:rsidR="00B84559" w:rsidRPr="00E5781E" w:rsidRDefault="00B84559" w:rsidP="00596839">
            <w:pPr>
              <w:jc w:val="center"/>
              <w:rPr>
                <w:rFonts w:ascii="Arial" w:eastAsia="Arial Unicode MS" w:hAnsi="Arial" w:cs="Arial"/>
              </w:rPr>
            </w:pPr>
            <w:r w:rsidRPr="00E5781E">
              <w:rPr>
                <w:rFonts w:ascii="Arial" w:eastAsia="Arial Unicode MS" w:hAnsi="Arial" w:cs="Arial"/>
              </w:rPr>
              <w:t>2</w:t>
            </w:r>
          </w:p>
        </w:tc>
        <w:tc>
          <w:tcPr>
            <w:tcW w:w="850" w:type="dxa"/>
            <w:vAlign w:val="bottom"/>
          </w:tcPr>
          <w:p w:rsidR="00B84559" w:rsidRPr="00E5781E" w:rsidRDefault="00B84559" w:rsidP="00596839">
            <w:pPr>
              <w:jc w:val="center"/>
              <w:rPr>
                <w:rFonts w:ascii="Arial" w:eastAsia="Arial Unicode MS" w:hAnsi="Arial" w:cs="Arial"/>
              </w:rPr>
            </w:pPr>
            <w:r>
              <w:rPr>
                <w:rFonts w:ascii="Arial" w:eastAsia="Arial Unicode MS" w:hAnsi="Arial" w:cs="Arial"/>
              </w:rPr>
              <w:t>10</w:t>
            </w:r>
          </w:p>
        </w:tc>
      </w:tr>
      <w:tr w:rsidR="00B84559" w:rsidRPr="00CF6025" w:rsidTr="00596839">
        <w:trPr>
          <w:trHeight w:val="284"/>
        </w:trPr>
        <w:tc>
          <w:tcPr>
            <w:tcW w:w="1620" w:type="dxa"/>
          </w:tcPr>
          <w:p w:rsidR="00B84559" w:rsidRPr="00E5781E" w:rsidRDefault="00B84559" w:rsidP="00596839">
            <w:pPr>
              <w:tabs>
                <w:tab w:val="left" w:pos="1119"/>
              </w:tabs>
              <w:jc w:val="center"/>
              <w:rPr>
                <w:rFonts w:ascii="Arial" w:hAnsi="Arial" w:cs="Arial"/>
                <w:sz w:val="22"/>
                <w:szCs w:val="22"/>
              </w:rPr>
            </w:pPr>
            <w:r w:rsidRPr="00E5781E">
              <w:rPr>
                <w:rFonts w:ascii="Arial" w:hAnsi="Arial" w:cs="Arial"/>
                <w:sz w:val="22"/>
                <w:szCs w:val="22"/>
              </w:rPr>
              <w:t>Seimeni</w:t>
            </w:r>
          </w:p>
        </w:tc>
        <w:tc>
          <w:tcPr>
            <w:tcW w:w="1140" w:type="dxa"/>
            <w:vAlign w:val="bottom"/>
          </w:tcPr>
          <w:p w:rsidR="00B84559" w:rsidRPr="00E5781E" w:rsidRDefault="00B84559" w:rsidP="00596839">
            <w:pPr>
              <w:jc w:val="center"/>
              <w:rPr>
                <w:rFonts w:ascii="Arial" w:eastAsia="Arial Unicode MS" w:hAnsi="Arial" w:cs="Arial"/>
              </w:rPr>
            </w:pPr>
            <w:r>
              <w:rPr>
                <w:rFonts w:ascii="Arial" w:eastAsia="Arial Unicode MS" w:hAnsi="Arial" w:cs="Arial"/>
              </w:rPr>
              <w:t>326.50</w:t>
            </w:r>
          </w:p>
        </w:tc>
        <w:tc>
          <w:tcPr>
            <w:tcW w:w="1140" w:type="dxa"/>
            <w:vAlign w:val="bottom"/>
          </w:tcPr>
          <w:p w:rsidR="00B84559" w:rsidRPr="00E5781E" w:rsidRDefault="00B84559" w:rsidP="00596839">
            <w:pPr>
              <w:jc w:val="center"/>
              <w:rPr>
                <w:rFonts w:ascii="Arial" w:eastAsia="Arial Unicode MS" w:hAnsi="Arial" w:cs="Arial"/>
              </w:rPr>
            </w:pPr>
            <w:r>
              <w:rPr>
                <w:rFonts w:ascii="Arial" w:eastAsia="Arial Unicode MS" w:hAnsi="Arial" w:cs="Arial"/>
              </w:rPr>
              <w:t>350.46</w:t>
            </w:r>
          </w:p>
        </w:tc>
        <w:tc>
          <w:tcPr>
            <w:tcW w:w="1140" w:type="dxa"/>
            <w:vAlign w:val="bottom"/>
          </w:tcPr>
          <w:p w:rsidR="00B84559" w:rsidRPr="00E5781E" w:rsidRDefault="00B84559" w:rsidP="00596839">
            <w:pPr>
              <w:jc w:val="center"/>
              <w:rPr>
                <w:rFonts w:ascii="Arial" w:eastAsia="Arial Unicode MS" w:hAnsi="Arial" w:cs="Arial"/>
              </w:rPr>
            </w:pPr>
            <w:r>
              <w:rPr>
                <w:rFonts w:ascii="Arial" w:eastAsia="Arial Unicode MS" w:hAnsi="Arial" w:cs="Arial"/>
              </w:rPr>
              <w:t>374.41</w:t>
            </w:r>
          </w:p>
        </w:tc>
        <w:tc>
          <w:tcPr>
            <w:tcW w:w="1481" w:type="dxa"/>
            <w:vAlign w:val="bottom"/>
          </w:tcPr>
          <w:p w:rsidR="00B84559" w:rsidRPr="00E5781E" w:rsidRDefault="00B84559" w:rsidP="00596839">
            <w:pPr>
              <w:jc w:val="center"/>
              <w:rPr>
                <w:rFonts w:ascii="Arial" w:eastAsia="Arial Unicode MS" w:hAnsi="Arial" w:cs="Arial"/>
              </w:rPr>
            </w:pPr>
            <w:r>
              <w:rPr>
                <w:rFonts w:ascii="Arial" w:eastAsia="Arial Unicode MS" w:hAnsi="Arial" w:cs="Arial"/>
              </w:rPr>
              <w:t>20.09</w:t>
            </w:r>
            <w:r w:rsidRPr="00E5781E">
              <w:rPr>
                <w:rFonts w:ascii="Arial" w:eastAsia="Arial Unicode MS" w:hAnsi="Arial" w:cs="Arial"/>
              </w:rPr>
              <w:t>.</w:t>
            </w:r>
            <w:r>
              <w:rPr>
                <w:rFonts w:ascii="Arial" w:eastAsia="Arial Unicode MS" w:hAnsi="Arial" w:cs="Arial"/>
              </w:rPr>
              <w:t>2015</w:t>
            </w:r>
          </w:p>
        </w:tc>
        <w:tc>
          <w:tcPr>
            <w:tcW w:w="850" w:type="dxa"/>
            <w:vAlign w:val="bottom"/>
          </w:tcPr>
          <w:p w:rsidR="00B84559" w:rsidRPr="00E5781E" w:rsidRDefault="00B84559" w:rsidP="00596839">
            <w:pPr>
              <w:jc w:val="center"/>
              <w:rPr>
                <w:rFonts w:ascii="Arial" w:eastAsia="Arial Unicode MS" w:hAnsi="Arial" w:cs="Arial"/>
              </w:rPr>
            </w:pPr>
            <w:r w:rsidRPr="00E5781E">
              <w:rPr>
                <w:rFonts w:ascii="Arial" w:eastAsia="Arial Unicode MS" w:hAnsi="Arial" w:cs="Arial"/>
              </w:rPr>
              <w:t>2</w:t>
            </w:r>
          </w:p>
        </w:tc>
        <w:tc>
          <w:tcPr>
            <w:tcW w:w="1560" w:type="dxa"/>
            <w:vAlign w:val="bottom"/>
          </w:tcPr>
          <w:p w:rsidR="00B84559" w:rsidRPr="00E5781E" w:rsidRDefault="00B84559" w:rsidP="00596839">
            <w:pPr>
              <w:jc w:val="center"/>
              <w:rPr>
                <w:rFonts w:ascii="Arial" w:eastAsia="Arial Unicode MS" w:hAnsi="Arial" w:cs="Arial"/>
              </w:rPr>
            </w:pPr>
            <w:r w:rsidRPr="00E5781E">
              <w:rPr>
                <w:rFonts w:ascii="Arial" w:eastAsia="Arial Unicode MS" w:hAnsi="Arial" w:cs="Arial"/>
              </w:rPr>
              <w:t>2</w:t>
            </w:r>
          </w:p>
        </w:tc>
        <w:tc>
          <w:tcPr>
            <w:tcW w:w="850" w:type="dxa"/>
            <w:vAlign w:val="bottom"/>
          </w:tcPr>
          <w:p w:rsidR="00B84559" w:rsidRPr="00E5781E" w:rsidRDefault="00B84559" w:rsidP="00596839">
            <w:pPr>
              <w:jc w:val="center"/>
              <w:rPr>
                <w:rFonts w:ascii="Arial" w:eastAsia="Arial Unicode MS" w:hAnsi="Arial" w:cs="Arial"/>
              </w:rPr>
            </w:pPr>
            <w:r>
              <w:rPr>
                <w:rFonts w:ascii="Arial" w:eastAsia="Arial Unicode MS" w:hAnsi="Arial" w:cs="Arial"/>
              </w:rPr>
              <w:t>12</w:t>
            </w:r>
            <w:r w:rsidRPr="00E5781E">
              <w:rPr>
                <w:rFonts w:ascii="Arial" w:eastAsia="Arial Unicode MS" w:hAnsi="Arial" w:cs="Arial"/>
              </w:rPr>
              <w:t>-1</w:t>
            </w:r>
            <w:r>
              <w:rPr>
                <w:rFonts w:ascii="Arial" w:eastAsia="Arial Unicode MS" w:hAnsi="Arial" w:cs="Arial"/>
              </w:rPr>
              <w:t>3</w:t>
            </w:r>
          </w:p>
        </w:tc>
      </w:tr>
      <w:tr w:rsidR="00B84559" w:rsidRPr="00CF6025" w:rsidTr="00596839">
        <w:trPr>
          <w:trHeight w:val="284"/>
        </w:trPr>
        <w:tc>
          <w:tcPr>
            <w:tcW w:w="1620" w:type="dxa"/>
          </w:tcPr>
          <w:p w:rsidR="00B84559" w:rsidRPr="00E5781E" w:rsidRDefault="00B84559" w:rsidP="00596839">
            <w:pPr>
              <w:tabs>
                <w:tab w:val="left" w:pos="1119"/>
              </w:tabs>
              <w:jc w:val="center"/>
              <w:rPr>
                <w:rFonts w:ascii="Arial" w:hAnsi="Arial" w:cs="Arial"/>
                <w:sz w:val="22"/>
                <w:szCs w:val="22"/>
              </w:rPr>
            </w:pPr>
            <w:r w:rsidRPr="00E5781E">
              <w:rPr>
                <w:rFonts w:ascii="Arial" w:hAnsi="Arial" w:cs="Arial"/>
                <w:sz w:val="22"/>
                <w:szCs w:val="22"/>
              </w:rPr>
              <w:t>Mircea Vodă</w:t>
            </w:r>
          </w:p>
        </w:tc>
        <w:tc>
          <w:tcPr>
            <w:tcW w:w="1140" w:type="dxa"/>
            <w:vAlign w:val="bottom"/>
          </w:tcPr>
          <w:p w:rsidR="00B84559" w:rsidRPr="00E5781E" w:rsidRDefault="00B84559" w:rsidP="00596839">
            <w:pPr>
              <w:jc w:val="center"/>
              <w:rPr>
                <w:rFonts w:ascii="Arial" w:eastAsia="Arial Unicode MS" w:hAnsi="Arial" w:cs="Arial"/>
              </w:rPr>
            </w:pPr>
            <w:r>
              <w:rPr>
                <w:rFonts w:ascii="Arial" w:eastAsia="Arial Unicode MS" w:hAnsi="Arial" w:cs="Arial"/>
              </w:rPr>
              <w:t>447.06</w:t>
            </w:r>
          </w:p>
        </w:tc>
        <w:tc>
          <w:tcPr>
            <w:tcW w:w="1140" w:type="dxa"/>
            <w:vAlign w:val="bottom"/>
          </w:tcPr>
          <w:p w:rsidR="00B84559" w:rsidRPr="00E5781E" w:rsidRDefault="00B84559" w:rsidP="00596839">
            <w:pPr>
              <w:jc w:val="center"/>
              <w:rPr>
                <w:rFonts w:ascii="Arial" w:eastAsia="Arial Unicode MS" w:hAnsi="Arial" w:cs="Arial"/>
              </w:rPr>
            </w:pPr>
            <w:r>
              <w:rPr>
                <w:rFonts w:ascii="Arial" w:eastAsia="Arial Unicode MS" w:hAnsi="Arial" w:cs="Arial"/>
              </w:rPr>
              <w:t>457.09</w:t>
            </w:r>
          </w:p>
        </w:tc>
        <w:tc>
          <w:tcPr>
            <w:tcW w:w="1140" w:type="dxa"/>
            <w:vAlign w:val="bottom"/>
          </w:tcPr>
          <w:p w:rsidR="00B84559" w:rsidRPr="00E5781E" w:rsidRDefault="00B84559" w:rsidP="00596839">
            <w:pPr>
              <w:jc w:val="center"/>
              <w:rPr>
                <w:rFonts w:ascii="Arial" w:eastAsia="Arial Unicode MS" w:hAnsi="Arial" w:cs="Arial"/>
              </w:rPr>
            </w:pPr>
            <w:r>
              <w:rPr>
                <w:rFonts w:ascii="Arial" w:eastAsia="Arial Unicode MS" w:hAnsi="Arial" w:cs="Arial"/>
              </w:rPr>
              <w:t>467.12</w:t>
            </w:r>
          </w:p>
        </w:tc>
        <w:tc>
          <w:tcPr>
            <w:tcW w:w="1481" w:type="dxa"/>
            <w:vAlign w:val="bottom"/>
          </w:tcPr>
          <w:p w:rsidR="00B84559" w:rsidRPr="00E5781E" w:rsidRDefault="00B84559" w:rsidP="00596839">
            <w:pPr>
              <w:jc w:val="center"/>
              <w:rPr>
                <w:rFonts w:ascii="Arial" w:eastAsia="Arial Unicode MS" w:hAnsi="Arial" w:cs="Arial"/>
              </w:rPr>
            </w:pPr>
            <w:r>
              <w:rPr>
                <w:rFonts w:ascii="Arial" w:eastAsia="Arial Unicode MS" w:hAnsi="Arial" w:cs="Arial"/>
              </w:rPr>
              <w:t>01</w:t>
            </w:r>
            <w:r w:rsidRPr="00E5781E">
              <w:rPr>
                <w:rFonts w:ascii="Arial" w:eastAsia="Arial Unicode MS" w:hAnsi="Arial" w:cs="Arial"/>
              </w:rPr>
              <w:t>.0</w:t>
            </w:r>
            <w:r>
              <w:rPr>
                <w:rFonts w:ascii="Arial" w:eastAsia="Arial Unicode MS" w:hAnsi="Arial" w:cs="Arial"/>
              </w:rPr>
              <w:t>9</w:t>
            </w:r>
            <w:r w:rsidRPr="00E5781E">
              <w:rPr>
                <w:rFonts w:ascii="Arial" w:eastAsia="Arial Unicode MS" w:hAnsi="Arial" w:cs="Arial"/>
              </w:rPr>
              <w:t>.</w:t>
            </w:r>
            <w:r>
              <w:rPr>
                <w:rFonts w:ascii="Arial" w:eastAsia="Arial Unicode MS" w:hAnsi="Arial" w:cs="Arial"/>
              </w:rPr>
              <w:t>2015</w:t>
            </w:r>
          </w:p>
        </w:tc>
        <w:tc>
          <w:tcPr>
            <w:tcW w:w="850" w:type="dxa"/>
            <w:vAlign w:val="bottom"/>
          </w:tcPr>
          <w:p w:rsidR="00B84559" w:rsidRPr="00E5781E" w:rsidRDefault="00B84559" w:rsidP="00596839">
            <w:pPr>
              <w:jc w:val="center"/>
              <w:rPr>
                <w:rFonts w:ascii="Arial" w:eastAsia="Arial Unicode MS" w:hAnsi="Arial" w:cs="Arial"/>
              </w:rPr>
            </w:pPr>
            <w:r w:rsidRPr="00E5781E">
              <w:rPr>
                <w:rFonts w:ascii="Arial" w:eastAsia="Arial Unicode MS" w:hAnsi="Arial" w:cs="Arial"/>
              </w:rPr>
              <w:t>2</w:t>
            </w:r>
          </w:p>
        </w:tc>
        <w:tc>
          <w:tcPr>
            <w:tcW w:w="1560" w:type="dxa"/>
            <w:vAlign w:val="bottom"/>
          </w:tcPr>
          <w:p w:rsidR="00B84559" w:rsidRPr="00E5781E" w:rsidRDefault="00B84559" w:rsidP="00596839">
            <w:pPr>
              <w:jc w:val="center"/>
              <w:rPr>
                <w:rFonts w:ascii="Arial" w:eastAsia="Arial Unicode MS" w:hAnsi="Arial" w:cs="Arial"/>
              </w:rPr>
            </w:pPr>
            <w:r w:rsidRPr="00E5781E">
              <w:rPr>
                <w:rFonts w:ascii="Arial" w:eastAsia="Arial Unicode MS" w:hAnsi="Arial" w:cs="Arial"/>
              </w:rPr>
              <w:t>2</w:t>
            </w:r>
          </w:p>
        </w:tc>
        <w:tc>
          <w:tcPr>
            <w:tcW w:w="850" w:type="dxa"/>
            <w:vAlign w:val="bottom"/>
          </w:tcPr>
          <w:p w:rsidR="00B84559" w:rsidRPr="00E5781E" w:rsidRDefault="00B84559" w:rsidP="00596839">
            <w:pPr>
              <w:jc w:val="center"/>
              <w:rPr>
                <w:rFonts w:ascii="Arial" w:eastAsia="Arial Unicode MS" w:hAnsi="Arial" w:cs="Arial"/>
              </w:rPr>
            </w:pPr>
            <w:r>
              <w:rPr>
                <w:rFonts w:ascii="Arial" w:eastAsia="Arial Unicode MS" w:hAnsi="Arial" w:cs="Arial"/>
              </w:rPr>
              <w:t>10-11</w:t>
            </w:r>
          </w:p>
        </w:tc>
      </w:tr>
      <w:tr w:rsidR="00B84559" w:rsidRPr="00CF6025" w:rsidTr="00596839">
        <w:trPr>
          <w:trHeight w:val="284"/>
        </w:trPr>
        <w:tc>
          <w:tcPr>
            <w:tcW w:w="1620" w:type="dxa"/>
          </w:tcPr>
          <w:p w:rsidR="00B84559" w:rsidRPr="00E5781E" w:rsidRDefault="00B84559" w:rsidP="00596839">
            <w:pPr>
              <w:tabs>
                <w:tab w:val="left" w:pos="1119"/>
              </w:tabs>
              <w:jc w:val="center"/>
              <w:rPr>
                <w:rFonts w:ascii="Arial" w:hAnsi="Arial" w:cs="Arial"/>
                <w:sz w:val="22"/>
                <w:szCs w:val="22"/>
              </w:rPr>
            </w:pPr>
            <w:r w:rsidRPr="00E5781E">
              <w:rPr>
                <w:rFonts w:ascii="Arial" w:hAnsi="Arial" w:cs="Arial"/>
                <w:sz w:val="22"/>
                <w:szCs w:val="22"/>
              </w:rPr>
              <w:t>Tortomanu</w:t>
            </w:r>
          </w:p>
        </w:tc>
        <w:tc>
          <w:tcPr>
            <w:tcW w:w="1140" w:type="dxa"/>
            <w:vAlign w:val="bottom"/>
          </w:tcPr>
          <w:p w:rsidR="00B84559" w:rsidRPr="00E5781E" w:rsidRDefault="00B84559" w:rsidP="00596839">
            <w:pPr>
              <w:jc w:val="center"/>
              <w:rPr>
                <w:rFonts w:ascii="Arial" w:eastAsia="Arial Unicode MS" w:hAnsi="Arial" w:cs="Arial"/>
              </w:rPr>
            </w:pPr>
            <w:r>
              <w:rPr>
                <w:rFonts w:ascii="Arial" w:eastAsia="Arial Unicode MS" w:hAnsi="Arial" w:cs="Arial"/>
              </w:rPr>
              <w:t>346.47</w:t>
            </w:r>
          </w:p>
        </w:tc>
        <w:tc>
          <w:tcPr>
            <w:tcW w:w="1140" w:type="dxa"/>
            <w:vAlign w:val="bottom"/>
          </w:tcPr>
          <w:p w:rsidR="00B84559" w:rsidRPr="00E5781E" w:rsidRDefault="00B84559" w:rsidP="00596839">
            <w:pPr>
              <w:jc w:val="center"/>
              <w:rPr>
                <w:rFonts w:ascii="Arial" w:eastAsia="Arial Unicode MS" w:hAnsi="Arial" w:cs="Arial"/>
              </w:rPr>
            </w:pPr>
            <w:r>
              <w:rPr>
                <w:rFonts w:ascii="Arial" w:eastAsia="Arial Unicode MS" w:hAnsi="Arial" w:cs="Arial"/>
              </w:rPr>
              <w:t>420.70</w:t>
            </w:r>
          </w:p>
        </w:tc>
        <w:tc>
          <w:tcPr>
            <w:tcW w:w="1140" w:type="dxa"/>
            <w:vAlign w:val="bottom"/>
          </w:tcPr>
          <w:p w:rsidR="00B84559" w:rsidRPr="00E5781E" w:rsidRDefault="00B84559" w:rsidP="00596839">
            <w:pPr>
              <w:jc w:val="center"/>
              <w:rPr>
                <w:rFonts w:ascii="Arial" w:eastAsia="Arial Unicode MS" w:hAnsi="Arial" w:cs="Arial"/>
              </w:rPr>
            </w:pPr>
            <w:r>
              <w:rPr>
                <w:rFonts w:ascii="Arial" w:eastAsia="Arial Unicode MS" w:hAnsi="Arial" w:cs="Arial"/>
              </w:rPr>
              <w:t>494.93</w:t>
            </w:r>
          </w:p>
        </w:tc>
        <w:tc>
          <w:tcPr>
            <w:tcW w:w="1481" w:type="dxa"/>
            <w:vAlign w:val="bottom"/>
          </w:tcPr>
          <w:p w:rsidR="00B84559" w:rsidRPr="00E5781E" w:rsidRDefault="00B84559" w:rsidP="00596839">
            <w:pPr>
              <w:jc w:val="center"/>
              <w:rPr>
                <w:rFonts w:ascii="Arial" w:eastAsia="Arial Unicode MS" w:hAnsi="Arial" w:cs="Arial"/>
              </w:rPr>
            </w:pPr>
            <w:r>
              <w:rPr>
                <w:rFonts w:ascii="Arial" w:eastAsia="Arial Unicode MS" w:hAnsi="Arial" w:cs="Arial"/>
              </w:rPr>
              <w:t>01</w:t>
            </w:r>
            <w:r w:rsidRPr="00E5781E">
              <w:rPr>
                <w:rFonts w:ascii="Arial" w:eastAsia="Arial Unicode MS" w:hAnsi="Arial" w:cs="Arial"/>
              </w:rPr>
              <w:t>.0</w:t>
            </w:r>
            <w:r>
              <w:rPr>
                <w:rFonts w:ascii="Arial" w:eastAsia="Arial Unicode MS" w:hAnsi="Arial" w:cs="Arial"/>
              </w:rPr>
              <w:t>9</w:t>
            </w:r>
            <w:r w:rsidRPr="00E5781E">
              <w:rPr>
                <w:rFonts w:ascii="Arial" w:eastAsia="Arial Unicode MS" w:hAnsi="Arial" w:cs="Arial"/>
              </w:rPr>
              <w:t>.</w:t>
            </w:r>
            <w:r>
              <w:rPr>
                <w:rFonts w:ascii="Arial" w:eastAsia="Arial Unicode MS" w:hAnsi="Arial" w:cs="Arial"/>
              </w:rPr>
              <w:t>2015</w:t>
            </w:r>
          </w:p>
        </w:tc>
        <w:tc>
          <w:tcPr>
            <w:tcW w:w="850" w:type="dxa"/>
            <w:vAlign w:val="bottom"/>
          </w:tcPr>
          <w:p w:rsidR="00B84559" w:rsidRPr="00E5781E" w:rsidRDefault="00B84559" w:rsidP="00596839">
            <w:pPr>
              <w:jc w:val="center"/>
              <w:rPr>
                <w:rFonts w:ascii="Arial" w:eastAsia="Arial Unicode MS" w:hAnsi="Arial" w:cs="Arial"/>
              </w:rPr>
            </w:pPr>
            <w:r w:rsidRPr="00E5781E">
              <w:rPr>
                <w:rFonts w:ascii="Arial" w:eastAsia="Arial Unicode MS" w:hAnsi="Arial" w:cs="Arial"/>
              </w:rPr>
              <w:t>2</w:t>
            </w:r>
          </w:p>
        </w:tc>
        <w:tc>
          <w:tcPr>
            <w:tcW w:w="1560" w:type="dxa"/>
            <w:vAlign w:val="bottom"/>
          </w:tcPr>
          <w:p w:rsidR="00B84559" w:rsidRPr="00E5781E" w:rsidRDefault="00B84559" w:rsidP="00596839">
            <w:pPr>
              <w:jc w:val="center"/>
              <w:rPr>
                <w:rFonts w:ascii="Arial" w:eastAsia="Arial Unicode MS" w:hAnsi="Arial" w:cs="Arial"/>
              </w:rPr>
            </w:pPr>
            <w:r w:rsidRPr="00E5781E">
              <w:rPr>
                <w:rFonts w:ascii="Arial" w:eastAsia="Arial Unicode MS" w:hAnsi="Arial" w:cs="Arial"/>
              </w:rPr>
              <w:t>2</w:t>
            </w:r>
          </w:p>
        </w:tc>
        <w:tc>
          <w:tcPr>
            <w:tcW w:w="850" w:type="dxa"/>
            <w:vAlign w:val="bottom"/>
          </w:tcPr>
          <w:p w:rsidR="00B84559" w:rsidRPr="00E5781E" w:rsidRDefault="00B84559" w:rsidP="00596839">
            <w:pPr>
              <w:jc w:val="center"/>
              <w:rPr>
                <w:rFonts w:ascii="Arial" w:eastAsia="Arial Unicode MS" w:hAnsi="Arial" w:cs="Arial"/>
              </w:rPr>
            </w:pPr>
            <w:r>
              <w:rPr>
                <w:rFonts w:ascii="Arial" w:eastAsia="Arial Unicode MS" w:hAnsi="Arial" w:cs="Arial"/>
              </w:rPr>
              <w:t>10-13</w:t>
            </w:r>
          </w:p>
        </w:tc>
      </w:tr>
      <w:tr w:rsidR="00B84559" w:rsidRPr="00CF6025" w:rsidTr="00596839">
        <w:trPr>
          <w:trHeight w:val="284"/>
        </w:trPr>
        <w:tc>
          <w:tcPr>
            <w:tcW w:w="1620" w:type="dxa"/>
          </w:tcPr>
          <w:p w:rsidR="00B84559" w:rsidRPr="00E5781E" w:rsidRDefault="00B84559" w:rsidP="00596839">
            <w:pPr>
              <w:tabs>
                <w:tab w:val="left" w:pos="1119"/>
              </w:tabs>
              <w:jc w:val="center"/>
              <w:rPr>
                <w:rFonts w:ascii="Arial" w:hAnsi="Arial" w:cs="Arial"/>
                <w:sz w:val="22"/>
                <w:szCs w:val="22"/>
              </w:rPr>
            </w:pPr>
            <w:r w:rsidRPr="00E5781E">
              <w:rPr>
                <w:rFonts w:ascii="Arial" w:hAnsi="Arial" w:cs="Arial"/>
                <w:sz w:val="22"/>
                <w:szCs w:val="22"/>
              </w:rPr>
              <w:t>Medgidia</w:t>
            </w:r>
          </w:p>
        </w:tc>
        <w:tc>
          <w:tcPr>
            <w:tcW w:w="1140" w:type="dxa"/>
            <w:vAlign w:val="bottom"/>
          </w:tcPr>
          <w:p w:rsidR="00B84559" w:rsidRPr="00E5781E" w:rsidRDefault="00B84559" w:rsidP="00596839">
            <w:pPr>
              <w:jc w:val="center"/>
              <w:rPr>
                <w:rFonts w:ascii="Arial" w:eastAsia="Arial Unicode MS" w:hAnsi="Arial" w:cs="Arial"/>
              </w:rPr>
            </w:pPr>
            <w:r>
              <w:rPr>
                <w:rFonts w:ascii="Arial" w:eastAsia="Arial Unicode MS" w:hAnsi="Arial" w:cs="Arial"/>
              </w:rPr>
              <w:t>469.41</w:t>
            </w:r>
          </w:p>
        </w:tc>
        <w:tc>
          <w:tcPr>
            <w:tcW w:w="1140" w:type="dxa"/>
            <w:vAlign w:val="bottom"/>
          </w:tcPr>
          <w:p w:rsidR="00B84559" w:rsidRPr="00E5781E" w:rsidRDefault="00B84559" w:rsidP="00596839">
            <w:pPr>
              <w:jc w:val="center"/>
              <w:rPr>
                <w:rFonts w:ascii="Arial" w:eastAsia="Arial Unicode MS" w:hAnsi="Arial" w:cs="Arial"/>
              </w:rPr>
            </w:pPr>
            <w:r>
              <w:rPr>
                <w:rFonts w:ascii="Arial" w:eastAsia="Arial Unicode MS" w:hAnsi="Arial" w:cs="Arial"/>
              </w:rPr>
              <w:t>486.73</w:t>
            </w:r>
          </w:p>
        </w:tc>
        <w:tc>
          <w:tcPr>
            <w:tcW w:w="1140" w:type="dxa"/>
            <w:vAlign w:val="bottom"/>
          </w:tcPr>
          <w:p w:rsidR="00B84559" w:rsidRPr="00E5781E" w:rsidRDefault="00B84559" w:rsidP="00596839">
            <w:pPr>
              <w:jc w:val="center"/>
              <w:rPr>
                <w:rFonts w:ascii="Arial" w:eastAsia="Arial Unicode MS" w:hAnsi="Arial" w:cs="Arial"/>
              </w:rPr>
            </w:pPr>
            <w:r>
              <w:rPr>
                <w:rFonts w:ascii="Arial" w:eastAsia="Arial Unicode MS" w:hAnsi="Arial" w:cs="Arial"/>
              </w:rPr>
              <w:t>506.05</w:t>
            </w:r>
          </w:p>
        </w:tc>
        <w:tc>
          <w:tcPr>
            <w:tcW w:w="1481" w:type="dxa"/>
            <w:vAlign w:val="bottom"/>
          </w:tcPr>
          <w:p w:rsidR="00B84559" w:rsidRPr="00E5781E" w:rsidRDefault="00B84559" w:rsidP="00596839">
            <w:pPr>
              <w:jc w:val="center"/>
              <w:rPr>
                <w:rFonts w:ascii="Arial" w:eastAsia="Arial Unicode MS" w:hAnsi="Arial" w:cs="Arial"/>
              </w:rPr>
            </w:pPr>
            <w:r>
              <w:rPr>
                <w:rFonts w:ascii="Arial" w:eastAsia="Arial Unicode MS" w:hAnsi="Arial" w:cs="Arial"/>
              </w:rPr>
              <w:t>01.09</w:t>
            </w:r>
            <w:r w:rsidRPr="00E5781E">
              <w:rPr>
                <w:rFonts w:ascii="Arial" w:eastAsia="Arial Unicode MS" w:hAnsi="Arial" w:cs="Arial"/>
              </w:rPr>
              <w:t>.</w:t>
            </w:r>
            <w:r>
              <w:rPr>
                <w:rFonts w:ascii="Arial" w:eastAsia="Arial Unicode MS" w:hAnsi="Arial" w:cs="Arial"/>
              </w:rPr>
              <w:t>2015</w:t>
            </w:r>
          </w:p>
        </w:tc>
        <w:tc>
          <w:tcPr>
            <w:tcW w:w="850" w:type="dxa"/>
            <w:vAlign w:val="bottom"/>
          </w:tcPr>
          <w:p w:rsidR="00B84559" w:rsidRPr="00E5781E" w:rsidRDefault="00B84559" w:rsidP="00596839">
            <w:pPr>
              <w:jc w:val="center"/>
              <w:rPr>
                <w:rFonts w:ascii="Arial" w:eastAsia="Arial Unicode MS" w:hAnsi="Arial" w:cs="Arial"/>
              </w:rPr>
            </w:pPr>
            <w:r w:rsidRPr="00E5781E">
              <w:rPr>
                <w:rFonts w:ascii="Arial" w:eastAsia="Arial Unicode MS" w:hAnsi="Arial" w:cs="Arial"/>
              </w:rPr>
              <w:t>2</w:t>
            </w:r>
          </w:p>
        </w:tc>
        <w:tc>
          <w:tcPr>
            <w:tcW w:w="1560" w:type="dxa"/>
            <w:vAlign w:val="bottom"/>
          </w:tcPr>
          <w:p w:rsidR="00B84559" w:rsidRPr="00E5781E" w:rsidRDefault="00B84559" w:rsidP="00596839">
            <w:pPr>
              <w:jc w:val="center"/>
              <w:rPr>
                <w:rFonts w:ascii="Arial" w:eastAsia="Arial Unicode MS" w:hAnsi="Arial" w:cs="Arial"/>
              </w:rPr>
            </w:pPr>
            <w:r w:rsidRPr="00E5781E">
              <w:rPr>
                <w:rFonts w:ascii="Arial" w:eastAsia="Arial Unicode MS" w:hAnsi="Arial" w:cs="Arial"/>
              </w:rPr>
              <w:t>2</w:t>
            </w:r>
          </w:p>
        </w:tc>
        <w:tc>
          <w:tcPr>
            <w:tcW w:w="850" w:type="dxa"/>
            <w:vAlign w:val="bottom"/>
          </w:tcPr>
          <w:p w:rsidR="00B84559" w:rsidRPr="00E5781E" w:rsidRDefault="00B84559" w:rsidP="00596839">
            <w:pPr>
              <w:jc w:val="center"/>
              <w:rPr>
                <w:rFonts w:ascii="Arial" w:eastAsia="Arial Unicode MS" w:hAnsi="Arial" w:cs="Arial"/>
              </w:rPr>
            </w:pPr>
            <w:r>
              <w:rPr>
                <w:rFonts w:ascii="Arial" w:eastAsia="Arial Unicode MS" w:hAnsi="Arial" w:cs="Arial"/>
              </w:rPr>
              <w:t>10</w:t>
            </w:r>
          </w:p>
        </w:tc>
      </w:tr>
      <w:tr w:rsidR="00B84559" w:rsidRPr="00CF6025" w:rsidTr="00596839">
        <w:trPr>
          <w:trHeight w:val="284"/>
        </w:trPr>
        <w:tc>
          <w:tcPr>
            <w:tcW w:w="1620" w:type="dxa"/>
          </w:tcPr>
          <w:p w:rsidR="00B84559" w:rsidRPr="00E5781E" w:rsidRDefault="00B84559" w:rsidP="00596839">
            <w:pPr>
              <w:tabs>
                <w:tab w:val="left" w:pos="1119"/>
              </w:tabs>
              <w:jc w:val="center"/>
              <w:rPr>
                <w:rFonts w:ascii="Arial" w:hAnsi="Arial" w:cs="Arial"/>
                <w:sz w:val="22"/>
                <w:szCs w:val="22"/>
              </w:rPr>
            </w:pPr>
            <w:r w:rsidRPr="00E5781E">
              <w:rPr>
                <w:rFonts w:ascii="Arial" w:hAnsi="Arial" w:cs="Arial"/>
                <w:sz w:val="22"/>
                <w:szCs w:val="22"/>
              </w:rPr>
              <w:t>Rasova</w:t>
            </w:r>
          </w:p>
        </w:tc>
        <w:tc>
          <w:tcPr>
            <w:tcW w:w="1140" w:type="dxa"/>
            <w:vAlign w:val="bottom"/>
          </w:tcPr>
          <w:p w:rsidR="00B84559" w:rsidRPr="00E5781E" w:rsidRDefault="00B84559" w:rsidP="00596839">
            <w:pPr>
              <w:jc w:val="center"/>
              <w:rPr>
                <w:rFonts w:ascii="Arial" w:eastAsia="Arial Unicode MS" w:hAnsi="Arial" w:cs="Arial"/>
              </w:rPr>
            </w:pPr>
            <w:r>
              <w:rPr>
                <w:rFonts w:ascii="Arial" w:eastAsia="Arial Unicode MS" w:hAnsi="Arial" w:cs="Arial"/>
              </w:rPr>
              <w:t>363.24</w:t>
            </w:r>
          </w:p>
        </w:tc>
        <w:tc>
          <w:tcPr>
            <w:tcW w:w="1140" w:type="dxa"/>
            <w:vAlign w:val="bottom"/>
          </w:tcPr>
          <w:p w:rsidR="00B84559" w:rsidRPr="00E5781E" w:rsidRDefault="00B84559" w:rsidP="00596839">
            <w:pPr>
              <w:jc w:val="center"/>
              <w:rPr>
                <w:rFonts w:ascii="Arial" w:eastAsia="Arial Unicode MS" w:hAnsi="Arial" w:cs="Arial"/>
              </w:rPr>
            </w:pPr>
            <w:r>
              <w:rPr>
                <w:rFonts w:ascii="Arial" w:eastAsia="Arial Unicode MS" w:hAnsi="Arial" w:cs="Arial"/>
              </w:rPr>
              <w:t>438.95</w:t>
            </w:r>
          </w:p>
        </w:tc>
        <w:tc>
          <w:tcPr>
            <w:tcW w:w="1140" w:type="dxa"/>
            <w:vAlign w:val="bottom"/>
          </w:tcPr>
          <w:p w:rsidR="00B84559" w:rsidRPr="00E5781E" w:rsidRDefault="00B84559" w:rsidP="00596839">
            <w:pPr>
              <w:jc w:val="center"/>
              <w:rPr>
                <w:rFonts w:ascii="Arial" w:eastAsia="Arial Unicode MS" w:hAnsi="Arial" w:cs="Arial"/>
              </w:rPr>
            </w:pPr>
            <w:r>
              <w:rPr>
                <w:rFonts w:ascii="Arial" w:eastAsia="Arial Unicode MS" w:hAnsi="Arial" w:cs="Arial"/>
              </w:rPr>
              <w:t>514.66</w:t>
            </w:r>
          </w:p>
        </w:tc>
        <w:tc>
          <w:tcPr>
            <w:tcW w:w="1481" w:type="dxa"/>
            <w:vAlign w:val="bottom"/>
          </w:tcPr>
          <w:p w:rsidR="00B84559" w:rsidRPr="00E5781E" w:rsidRDefault="00B84559" w:rsidP="00596839">
            <w:pPr>
              <w:jc w:val="center"/>
              <w:rPr>
                <w:rFonts w:ascii="Arial" w:eastAsia="Arial Unicode MS" w:hAnsi="Arial" w:cs="Arial"/>
              </w:rPr>
            </w:pPr>
            <w:r>
              <w:rPr>
                <w:rFonts w:ascii="Arial" w:eastAsia="Arial Unicode MS" w:hAnsi="Arial" w:cs="Arial"/>
              </w:rPr>
              <w:t>02</w:t>
            </w:r>
            <w:r w:rsidRPr="00E5781E">
              <w:rPr>
                <w:rFonts w:ascii="Arial" w:eastAsia="Arial Unicode MS" w:hAnsi="Arial" w:cs="Arial"/>
              </w:rPr>
              <w:t>.0</w:t>
            </w:r>
            <w:r>
              <w:rPr>
                <w:rFonts w:ascii="Arial" w:eastAsia="Arial Unicode MS" w:hAnsi="Arial" w:cs="Arial"/>
              </w:rPr>
              <w:t>9</w:t>
            </w:r>
            <w:r w:rsidRPr="00E5781E">
              <w:rPr>
                <w:rFonts w:ascii="Arial" w:eastAsia="Arial Unicode MS" w:hAnsi="Arial" w:cs="Arial"/>
              </w:rPr>
              <w:t>.</w:t>
            </w:r>
            <w:r>
              <w:rPr>
                <w:rFonts w:ascii="Arial" w:eastAsia="Arial Unicode MS" w:hAnsi="Arial" w:cs="Arial"/>
              </w:rPr>
              <w:t>2015</w:t>
            </w:r>
          </w:p>
        </w:tc>
        <w:tc>
          <w:tcPr>
            <w:tcW w:w="850" w:type="dxa"/>
            <w:vAlign w:val="bottom"/>
          </w:tcPr>
          <w:p w:rsidR="00B84559" w:rsidRPr="00E5781E" w:rsidRDefault="00B84559" w:rsidP="00596839">
            <w:pPr>
              <w:jc w:val="center"/>
              <w:rPr>
                <w:rFonts w:ascii="Arial" w:eastAsia="Arial Unicode MS" w:hAnsi="Arial" w:cs="Arial"/>
              </w:rPr>
            </w:pPr>
            <w:r w:rsidRPr="00E5781E">
              <w:rPr>
                <w:rFonts w:ascii="Arial" w:eastAsia="Arial Unicode MS" w:hAnsi="Arial" w:cs="Arial"/>
              </w:rPr>
              <w:t>2</w:t>
            </w:r>
          </w:p>
        </w:tc>
        <w:tc>
          <w:tcPr>
            <w:tcW w:w="1560" w:type="dxa"/>
            <w:vAlign w:val="bottom"/>
          </w:tcPr>
          <w:p w:rsidR="00B84559" w:rsidRPr="00E5781E" w:rsidRDefault="00B84559" w:rsidP="00596839">
            <w:pPr>
              <w:jc w:val="center"/>
              <w:rPr>
                <w:rFonts w:ascii="Arial" w:eastAsia="Arial Unicode MS" w:hAnsi="Arial" w:cs="Arial"/>
              </w:rPr>
            </w:pPr>
            <w:r w:rsidRPr="00E5781E">
              <w:rPr>
                <w:rFonts w:ascii="Arial" w:eastAsia="Arial Unicode MS" w:hAnsi="Arial" w:cs="Arial"/>
              </w:rPr>
              <w:t>2</w:t>
            </w:r>
          </w:p>
        </w:tc>
        <w:tc>
          <w:tcPr>
            <w:tcW w:w="850" w:type="dxa"/>
            <w:vAlign w:val="bottom"/>
          </w:tcPr>
          <w:p w:rsidR="00B84559" w:rsidRPr="00E5781E" w:rsidRDefault="00B84559" w:rsidP="00596839">
            <w:pPr>
              <w:jc w:val="center"/>
              <w:rPr>
                <w:rFonts w:ascii="Arial" w:eastAsia="Arial Unicode MS" w:hAnsi="Arial" w:cs="Arial"/>
              </w:rPr>
            </w:pPr>
            <w:r w:rsidRPr="00E5781E">
              <w:rPr>
                <w:rFonts w:ascii="Arial" w:eastAsia="Arial Unicode MS" w:hAnsi="Arial" w:cs="Arial"/>
              </w:rPr>
              <w:t>10</w:t>
            </w:r>
            <w:r>
              <w:rPr>
                <w:rFonts w:ascii="Arial" w:eastAsia="Arial Unicode MS" w:hAnsi="Arial" w:cs="Arial"/>
              </w:rPr>
              <w:t>-12</w:t>
            </w:r>
          </w:p>
        </w:tc>
      </w:tr>
      <w:tr w:rsidR="00B84559" w:rsidRPr="00CF6025" w:rsidTr="00596839">
        <w:trPr>
          <w:trHeight w:val="284"/>
        </w:trPr>
        <w:tc>
          <w:tcPr>
            <w:tcW w:w="1620" w:type="dxa"/>
          </w:tcPr>
          <w:p w:rsidR="00B84559" w:rsidRPr="00E5781E" w:rsidRDefault="00B84559" w:rsidP="00596839">
            <w:pPr>
              <w:tabs>
                <w:tab w:val="left" w:pos="1119"/>
              </w:tabs>
              <w:jc w:val="center"/>
              <w:rPr>
                <w:rFonts w:ascii="Arial" w:hAnsi="Arial" w:cs="Arial"/>
                <w:sz w:val="22"/>
                <w:szCs w:val="22"/>
              </w:rPr>
            </w:pPr>
            <w:r w:rsidRPr="00E5781E">
              <w:rPr>
                <w:rFonts w:ascii="Arial" w:hAnsi="Arial" w:cs="Arial"/>
                <w:sz w:val="22"/>
                <w:szCs w:val="22"/>
              </w:rPr>
              <w:t>Ecluză</w:t>
            </w:r>
          </w:p>
        </w:tc>
        <w:tc>
          <w:tcPr>
            <w:tcW w:w="1140" w:type="dxa"/>
            <w:vAlign w:val="bottom"/>
          </w:tcPr>
          <w:p w:rsidR="00B84559" w:rsidRPr="00E5781E" w:rsidRDefault="00B84559" w:rsidP="00596839">
            <w:pPr>
              <w:jc w:val="center"/>
              <w:rPr>
                <w:rFonts w:ascii="Arial" w:eastAsia="Arial Unicode MS" w:hAnsi="Arial" w:cs="Arial"/>
              </w:rPr>
            </w:pPr>
            <w:r>
              <w:rPr>
                <w:rFonts w:ascii="Arial" w:eastAsia="Arial Unicode MS" w:hAnsi="Arial" w:cs="Arial"/>
              </w:rPr>
              <w:t>307.35</w:t>
            </w:r>
          </w:p>
        </w:tc>
        <w:tc>
          <w:tcPr>
            <w:tcW w:w="1140" w:type="dxa"/>
            <w:vAlign w:val="bottom"/>
          </w:tcPr>
          <w:p w:rsidR="00B84559" w:rsidRPr="00E5781E" w:rsidRDefault="00B84559" w:rsidP="00596839">
            <w:pPr>
              <w:jc w:val="center"/>
              <w:rPr>
                <w:rFonts w:ascii="Arial" w:eastAsia="Arial Unicode MS" w:hAnsi="Arial" w:cs="Arial"/>
              </w:rPr>
            </w:pPr>
            <w:r>
              <w:rPr>
                <w:rFonts w:ascii="Arial" w:eastAsia="Arial Unicode MS" w:hAnsi="Arial" w:cs="Arial"/>
              </w:rPr>
              <w:t>330.76</w:t>
            </w:r>
          </w:p>
        </w:tc>
        <w:tc>
          <w:tcPr>
            <w:tcW w:w="1140" w:type="dxa"/>
            <w:vAlign w:val="bottom"/>
          </w:tcPr>
          <w:p w:rsidR="00B84559" w:rsidRPr="00E5781E" w:rsidRDefault="00B84559" w:rsidP="00596839">
            <w:pPr>
              <w:jc w:val="center"/>
              <w:rPr>
                <w:rFonts w:ascii="Arial" w:eastAsia="Arial Unicode MS" w:hAnsi="Arial" w:cs="Arial"/>
              </w:rPr>
            </w:pPr>
            <w:r>
              <w:rPr>
                <w:rFonts w:ascii="Arial" w:eastAsia="Arial Unicode MS" w:hAnsi="Arial" w:cs="Arial"/>
              </w:rPr>
              <w:t>354.17</w:t>
            </w:r>
          </w:p>
        </w:tc>
        <w:tc>
          <w:tcPr>
            <w:tcW w:w="1481" w:type="dxa"/>
            <w:vAlign w:val="bottom"/>
          </w:tcPr>
          <w:p w:rsidR="00B84559" w:rsidRPr="00E5781E" w:rsidRDefault="00B84559" w:rsidP="00596839">
            <w:pPr>
              <w:jc w:val="center"/>
              <w:rPr>
                <w:rFonts w:ascii="Arial" w:eastAsia="Arial Unicode MS" w:hAnsi="Arial" w:cs="Arial"/>
              </w:rPr>
            </w:pPr>
            <w:r>
              <w:rPr>
                <w:rFonts w:ascii="Arial" w:eastAsia="Arial Unicode MS" w:hAnsi="Arial" w:cs="Arial"/>
              </w:rPr>
              <w:t>10</w:t>
            </w:r>
            <w:r w:rsidRPr="00E5781E">
              <w:rPr>
                <w:rFonts w:ascii="Arial" w:eastAsia="Arial Unicode MS" w:hAnsi="Arial" w:cs="Arial"/>
              </w:rPr>
              <w:t>.0</w:t>
            </w:r>
            <w:r>
              <w:rPr>
                <w:rFonts w:ascii="Arial" w:eastAsia="Arial Unicode MS" w:hAnsi="Arial" w:cs="Arial"/>
              </w:rPr>
              <w:t>9</w:t>
            </w:r>
            <w:r w:rsidRPr="00E5781E">
              <w:rPr>
                <w:rFonts w:ascii="Arial" w:eastAsia="Arial Unicode MS" w:hAnsi="Arial" w:cs="Arial"/>
              </w:rPr>
              <w:t>.</w:t>
            </w:r>
            <w:r>
              <w:rPr>
                <w:rFonts w:ascii="Arial" w:eastAsia="Arial Unicode MS" w:hAnsi="Arial" w:cs="Arial"/>
              </w:rPr>
              <w:t>2014</w:t>
            </w:r>
          </w:p>
        </w:tc>
        <w:tc>
          <w:tcPr>
            <w:tcW w:w="850" w:type="dxa"/>
            <w:vAlign w:val="bottom"/>
          </w:tcPr>
          <w:p w:rsidR="00B84559" w:rsidRPr="00E5781E" w:rsidRDefault="00B84559" w:rsidP="00596839">
            <w:pPr>
              <w:jc w:val="center"/>
              <w:rPr>
                <w:rFonts w:ascii="Arial" w:eastAsia="Arial Unicode MS" w:hAnsi="Arial" w:cs="Arial"/>
              </w:rPr>
            </w:pPr>
            <w:r w:rsidRPr="00E5781E">
              <w:rPr>
                <w:rFonts w:ascii="Arial" w:eastAsia="Arial Unicode MS" w:hAnsi="Arial" w:cs="Arial"/>
              </w:rPr>
              <w:t>2</w:t>
            </w:r>
          </w:p>
        </w:tc>
        <w:tc>
          <w:tcPr>
            <w:tcW w:w="1560" w:type="dxa"/>
            <w:vAlign w:val="bottom"/>
          </w:tcPr>
          <w:p w:rsidR="00B84559" w:rsidRPr="00E5781E" w:rsidRDefault="00B84559" w:rsidP="00596839">
            <w:pPr>
              <w:jc w:val="center"/>
              <w:rPr>
                <w:rFonts w:ascii="Arial" w:eastAsia="Arial Unicode MS" w:hAnsi="Arial" w:cs="Arial"/>
              </w:rPr>
            </w:pPr>
            <w:r w:rsidRPr="00E5781E">
              <w:rPr>
                <w:rFonts w:ascii="Arial" w:eastAsia="Arial Unicode MS" w:hAnsi="Arial" w:cs="Arial"/>
              </w:rPr>
              <w:t>2</w:t>
            </w:r>
          </w:p>
        </w:tc>
        <w:tc>
          <w:tcPr>
            <w:tcW w:w="850" w:type="dxa"/>
            <w:vAlign w:val="bottom"/>
          </w:tcPr>
          <w:p w:rsidR="00B84559" w:rsidRPr="00E5781E" w:rsidRDefault="00B84559" w:rsidP="00596839">
            <w:pPr>
              <w:jc w:val="center"/>
              <w:rPr>
                <w:rFonts w:ascii="Arial" w:eastAsia="Arial Unicode MS" w:hAnsi="Arial" w:cs="Arial"/>
              </w:rPr>
            </w:pPr>
            <w:r>
              <w:rPr>
                <w:rFonts w:ascii="Arial" w:eastAsia="Arial Unicode MS" w:hAnsi="Arial" w:cs="Arial"/>
              </w:rPr>
              <w:t>12-14</w:t>
            </w:r>
          </w:p>
        </w:tc>
      </w:tr>
      <w:tr w:rsidR="00B84559" w:rsidRPr="00CF6025" w:rsidTr="00596839">
        <w:trPr>
          <w:trHeight w:val="284"/>
        </w:trPr>
        <w:tc>
          <w:tcPr>
            <w:tcW w:w="1620" w:type="dxa"/>
          </w:tcPr>
          <w:p w:rsidR="00B84559" w:rsidRPr="00E5781E" w:rsidRDefault="00B84559" w:rsidP="00596839">
            <w:pPr>
              <w:tabs>
                <w:tab w:val="left" w:pos="1119"/>
              </w:tabs>
              <w:jc w:val="center"/>
              <w:rPr>
                <w:rFonts w:ascii="Arial" w:hAnsi="Arial" w:cs="Arial"/>
                <w:sz w:val="22"/>
                <w:szCs w:val="22"/>
              </w:rPr>
            </w:pPr>
            <w:r w:rsidRPr="00E5781E">
              <w:rPr>
                <w:rFonts w:ascii="Arial" w:hAnsi="Arial" w:cs="Arial"/>
                <w:sz w:val="22"/>
                <w:szCs w:val="22"/>
              </w:rPr>
              <w:t>Cochirleni</w:t>
            </w:r>
          </w:p>
        </w:tc>
        <w:tc>
          <w:tcPr>
            <w:tcW w:w="1140" w:type="dxa"/>
            <w:vAlign w:val="bottom"/>
          </w:tcPr>
          <w:p w:rsidR="00B84559" w:rsidRPr="00E5781E" w:rsidRDefault="00B84559" w:rsidP="00596839">
            <w:pPr>
              <w:jc w:val="center"/>
              <w:rPr>
                <w:rFonts w:ascii="Arial" w:eastAsia="Arial Unicode MS" w:hAnsi="Arial" w:cs="Arial"/>
              </w:rPr>
            </w:pPr>
            <w:r>
              <w:rPr>
                <w:rFonts w:ascii="Arial" w:eastAsia="Arial Unicode MS" w:hAnsi="Arial" w:cs="Arial"/>
              </w:rPr>
              <w:t>340.88</w:t>
            </w:r>
          </w:p>
        </w:tc>
        <w:tc>
          <w:tcPr>
            <w:tcW w:w="1140" w:type="dxa"/>
            <w:vAlign w:val="bottom"/>
          </w:tcPr>
          <w:p w:rsidR="00B84559" w:rsidRPr="00E5781E" w:rsidRDefault="00B84559" w:rsidP="00596839">
            <w:pPr>
              <w:jc w:val="center"/>
              <w:rPr>
                <w:rFonts w:ascii="Arial" w:eastAsia="Arial Unicode MS" w:hAnsi="Arial" w:cs="Arial"/>
              </w:rPr>
            </w:pPr>
            <w:r>
              <w:rPr>
                <w:rFonts w:ascii="Arial" w:eastAsia="Arial Unicode MS" w:hAnsi="Arial" w:cs="Arial"/>
              </w:rPr>
              <w:t>416.70</w:t>
            </w:r>
          </w:p>
        </w:tc>
        <w:tc>
          <w:tcPr>
            <w:tcW w:w="1140" w:type="dxa"/>
            <w:vAlign w:val="bottom"/>
          </w:tcPr>
          <w:p w:rsidR="00B84559" w:rsidRPr="00E5781E" w:rsidRDefault="00B84559" w:rsidP="00596839">
            <w:pPr>
              <w:jc w:val="center"/>
              <w:rPr>
                <w:rFonts w:ascii="Arial" w:eastAsia="Arial Unicode MS" w:hAnsi="Arial" w:cs="Arial"/>
              </w:rPr>
            </w:pPr>
            <w:r>
              <w:rPr>
                <w:rFonts w:ascii="Arial" w:eastAsia="Arial Unicode MS" w:hAnsi="Arial" w:cs="Arial"/>
              </w:rPr>
              <w:t>492.52</w:t>
            </w:r>
          </w:p>
        </w:tc>
        <w:tc>
          <w:tcPr>
            <w:tcW w:w="1481" w:type="dxa"/>
            <w:vAlign w:val="bottom"/>
          </w:tcPr>
          <w:p w:rsidR="00B84559" w:rsidRPr="00E5781E" w:rsidRDefault="00B84559" w:rsidP="00596839">
            <w:pPr>
              <w:jc w:val="center"/>
              <w:rPr>
                <w:rFonts w:ascii="Arial" w:eastAsia="Arial Unicode MS" w:hAnsi="Arial" w:cs="Arial"/>
              </w:rPr>
            </w:pPr>
            <w:r>
              <w:rPr>
                <w:rFonts w:ascii="Arial" w:eastAsia="Arial Unicode MS" w:hAnsi="Arial" w:cs="Arial"/>
              </w:rPr>
              <w:t>02</w:t>
            </w:r>
            <w:r w:rsidRPr="00E5781E">
              <w:rPr>
                <w:rFonts w:ascii="Arial" w:eastAsia="Arial Unicode MS" w:hAnsi="Arial" w:cs="Arial"/>
              </w:rPr>
              <w:t>.</w:t>
            </w:r>
            <w:r>
              <w:rPr>
                <w:rFonts w:ascii="Arial" w:eastAsia="Arial Unicode MS" w:hAnsi="Arial" w:cs="Arial"/>
              </w:rPr>
              <w:t>09</w:t>
            </w:r>
            <w:r w:rsidRPr="00E5781E">
              <w:rPr>
                <w:rFonts w:ascii="Arial" w:eastAsia="Arial Unicode MS" w:hAnsi="Arial" w:cs="Arial"/>
              </w:rPr>
              <w:t>.</w:t>
            </w:r>
            <w:r>
              <w:rPr>
                <w:rFonts w:ascii="Arial" w:eastAsia="Arial Unicode MS" w:hAnsi="Arial" w:cs="Arial"/>
              </w:rPr>
              <w:t>2015</w:t>
            </w:r>
          </w:p>
        </w:tc>
        <w:tc>
          <w:tcPr>
            <w:tcW w:w="850" w:type="dxa"/>
            <w:vAlign w:val="bottom"/>
          </w:tcPr>
          <w:p w:rsidR="00B84559" w:rsidRPr="00E5781E" w:rsidRDefault="00B84559" w:rsidP="00596839">
            <w:pPr>
              <w:jc w:val="center"/>
              <w:rPr>
                <w:rFonts w:ascii="Arial" w:eastAsia="Arial Unicode MS" w:hAnsi="Arial" w:cs="Arial"/>
              </w:rPr>
            </w:pPr>
            <w:r w:rsidRPr="00E5781E">
              <w:rPr>
                <w:rFonts w:ascii="Arial" w:eastAsia="Arial Unicode MS" w:hAnsi="Arial" w:cs="Arial"/>
              </w:rPr>
              <w:t>2</w:t>
            </w:r>
          </w:p>
        </w:tc>
        <w:tc>
          <w:tcPr>
            <w:tcW w:w="1560" w:type="dxa"/>
            <w:vAlign w:val="bottom"/>
          </w:tcPr>
          <w:p w:rsidR="00B84559" w:rsidRPr="00E5781E" w:rsidRDefault="00B84559" w:rsidP="00596839">
            <w:pPr>
              <w:jc w:val="center"/>
              <w:rPr>
                <w:rFonts w:ascii="Arial" w:eastAsia="Arial Unicode MS" w:hAnsi="Arial" w:cs="Arial"/>
              </w:rPr>
            </w:pPr>
            <w:r w:rsidRPr="00E5781E">
              <w:rPr>
                <w:rFonts w:ascii="Arial" w:eastAsia="Arial Unicode MS" w:hAnsi="Arial" w:cs="Arial"/>
              </w:rPr>
              <w:t>2</w:t>
            </w:r>
          </w:p>
        </w:tc>
        <w:tc>
          <w:tcPr>
            <w:tcW w:w="850" w:type="dxa"/>
            <w:vAlign w:val="bottom"/>
          </w:tcPr>
          <w:p w:rsidR="00B84559" w:rsidRPr="00E5781E" w:rsidRDefault="00B84559" w:rsidP="00596839">
            <w:pPr>
              <w:jc w:val="center"/>
              <w:rPr>
                <w:rFonts w:ascii="Arial" w:eastAsia="Arial Unicode MS" w:hAnsi="Arial" w:cs="Arial"/>
              </w:rPr>
            </w:pPr>
            <w:r>
              <w:rPr>
                <w:rFonts w:ascii="Arial" w:eastAsia="Arial Unicode MS" w:hAnsi="Arial" w:cs="Arial"/>
              </w:rPr>
              <w:t>10-13</w:t>
            </w:r>
          </w:p>
        </w:tc>
      </w:tr>
    </w:tbl>
    <w:p w:rsidR="00B84559" w:rsidRPr="00CF6025" w:rsidRDefault="00B84559" w:rsidP="00B84559">
      <w:pPr>
        <w:jc w:val="center"/>
        <w:rPr>
          <w:rFonts w:ascii="Arial" w:hAnsi="Arial" w:cs="Arial"/>
        </w:rPr>
      </w:pPr>
    </w:p>
    <w:p w:rsidR="00B84559" w:rsidRPr="007105C6" w:rsidRDefault="00B84559" w:rsidP="00674B63">
      <w:pPr>
        <w:pStyle w:val="Indentcorptext2"/>
        <w:tabs>
          <w:tab w:val="left" w:pos="709"/>
        </w:tabs>
        <w:spacing w:line="240" w:lineRule="auto"/>
        <w:jc w:val="both"/>
        <w:rPr>
          <w:rFonts w:ascii="Arial" w:hAnsi="Arial" w:cs="Arial"/>
          <w:sz w:val="24"/>
          <w:szCs w:val="24"/>
          <w:lang w:val="it-IT"/>
        </w:rPr>
      </w:pPr>
      <w:r>
        <w:rPr>
          <w:rFonts w:ascii="Arial" w:hAnsi="Arial" w:cs="Arial"/>
          <w:b/>
          <w:bCs/>
          <w:i/>
          <w:iCs/>
          <w:sz w:val="24"/>
          <w:szCs w:val="24"/>
        </w:rPr>
        <w:tab/>
      </w:r>
      <w:r w:rsidRPr="00CF6025">
        <w:rPr>
          <w:rFonts w:ascii="Arial" w:hAnsi="Arial" w:cs="Arial"/>
          <w:sz w:val="24"/>
          <w:szCs w:val="24"/>
        </w:rPr>
        <w:t xml:space="preserve"> </w:t>
      </w:r>
      <w:r w:rsidRPr="00712773">
        <w:rPr>
          <w:rFonts w:ascii="Arial" w:hAnsi="Arial" w:cs="Arial"/>
          <w:sz w:val="24"/>
          <w:szCs w:val="24"/>
        </w:rPr>
        <w:t>În urma analizelor gama spectrometrice au fost identificaţi radionuclizi din seriile radioactive naturale</w:t>
      </w:r>
      <w:r w:rsidRPr="007205E3">
        <w:rPr>
          <w:rFonts w:ascii="Arial" w:hAnsi="Arial" w:cs="Arial"/>
          <w:sz w:val="24"/>
          <w:szCs w:val="24"/>
        </w:rPr>
        <w:t xml:space="preserve"> </w:t>
      </w:r>
      <w:r w:rsidRPr="00712773">
        <w:rPr>
          <w:rFonts w:ascii="Arial" w:hAnsi="Arial" w:cs="Arial"/>
          <w:sz w:val="24"/>
          <w:szCs w:val="24"/>
        </w:rPr>
        <w:t>şi</w:t>
      </w:r>
      <w:r>
        <w:rPr>
          <w:rFonts w:ascii="Arial" w:hAnsi="Arial" w:cs="Arial"/>
          <w:sz w:val="24"/>
          <w:szCs w:val="24"/>
        </w:rPr>
        <w:t xml:space="preserve"> K-40.</w:t>
      </w:r>
      <w:r w:rsidRPr="00712773">
        <w:rPr>
          <w:rFonts w:ascii="Arial" w:hAnsi="Arial" w:cs="Arial"/>
          <w:sz w:val="24"/>
          <w:szCs w:val="24"/>
        </w:rPr>
        <w:t xml:space="preserve">Rezultatele sunt </w:t>
      </w:r>
      <w:r>
        <w:rPr>
          <w:rFonts w:ascii="Arial" w:hAnsi="Arial" w:cs="Arial"/>
          <w:sz w:val="24"/>
          <w:szCs w:val="24"/>
        </w:rPr>
        <w:t>raportate în Bq/kg masă uscată.</w:t>
      </w:r>
      <w:r w:rsidRPr="00712773">
        <w:rPr>
          <w:rFonts w:ascii="Arial" w:hAnsi="Arial" w:cs="Arial"/>
          <w:sz w:val="24"/>
          <w:szCs w:val="24"/>
        </w:rPr>
        <w:t>Nivelul concentraţiilor ra</w:t>
      </w:r>
      <w:r>
        <w:rPr>
          <w:rFonts w:ascii="Arial" w:hAnsi="Arial" w:cs="Arial"/>
          <w:sz w:val="24"/>
          <w:szCs w:val="24"/>
        </w:rPr>
        <w:t>dionuclidului natural K-40</w:t>
      </w:r>
      <w:r w:rsidRPr="00712773">
        <w:rPr>
          <w:rFonts w:ascii="Arial" w:hAnsi="Arial" w:cs="Arial"/>
          <w:sz w:val="24"/>
          <w:szCs w:val="24"/>
        </w:rPr>
        <w:t xml:space="preserve">, cel care are contribuţia cea mai mare la iradierea externă, a fost între </w:t>
      </w:r>
      <w:r>
        <w:rPr>
          <w:rFonts w:ascii="Arial" w:hAnsi="Arial" w:cs="Arial"/>
          <w:sz w:val="24"/>
          <w:szCs w:val="24"/>
        </w:rPr>
        <w:t>404.0</w:t>
      </w:r>
      <w:r w:rsidRPr="00712773">
        <w:rPr>
          <w:rFonts w:ascii="Arial" w:hAnsi="Arial" w:cs="Arial"/>
          <w:sz w:val="24"/>
          <w:szCs w:val="24"/>
        </w:rPr>
        <w:t xml:space="preserve"> – </w:t>
      </w:r>
      <w:r>
        <w:rPr>
          <w:rFonts w:ascii="Arial" w:hAnsi="Arial" w:cs="Arial"/>
          <w:sz w:val="24"/>
          <w:szCs w:val="24"/>
        </w:rPr>
        <w:t>514.0</w:t>
      </w:r>
      <w:r w:rsidRPr="00712773">
        <w:rPr>
          <w:rFonts w:ascii="Arial" w:hAnsi="Arial" w:cs="Arial"/>
          <w:sz w:val="24"/>
          <w:szCs w:val="24"/>
        </w:rPr>
        <w:t xml:space="preserve"> Bq/kg, cu incertitudini de măsurare de </w:t>
      </w:r>
      <w:r>
        <w:rPr>
          <w:rFonts w:ascii="Arial" w:hAnsi="Arial" w:cs="Arial"/>
          <w:sz w:val="24"/>
          <w:szCs w:val="24"/>
        </w:rPr>
        <w:t>3</w:t>
      </w:r>
      <w:r w:rsidRPr="00712773">
        <w:rPr>
          <w:rFonts w:ascii="Arial" w:hAnsi="Arial" w:cs="Arial"/>
          <w:sz w:val="24"/>
          <w:szCs w:val="24"/>
        </w:rPr>
        <w:t xml:space="preserve">%. </w:t>
      </w:r>
      <w:r w:rsidRPr="007105C6">
        <w:rPr>
          <w:rFonts w:ascii="Arial" w:hAnsi="Arial" w:cs="Arial"/>
          <w:sz w:val="24"/>
          <w:szCs w:val="24"/>
          <w:lang w:val="it-IT"/>
        </w:rPr>
        <w:t xml:space="preserve">În toate probele a fost identificat radionuclidul artificial Cs-137, a cărui prezenţă în sol se datorează accidentului de la Cernobâl. Concentraţiile de Cs-137 din sol s-au situat între     </w:t>
      </w:r>
      <w:r>
        <w:rPr>
          <w:rFonts w:ascii="Arial" w:hAnsi="Arial" w:cs="Arial"/>
          <w:sz w:val="24"/>
          <w:szCs w:val="24"/>
          <w:lang w:val="it-IT"/>
        </w:rPr>
        <w:t>1.2</w:t>
      </w:r>
      <w:r w:rsidRPr="007105C6">
        <w:rPr>
          <w:rFonts w:ascii="Arial" w:hAnsi="Arial" w:cs="Arial"/>
          <w:sz w:val="24"/>
          <w:szCs w:val="24"/>
          <w:lang w:val="it-IT"/>
        </w:rPr>
        <w:t xml:space="preserve"> – </w:t>
      </w:r>
      <w:r>
        <w:rPr>
          <w:rFonts w:ascii="Arial" w:hAnsi="Arial" w:cs="Arial"/>
          <w:sz w:val="24"/>
          <w:szCs w:val="24"/>
          <w:lang w:val="it-IT"/>
        </w:rPr>
        <w:t>26.3</w:t>
      </w:r>
      <w:r w:rsidRPr="007105C6">
        <w:rPr>
          <w:rFonts w:ascii="Arial" w:hAnsi="Arial" w:cs="Arial"/>
          <w:sz w:val="24"/>
          <w:szCs w:val="24"/>
          <w:lang w:val="it-IT"/>
        </w:rPr>
        <w:t xml:space="preserve"> Bq/kg,  cu incertitudini asociate măsurării variind  între </w:t>
      </w:r>
      <w:r>
        <w:rPr>
          <w:rFonts w:ascii="Arial" w:hAnsi="Arial" w:cs="Arial"/>
          <w:sz w:val="24"/>
          <w:szCs w:val="24"/>
          <w:lang w:val="it-IT"/>
        </w:rPr>
        <w:t>3</w:t>
      </w:r>
      <w:r w:rsidRPr="007105C6">
        <w:rPr>
          <w:rFonts w:ascii="Arial" w:hAnsi="Arial" w:cs="Arial"/>
          <w:sz w:val="24"/>
          <w:szCs w:val="24"/>
          <w:lang w:val="it-IT"/>
        </w:rPr>
        <w:t>-</w:t>
      </w:r>
      <w:r>
        <w:rPr>
          <w:rFonts w:ascii="Arial" w:hAnsi="Arial" w:cs="Arial"/>
          <w:sz w:val="24"/>
          <w:szCs w:val="24"/>
          <w:lang w:val="it-IT"/>
        </w:rPr>
        <w:t>29</w:t>
      </w:r>
      <w:r w:rsidRPr="007105C6">
        <w:rPr>
          <w:rFonts w:ascii="Arial" w:hAnsi="Arial" w:cs="Arial"/>
          <w:sz w:val="24"/>
          <w:szCs w:val="24"/>
          <w:lang w:val="it-IT"/>
        </w:rPr>
        <w:t xml:space="preserve">%. </w:t>
      </w:r>
    </w:p>
    <w:p w:rsidR="00B84559" w:rsidRDefault="00B84559" w:rsidP="00674B63">
      <w:pPr>
        <w:pStyle w:val="Indentcorptext2"/>
        <w:tabs>
          <w:tab w:val="left" w:pos="709"/>
        </w:tabs>
        <w:spacing w:line="240" w:lineRule="auto"/>
        <w:jc w:val="both"/>
        <w:rPr>
          <w:rFonts w:ascii="Arial" w:hAnsi="Arial" w:cs="Arial"/>
          <w:sz w:val="24"/>
          <w:szCs w:val="24"/>
          <w:lang w:val="it-IT"/>
        </w:rPr>
      </w:pPr>
      <w:r w:rsidRPr="007105C6">
        <w:rPr>
          <w:rFonts w:ascii="Arial" w:hAnsi="Arial" w:cs="Arial"/>
          <w:sz w:val="24"/>
          <w:szCs w:val="24"/>
          <w:lang w:val="it-IT"/>
        </w:rPr>
        <w:lastRenderedPageBreak/>
        <w:tab/>
        <w:t xml:space="preserve">În </w:t>
      </w:r>
      <w:r w:rsidRPr="007C0CBA">
        <w:rPr>
          <w:rFonts w:ascii="Arial" w:hAnsi="Arial" w:cs="Arial"/>
          <w:sz w:val="24"/>
          <w:szCs w:val="24"/>
          <w:lang w:val="it-IT"/>
        </w:rPr>
        <w:t>figurile IX.37. şi IX.38.</w:t>
      </w:r>
      <w:r w:rsidRPr="007105C6">
        <w:rPr>
          <w:rFonts w:ascii="Arial" w:hAnsi="Arial" w:cs="Arial"/>
          <w:sz w:val="24"/>
          <w:szCs w:val="24"/>
          <w:lang w:val="it-IT"/>
        </w:rPr>
        <w:t xml:space="preserve">  sunt prezentate grafic concentraţiile radionuclidului natural K-40 şi  ale radionuclidului artificial Cs-137 . </w:t>
      </w:r>
    </w:p>
    <w:p w:rsidR="00B84559" w:rsidRPr="007105C6" w:rsidRDefault="00B84559" w:rsidP="00B84559">
      <w:pPr>
        <w:pStyle w:val="Indentcorptext2"/>
        <w:tabs>
          <w:tab w:val="left" w:pos="709"/>
        </w:tabs>
        <w:rPr>
          <w:rFonts w:ascii="Arial" w:hAnsi="Arial" w:cs="Arial"/>
          <w:sz w:val="24"/>
          <w:szCs w:val="24"/>
          <w:lang w:val="it-IT"/>
        </w:rPr>
      </w:pPr>
    </w:p>
    <w:p w:rsidR="00B84559" w:rsidRDefault="00B84559" w:rsidP="00B84559">
      <w:pPr>
        <w:autoSpaceDE w:val="0"/>
        <w:autoSpaceDN w:val="0"/>
        <w:adjustRightInd w:val="0"/>
        <w:jc w:val="both"/>
        <w:rPr>
          <w:rFonts w:ascii="Arial" w:hAnsi="Arial" w:cs="Arial"/>
        </w:rPr>
      </w:pPr>
      <w:r w:rsidRPr="00CF6025">
        <w:rPr>
          <w:rFonts w:ascii="Arial" w:hAnsi="Arial" w:cs="Arial"/>
        </w:rPr>
        <w:object w:dxaOrig="9668" w:dyaOrig="4145">
          <v:shape id="_x0000_i1028" type="#_x0000_t75" style="width:483.45pt;height:207.45pt" o:ole="" o:bordertopcolor="this" o:borderleftcolor="this" o:borderbottomcolor="this" o:borderrightcolor="this" fillcolor="window">
            <v:imagedata r:id="rId48" o:title=""/>
            <w10:bordertop type="single" width="4"/>
            <w10:borderleft type="single" width="4"/>
            <w10:borderbottom type="single" width="4"/>
            <w10:borderright type="single" width="4"/>
          </v:shape>
          <o:OLEObject Type="Embed" ProgID="MSGraph.Chart.8" ShapeID="_x0000_i1028" DrawAspect="Content" ObjectID="_1543303402" r:id="rId49">
            <o:FieldCodes>\s</o:FieldCodes>
          </o:OLEObject>
        </w:object>
      </w:r>
    </w:p>
    <w:p w:rsidR="00B84559" w:rsidRDefault="00B84559" w:rsidP="00B84559">
      <w:pPr>
        <w:autoSpaceDE w:val="0"/>
        <w:autoSpaceDN w:val="0"/>
        <w:adjustRightInd w:val="0"/>
        <w:jc w:val="both"/>
        <w:rPr>
          <w:rFonts w:ascii="Arial" w:hAnsi="Arial" w:cs="Arial"/>
          <w:lang w:val="ro-RO"/>
        </w:rPr>
      </w:pPr>
    </w:p>
    <w:p w:rsidR="00B84559" w:rsidRDefault="00B84559" w:rsidP="00B84559">
      <w:pPr>
        <w:pStyle w:val="CharCaracterCharCharCharCaracter"/>
        <w:jc w:val="both"/>
        <w:rPr>
          <w:rFonts w:ascii="Arial" w:hAnsi="Arial" w:cs="Arial"/>
          <w:b/>
          <w:lang w:val="ro-RO"/>
        </w:rPr>
      </w:pPr>
      <w:r w:rsidRPr="00CF6025">
        <w:rPr>
          <w:rFonts w:ascii="Arial" w:hAnsi="Arial" w:cs="Arial"/>
        </w:rPr>
        <w:object w:dxaOrig="9668" w:dyaOrig="4069">
          <v:shape id="_x0000_i1029" type="#_x0000_t75" style="width:483.45pt;height:203.15pt" o:ole="" o:bordertopcolor="this" o:borderleftcolor="this" o:borderbottomcolor="this" o:borderrightcolor="this" fillcolor="window">
            <v:imagedata r:id="rId50" o:title=""/>
            <w10:bordertop type="single" width="4"/>
            <w10:borderleft type="single" width="4"/>
            <w10:borderbottom type="single" width="4"/>
            <w10:borderright type="single" width="4"/>
          </v:shape>
          <o:OLEObject Type="Embed" ProgID="MSGraph.Chart.8" ShapeID="_x0000_i1029" DrawAspect="Content" ObjectID="_1543303403" r:id="rId51">
            <o:FieldCodes>\s</o:FieldCodes>
          </o:OLEObject>
        </w:object>
      </w:r>
    </w:p>
    <w:p w:rsidR="00B84559" w:rsidRDefault="00B84559" w:rsidP="00B84559">
      <w:pPr>
        <w:pStyle w:val="Indentcorptext2"/>
        <w:tabs>
          <w:tab w:val="left" w:pos="709"/>
        </w:tabs>
        <w:rPr>
          <w:rFonts w:ascii="Arial" w:hAnsi="Arial" w:cs="Arial"/>
          <w:sz w:val="24"/>
          <w:szCs w:val="24"/>
          <w:lang w:val="ro-RO"/>
        </w:rPr>
      </w:pPr>
      <w:r>
        <w:rPr>
          <w:rFonts w:ascii="Arial" w:hAnsi="Arial" w:cs="Arial"/>
          <w:sz w:val="24"/>
          <w:szCs w:val="24"/>
          <w:lang w:val="ro-RO"/>
        </w:rPr>
        <w:tab/>
      </w:r>
    </w:p>
    <w:p w:rsidR="00B84559" w:rsidRPr="00D83959" w:rsidRDefault="00B84559" w:rsidP="00674B63">
      <w:pPr>
        <w:pStyle w:val="Indentcorptext2"/>
        <w:tabs>
          <w:tab w:val="left" w:pos="709"/>
        </w:tabs>
        <w:spacing w:line="240" w:lineRule="auto"/>
        <w:jc w:val="both"/>
        <w:rPr>
          <w:rFonts w:ascii="Arial" w:hAnsi="Arial" w:cs="Arial"/>
          <w:sz w:val="24"/>
          <w:szCs w:val="24"/>
          <w:lang w:val="ro-RO"/>
        </w:rPr>
      </w:pPr>
      <w:r>
        <w:rPr>
          <w:rFonts w:ascii="Arial" w:hAnsi="Arial" w:cs="Arial"/>
          <w:sz w:val="24"/>
          <w:szCs w:val="24"/>
          <w:lang w:val="ro-RO"/>
        </w:rPr>
        <w:tab/>
      </w:r>
      <w:r w:rsidRPr="00FA184F">
        <w:rPr>
          <w:rFonts w:ascii="Arial" w:hAnsi="Arial" w:cs="Arial"/>
          <w:sz w:val="24"/>
          <w:szCs w:val="24"/>
          <w:lang w:val="ro-RO"/>
        </w:rPr>
        <w:t xml:space="preserve">În cadrul </w:t>
      </w:r>
      <w:r w:rsidRPr="00FA184F">
        <w:rPr>
          <w:rFonts w:ascii="Arial" w:hAnsi="Arial" w:cs="Arial"/>
          <w:b/>
          <w:sz w:val="24"/>
          <w:szCs w:val="24"/>
          <w:lang w:val="ro-RO"/>
        </w:rPr>
        <w:t>programului de monitorizare</w:t>
      </w:r>
      <w:r w:rsidRPr="00BD221A">
        <w:rPr>
          <w:rFonts w:ascii="Arial" w:hAnsi="Arial" w:cs="Arial"/>
          <w:b/>
          <w:sz w:val="24"/>
          <w:szCs w:val="24"/>
          <w:lang w:val="ro-RO"/>
        </w:rPr>
        <w:t xml:space="preserve"> a zonelor Năvodari şi Vadu</w:t>
      </w:r>
      <w:r w:rsidRPr="00BD221A">
        <w:rPr>
          <w:rFonts w:ascii="Arial" w:hAnsi="Arial" w:cs="Arial"/>
          <w:sz w:val="24"/>
          <w:szCs w:val="24"/>
          <w:lang w:val="ro-RO"/>
        </w:rPr>
        <w:t>,</w:t>
      </w:r>
      <w:r>
        <w:rPr>
          <w:rFonts w:ascii="Arial" w:hAnsi="Arial" w:cs="Arial"/>
          <w:sz w:val="24"/>
          <w:szCs w:val="24"/>
          <w:lang w:val="ro-RO"/>
        </w:rPr>
        <w:t xml:space="preserve"> SSRM Constanţa a prelevat anual probe de sol necultivat </w:t>
      </w:r>
      <w:r w:rsidRPr="00D83959">
        <w:rPr>
          <w:rFonts w:ascii="Arial" w:hAnsi="Arial" w:cs="Arial"/>
          <w:sz w:val="24"/>
          <w:szCs w:val="24"/>
          <w:lang w:val="ro-RO"/>
        </w:rPr>
        <w:t xml:space="preserve"> din</w:t>
      </w:r>
      <w:r>
        <w:rPr>
          <w:rFonts w:ascii="Arial" w:hAnsi="Arial" w:cs="Arial"/>
          <w:sz w:val="24"/>
          <w:szCs w:val="24"/>
          <w:lang w:val="ro-RO"/>
        </w:rPr>
        <w:t xml:space="preserve"> locaţiile Mamaia Sat, Năvodari, </w:t>
      </w:r>
      <w:r w:rsidRPr="00D83959">
        <w:rPr>
          <w:rFonts w:ascii="Arial" w:hAnsi="Arial" w:cs="Arial"/>
          <w:sz w:val="24"/>
          <w:szCs w:val="24"/>
          <w:lang w:val="ro-RO"/>
        </w:rPr>
        <w:t>Lumina</w:t>
      </w:r>
      <w:r>
        <w:rPr>
          <w:rFonts w:ascii="Arial" w:hAnsi="Arial" w:cs="Arial"/>
          <w:sz w:val="24"/>
          <w:szCs w:val="24"/>
          <w:lang w:val="ro-RO"/>
        </w:rPr>
        <w:t>, respectiv Vadu (în zona de influenţă a fostei întreprinderi de metale rare)</w:t>
      </w:r>
      <w:r w:rsidRPr="00D83959">
        <w:rPr>
          <w:rFonts w:ascii="Arial" w:hAnsi="Arial" w:cs="Arial"/>
          <w:sz w:val="24"/>
          <w:szCs w:val="24"/>
          <w:lang w:val="ro-RO"/>
        </w:rPr>
        <w:t xml:space="preserve">. Probele au fost analizate gama spectrometric pentru identificarea radionuclizilor gama emiţători, iar rezultatele sunt raportate în Bq/kg masă uscată. </w:t>
      </w:r>
    </w:p>
    <w:p w:rsidR="00B84559" w:rsidRDefault="00B84559" w:rsidP="00674B63">
      <w:pPr>
        <w:pStyle w:val="Indentcorptext2"/>
        <w:tabs>
          <w:tab w:val="left" w:pos="709"/>
        </w:tabs>
        <w:spacing w:line="240" w:lineRule="auto"/>
        <w:jc w:val="both"/>
        <w:rPr>
          <w:rFonts w:ascii="Arial" w:hAnsi="Arial" w:cs="Arial"/>
          <w:sz w:val="24"/>
          <w:szCs w:val="24"/>
          <w:lang w:val="it-IT"/>
        </w:rPr>
      </w:pPr>
      <w:r>
        <w:rPr>
          <w:rFonts w:ascii="Arial" w:hAnsi="Arial" w:cs="Arial"/>
          <w:sz w:val="24"/>
          <w:szCs w:val="24"/>
          <w:lang w:val="ro-RO"/>
        </w:rPr>
        <w:tab/>
      </w:r>
      <w:r w:rsidRPr="00A27179">
        <w:rPr>
          <w:rFonts w:ascii="Arial" w:hAnsi="Arial" w:cs="Arial"/>
          <w:sz w:val="24"/>
          <w:szCs w:val="24"/>
          <w:lang w:val="ro-RO"/>
        </w:rPr>
        <w:t xml:space="preserve">În probele analizate </w:t>
      </w:r>
      <w:r w:rsidRPr="00464CA7">
        <w:rPr>
          <w:rFonts w:ascii="Arial" w:hAnsi="Arial" w:cs="Arial"/>
          <w:sz w:val="24"/>
          <w:szCs w:val="24"/>
          <w:lang w:val="ro-RO"/>
        </w:rPr>
        <w:t>au fost identificaţi radionuclizi din seriile radioactive naturale,   K-40 şi Cs-137. Nivelul concentraţiilor radionuclidului natural K-40 , cel care are contribuţia cea mai mare la iradierea externă, a variat între 138.8 – 535.2 Bq/kg, cu</w:t>
      </w:r>
      <w:r>
        <w:rPr>
          <w:rFonts w:ascii="Arial" w:hAnsi="Arial" w:cs="Arial"/>
          <w:sz w:val="24"/>
          <w:szCs w:val="24"/>
          <w:lang w:val="ro-RO"/>
        </w:rPr>
        <w:t xml:space="preserve"> incertitudini de măsurare de  </w:t>
      </w:r>
      <w:r w:rsidRPr="00464CA7">
        <w:rPr>
          <w:rFonts w:ascii="Arial" w:hAnsi="Arial" w:cs="Arial"/>
          <w:sz w:val="24"/>
          <w:szCs w:val="24"/>
          <w:lang w:val="ro-RO"/>
        </w:rPr>
        <w:t xml:space="preserve">3-6%. </w:t>
      </w:r>
      <w:r w:rsidRPr="00464CA7">
        <w:rPr>
          <w:rFonts w:ascii="Arial" w:hAnsi="Arial" w:cs="Arial"/>
          <w:sz w:val="24"/>
          <w:szCs w:val="24"/>
          <w:lang w:val="it-IT"/>
        </w:rPr>
        <w:t>În aproape toate probele a fost identificat radionuclidul artificial</w:t>
      </w:r>
      <w:r>
        <w:rPr>
          <w:rFonts w:ascii="Arial" w:hAnsi="Arial" w:cs="Arial"/>
          <w:sz w:val="24"/>
          <w:szCs w:val="24"/>
          <w:lang w:val="it-IT"/>
        </w:rPr>
        <w:t xml:space="preserve">    </w:t>
      </w:r>
      <w:r w:rsidRPr="00464CA7">
        <w:rPr>
          <w:rFonts w:ascii="Arial" w:hAnsi="Arial" w:cs="Arial"/>
          <w:sz w:val="24"/>
          <w:szCs w:val="24"/>
          <w:lang w:val="it-IT"/>
        </w:rPr>
        <w:t xml:space="preserve">Cs-137, a cărui prezenţă în sol se datorează accidentului de la Cernobâl. Concentraţiile de Cs-137 din sol s-au situat între  2.2 – 14.7 Bq/kg,  cu incertitudini variind  între 4% şi 16%. </w:t>
      </w:r>
    </w:p>
    <w:p w:rsidR="00B84559" w:rsidRDefault="00B84559" w:rsidP="00B84559">
      <w:pPr>
        <w:pStyle w:val="Indentcorptext2"/>
        <w:tabs>
          <w:tab w:val="left" w:pos="709"/>
        </w:tabs>
        <w:rPr>
          <w:rFonts w:ascii="Arial" w:hAnsi="Arial" w:cs="Arial"/>
          <w:sz w:val="24"/>
          <w:szCs w:val="24"/>
          <w:lang w:val="it-IT"/>
        </w:rPr>
      </w:pPr>
    </w:p>
    <w:p w:rsidR="00B84559" w:rsidRPr="00464CA7" w:rsidRDefault="00B84559" w:rsidP="00674B63">
      <w:pPr>
        <w:pStyle w:val="Indentcorptext2"/>
        <w:tabs>
          <w:tab w:val="left" w:pos="709"/>
        </w:tabs>
        <w:spacing w:line="240" w:lineRule="auto"/>
        <w:rPr>
          <w:rFonts w:ascii="Arial" w:hAnsi="Arial" w:cs="Arial"/>
          <w:sz w:val="24"/>
          <w:szCs w:val="24"/>
          <w:lang w:val="it-IT"/>
        </w:rPr>
      </w:pPr>
      <w:r>
        <w:rPr>
          <w:rFonts w:ascii="Arial" w:hAnsi="Arial" w:cs="Arial"/>
          <w:sz w:val="24"/>
          <w:szCs w:val="24"/>
          <w:lang w:val="it-IT"/>
        </w:rPr>
        <w:t>Alţi radionuclizi urmăriţi</w:t>
      </w:r>
      <w:r w:rsidRPr="00464CA7">
        <w:rPr>
          <w:rFonts w:ascii="Arial" w:hAnsi="Arial" w:cs="Arial"/>
          <w:sz w:val="24"/>
          <w:szCs w:val="24"/>
          <w:lang w:val="it-IT"/>
        </w:rPr>
        <w:t>, având în vedere vecinătatea cu haldele de fosfogips, respectiv steril, au fost Ra-226 (concentraţii de 31.0 – 149.5 Bq/kg), Th-234 (concentraţii de 46.6 – 205.9 Bq/kg), U-235 (concentraţii de 1.6 – 7.7 Bq/kg),</w:t>
      </w:r>
    </w:p>
    <w:p w:rsidR="00B84559" w:rsidRPr="00D83959" w:rsidRDefault="00B84559" w:rsidP="00674B63">
      <w:pPr>
        <w:pStyle w:val="Indentcorptext2"/>
        <w:tabs>
          <w:tab w:val="left" w:pos="709"/>
        </w:tabs>
        <w:spacing w:line="240" w:lineRule="auto"/>
        <w:rPr>
          <w:rFonts w:ascii="Arial" w:hAnsi="Arial" w:cs="Arial"/>
          <w:sz w:val="24"/>
          <w:szCs w:val="24"/>
          <w:lang w:val="fr-FR"/>
        </w:rPr>
      </w:pPr>
      <w:r w:rsidRPr="00464CA7">
        <w:rPr>
          <w:rFonts w:ascii="Arial" w:hAnsi="Arial" w:cs="Arial"/>
          <w:sz w:val="24"/>
          <w:szCs w:val="24"/>
          <w:lang w:val="it-IT"/>
        </w:rPr>
        <w:t xml:space="preserve">În figurile IX.39. – IX.41.  </w:t>
      </w:r>
      <w:r w:rsidRPr="00464CA7">
        <w:rPr>
          <w:rFonts w:ascii="Arial" w:hAnsi="Arial" w:cs="Arial"/>
          <w:sz w:val="24"/>
          <w:szCs w:val="24"/>
          <w:lang w:val="fr-FR"/>
        </w:rPr>
        <w:t>sunt prezentate</w:t>
      </w:r>
      <w:r w:rsidRPr="00D83959">
        <w:rPr>
          <w:rFonts w:ascii="Arial" w:hAnsi="Arial" w:cs="Arial"/>
          <w:sz w:val="24"/>
          <w:szCs w:val="24"/>
          <w:lang w:val="fr-FR"/>
        </w:rPr>
        <w:t xml:space="preserve"> grafic concentraţiile radionuclizilor naturali Ra-226 </w:t>
      </w:r>
      <w:r>
        <w:rPr>
          <w:rFonts w:ascii="Arial" w:hAnsi="Arial" w:cs="Arial"/>
          <w:sz w:val="24"/>
          <w:szCs w:val="24"/>
          <w:lang w:val="fr-FR"/>
        </w:rPr>
        <w:t>,</w:t>
      </w:r>
      <w:r w:rsidRPr="00D83959">
        <w:rPr>
          <w:rFonts w:ascii="Arial" w:hAnsi="Arial" w:cs="Arial"/>
          <w:sz w:val="24"/>
          <w:szCs w:val="24"/>
          <w:lang w:val="fr-FR"/>
        </w:rPr>
        <w:t xml:space="preserve">Th-234 şi </w:t>
      </w:r>
      <w:r>
        <w:rPr>
          <w:rFonts w:ascii="Arial" w:hAnsi="Arial" w:cs="Arial"/>
          <w:sz w:val="24"/>
          <w:szCs w:val="24"/>
          <w:lang w:val="fr-FR"/>
        </w:rPr>
        <w:t>U</w:t>
      </w:r>
      <w:r>
        <w:rPr>
          <w:rFonts w:ascii="Arial" w:hAnsi="Arial" w:cs="Arial"/>
          <w:sz w:val="24"/>
          <w:szCs w:val="24"/>
        </w:rPr>
        <w:t>-</w:t>
      </w:r>
      <w:r>
        <w:rPr>
          <w:rFonts w:ascii="Arial" w:hAnsi="Arial" w:cs="Arial"/>
          <w:sz w:val="24"/>
          <w:szCs w:val="24"/>
          <w:lang w:val="fr-FR"/>
        </w:rPr>
        <w:t xml:space="preserve">235 </w:t>
      </w:r>
      <w:r w:rsidRPr="00D83959">
        <w:rPr>
          <w:rFonts w:ascii="Arial" w:hAnsi="Arial" w:cs="Arial"/>
          <w:sz w:val="24"/>
          <w:szCs w:val="24"/>
          <w:lang w:val="fr-FR"/>
        </w:rPr>
        <w:t>în probe din locaţiile amintite</w:t>
      </w:r>
      <w:r>
        <w:rPr>
          <w:rFonts w:ascii="Arial" w:hAnsi="Arial" w:cs="Arial"/>
          <w:sz w:val="24"/>
          <w:szCs w:val="24"/>
          <w:lang w:val="fr-FR"/>
        </w:rPr>
        <w:t>,</w:t>
      </w:r>
      <w:r w:rsidRPr="00D83959">
        <w:rPr>
          <w:rFonts w:ascii="Arial" w:hAnsi="Arial" w:cs="Arial"/>
          <w:sz w:val="24"/>
          <w:szCs w:val="24"/>
          <w:lang w:val="fr-FR"/>
        </w:rPr>
        <w:t xml:space="preserve"> comparativ cu locaţia Constanţa. </w:t>
      </w:r>
    </w:p>
    <w:p w:rsidR="00B84559" w:rsidRPr="007E011A" w:rsidRDefault="00B84559" w:rsidP="00B84559">
      <w:pPr>
        <w:pStyle w:val="Indentcorptext2"/>
        <w:tabs>
          <w:tab w:val="left" w:pos="709"/>
        </w:tabs>
        <w:rPr>
          <w:rFonts w:ascii="Arial" w:hAnsi="Arial" w:cs="Arial"/>
          <w:lang w:val="fr-FR"/>
        </w:rPr>
      </w:pPr>
    </w:p>
    <w:p w:rsidR="00B84559" w:rsidRDefault="00B84559" w:rsidP="00B84559">
      <w:pPr>
        <w:pStyle w:val="Indentcorptext2"/>
        <w:tabs>
          <w:tab w:val="left" w:pos="709"/>
        </w:tabs>
      </w:pPr>
      <w:r>
        <w:rPr>
          <w:noProof/>
          <w:sz w:val="24"/>
          <w:lang w:val="en-US" w:eastAsia="en-US"/>
        </w:rPr>
        <w:drawing>
          <wp:inline distT="0" distB="0" distL="0" distR="0" wp14:anchorId="39B3F698" wp14:editId="4807EF53">
            <wp:extent cx="6153150" cy="3152775"/>
            <wp:effectExtent l="0" t="0" r="19050" b="9525"/>
            <wp:docPr id="27" name="Obiect 3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B84559" w:rsidRDefault="00B84559" w:rsidP="00B84559">
      <w:pPr>
        <w:pStyle w:val="Indentcorptext2"/>
        <w:tabs>
          <w:tab w:val="left" w:pos="709"/>
        </w:tabs>
      </w:pPr>
    </w:p>
    <w:p w:rsidR="00B84559" w:rsidRDefault="00B84559" w:rsidP="00B84559">
      <w:pPr>
        <w:pStyle w:val="Indentcorptext2"/>
        <w:tabs>
          <w:tab w:val="left" w:pos="709"/>
        </w:tabs>
      </w:pPr>
      <w:r>
        <w:rPr>
          <w:noProof/>
          <w:sz w:val="24"/>
          <w:lang w:val="en-US" w:eastAsia="en-US"/>
        </w:rPr>
        <w:lastRenderedPageBreak/>
        <w:drawing>
          <wp:inline distT="0" distB="0" distL="0" distR="0" wp14:anchorId="365C2463" wp14:editId="07ECC767">
            <wp:extent cx="6153150" cy="3171825"/>
            <wp:effectExtent l="0" t="0" r="19050" b="9525"/>
            <wp:docPr id="30" name="Obiect 3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B84559" w:rsidRDefault="00B84559" w:rsidP="00B84559">
      <w:pPr>
        <w:pStyle w:val="Indentcorptext2"/>
        <w:tabs>
          <w:tab w:val="left" w:pos="709"/>
        </w:tabs>
      </w:pPr>
      <w:r>
        <w:rPr>
          <w:noProof/>
          <w:sz w:val="24"/>
          <w:lang w:val="en-US" w:eastAsia="en-US"/>
        </w:rPr>
        <w:drawing>
          <wp:inline distT="0" distB="0" distL="0" distR="0" wp14:anchorId="08B93B9E" wp14:editId="4530CF46">
            <wp:extent cx="6153150" cy="2857500"/>
            <wp:effectExtent l="0" t="0" r="19050" b="19050"/>
            <wp:docPr id="33" name="Obiect 3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B84559" w:rsidRPr="00436EEE" w:rsidRDefault="00B84559" w:rsidP="00674B63">
      <w:pPr>
        <w:pStyle w:val="Indentcorptext2"/>
        <w:tabs>
          <w:tab w:val="left" w:pos="709"/>
        </w:tabs>
        <w:spacing w:line="240" w:lineRule="auto"/>
        <w:jc w:val="both"/>
      </w:pPr>
    </w:p>
    <w:p w:rsidR="00B84559" w:rsidRPr="004325B1" w:rsidRDefault="00B84559" w:rsidP="00674B63">
      <w:pPr>
        <w:pStyle w:val="Listparagraf"/>
        <w:numPr>
          <w:ilvl w:val="0"/>
          <w:numId w:val="40"/>
        </w:numPr>
        <w:autoSpaceDE w:val="0"/>
        <w:autoSpaceDN w:val="0"/>
        <w:adjustRightInd w:val="0"/>
        <w:spacing w:after="0" w:line="240" w:lineRule="auto"/>
        <w:jc w:val="both"/>
        <w:rPr>
          <w:rFonts w:ascii="Arial" w:hAnsi="Arial" w:cs="Arial"/>
          <w:b/>
          <w:sz w:val="24"/>
          <w:szCs w:val="24"/>
        </w:rPr>
      </w:pPr>
      <w:r w:rsidRPr="004325B1">
        <w:rPr>
          <w:rFonts w:ascii="Arial" w:hAnsi="Arial" w:cs="Arial"/>
          <w:b/>
          <w:sz w:val="24"/>
          <w:szCs w:val="24"/>
        </w:rPr>
        <w:t>Sol arabil</w:t>
      </w:r>
    </w:p>
    <w:p w:rsidR="00B84559" w:rsidRPr="004325B1" w:rsidRDefault="00B84559" w:rsidP="00674B63">
      <w:pPr>
        <w:jc w:val="both"/>
        <w:rPr>
          <w:lang w:val="ro-RO" w:eastAsia="ro-RO"/>
        </w:rPr>
      </w:pPr>
    </w:p>
    <w:p w:rsidR="00B84559" w:rsidRPr="004325B1" w:rsidRDefault="00B84559" w:rsidP="00674B63">
      <w:pPr>
        <w:pStyle w:val="Indentcorptext2"/>
        <w:tabs>
          <w:tab w:val="left" w:pos="709"/>
        </w:tabs>
        <w:spacing w:line="240" w:lineRule="auto"/>
        <w:jc w:val="both"/>
        <w:rPr>
          <w:rFonts w:ascii="Arial" w:hAnsi="Arial" w:cs="Arial"/>
          <w:sz w:val="24"/>
          <w:szCs w:val="24"/>
        </w:rPr>
      </w:pPr>
      <w:r w:rsidRPr="004325B1">
        <w:rPr>
          <w:rFonts w:ascii="Arial" w:hAnsi="Arial" w:cs="Arial"/>
          <w:sz w:val="24"/>
          <w:szCs w:val="24"/>
        </w:rPr>
        <w:tab/>
        <w:t xml:space="preserve">În cursul anului 2015, </w:t>
      </w:r>
      <w:r w:rsidRPr="004325B1">
        <w:rPr>
          <w:rFonts w:ascii="Arial" w:hAnsi="Arial" w:cs="Arial"/>
          <w:bCs/>
          <w:sz w:val="24"/>
          <w:szCs w:val="24"/>
        </w:rPr>
        <w:t xml:space="preserve">SSRM Cernavodă a prelevat cu frecvenţă semestrială, în cadrul </w:t>
      </w:r>
      <w:r w:rsidRPr="004325B1">
        <w:rPr>
          <w:rFonts w:ascii="Arial" w:hAnsi="Arial" w:cs="Arial"/>
          <w:b/>
          <w:bCs/>
          <w:sz w:val="24"/>
          <w:szCs w:val="24"/>
        </w:rPr>
        <w:t>programului de monitorizare a func</w:t>
      </w:r>
      <w:r w:rsidRPr="004325B1">
        <w:rPr>
          <w:rFonts w:ascii="Arial" w:hAnsi="Arial" w:cs="Arial"/>
          <w:b/>
          <w:bCs/>
          <w:sz w:val="24"/>
          <w:szCs w:val="24"/>
          <w:lang w:val="ro-RO"/>
        </w:rPr>
        <w:t>ţionării CNE,</w:t>
      </w:r>
      <w:r w:rsidRPr="004325B1">
        <w:rPr>
          <w:rFonts w:ascii="Arial" w:hAnsi="Arial" w:cs="Arial"/>
          <w:sz w:val="24"/>
          <w:szCs w:val="24"/>
        </w:rPr>
        <w:t xml:space="preserve"> probe de sol arabil de pe o suprafaţă de 10x10 cm</w:t>
      </w:r>
      <w:r w:rsidRPr="004325B1">
        <w:rPr>
          <w:rFonts w:ascii="Arial" w:hAnsi="Arial" w:cs="Arial"/>
          <w:sz w:val="24"/>
          <w:szCs w:val="24"/>
          <w:vertAlign w:val="superscript"/>
        </w:rPr>
        <w:t>2</w:t>
      </w:r>
      <w:r w:rsidRPr="004325B1">
        <w:rPr>
          <w:rFonts w:ascii="Arial" w:hAnsi="Arial" w:cs="Arial"/>
          <w:sz w:val="24"/>
          <w:szCs w:val="24"/>
        </w:rPr>
        <w:t xml:space="preserve">, adâncime 5 cm, din următoarele locaţii: Seimeni, Tortomanu, Mircea Vodă. Probele au fost analizate gama spectrometric pentru identificarea radionuclizilor gama emiţători, iar rezultatele sunt raportate în Bq/kg masă uscată. </w:t>
      </w:r>
    </w:p>
    <w:p w:rsidR="00B84559" w:rsidRPr="004325B1" w:rsidRDefault="00B84559" w:rsidP="00674B63">
      <w:pPr>
        <w:pStyle w:val="Indentcorptext2"/>
        <w:tabs>
          <w:tab w:val="left" w:pos="709"/>
        </w:tabs>
        <w:spacing w:line="240" w:lineRule="auto"/>
        <w:jc w:val="both"/>
        <w:rPr>
          <w:rFonts w:ascii="Arial" w:hAnsi="Arial" w:cs="Arial"/>
          <w:sz w:val="24"/>
          <w:szCs w:val="24"/>
          <w:lang w:val="fr-FR"/>
        </w:rPr>
      </w:pPr>
      <w:r w:rsidRPr="004325B1">
        <w:rPr>
          <w:rFonts w:ascii="Arial" w:hAnsi="Arial" w:cs="Arial"/>
          <w:sz w:val="24"/>
          <w:szCs w:val="24"/>
        </w:rPr>
        <w:tab/>
      </w:r>
      <w:r w:rsidRPr="004325B1">
        <w:rPr>
          <w:rFonts w:ascii="Arial" w:hAnsi="Arial" w:cs="Arial"/>
          <w:sz w:val="24"/>
          <w:szCs w:val="24"/>
          <w:lang w:val="it-IT"/>
        </w:rPr>
        <w:t xml:space="preserve">În probele analizate au fost identificaţi radionuclizi naturali din seriile radioactive naturale </w:t>
      </w:r>
      <w:r w:rsidRPr="004325B1">
        <w:rPr>
          <w:rFonts w:ascii="Arial" w:hAnsi="Arial" w:cs="Arial"/>
          <w:sz w:val="24"/>
          <w:szCs w:val="24"/>
          <w:lang w:val="ro-RO"/>
        </w:rPr>
        <w:t>şi</w:t>
      </w:r>
      <w:r w:rsidRPr="004325B1">
        <w:rPr>
          <w:rFonts w:ascii="Arial" w:hAnsi="Arial" w:cs="Arial"/>
          <w:sz w:val="24"/>
          <w:szCs w:val="24"/>
          <w:lang w:val="it-IT"/>
        </w:rPr>
        <w:t xml:space="preserve"> K-40. Nivelul concentraţiilor radionuclidului natural K-40, cel care are contribuţia cea mai mare la iradierea externă, a fost între 420.1 – 561.9 Bq/kg, cu  incertitudini asociate </w:t>
      </w:r>
      <w:r w:rsidRPr="004325B1">
        <w:rPr>
          <w:rFonts w:ascii="Arial" w:hAnsi="Arial" w:cs="Arial"/>
          <w:sz w:val="24"/>
          <w:szCs w:val="24"/>
          <w:lang w:val="it-IT"/>
        </w:rPr>
        <w:lastRenderedPageBreak/>
        <w:t>procesului de măsurare de 3%. În</w:t>
      </w:r>
      <w:r w:rsidRPr="007105C6">
        <w:rPr>
          <w:rFonts w:ascii="Arial" w:hAnsi="Arial" w:cs="Arial"/>
          <w:sz w:val="24"/>
          <w:szCs w:val="24"/>
          <w:lang w:val="it-IT"/>
        </w:rPr>
        <w:t xml:space="preserve"> toate probele analizate a fost identificat radionuclidul </w:t>
      </w:r>
      <w:r w:rsidRPr="004325B1">
        <w:rPr>
          <w:rFonts w:ascii="Arial" w:hAnsi="Arial" w:cs="Arial"/>
          <w:sz w:val="24"/>
          <w:szCs w:val="24"/>
          <w:lang w:val="it-IT"/>
        </w:rPr>
        <w:t xml:space="preserve">artificial Cs-137, a cărui prezenţă în sol se datorează accidentului de la Cernobâl. </w:t>
      </w:r>
      <w:r w:rsidRPr="004325B1">
        <w:rPr>
          <w:rFonts w:ascii="Arial" w:hAnsi="Arial" w:cs="Arial"/>
          <w:sz w:val="24"/>
          <w:szCs w:val="24"/>
          <w:lang w:val="fr-FR"/>
        </w:rPr>
        <w:t>Concentraţiile de Cs</w:t>
      </w:r>
      <w:r>
        <w:rPr>
          <w:rFonts w:ascii="Arial" w:hAnsi="Arial" w:cs="Arial"/>
          <w:sz w:val="24"/>
          <w:szCs w:val="24"/>
          <w:lang w:val="fr-FR"/>
        </w:rPr>
        <w:t xml:space="preserve">-137 din sol s-au situat între </w:t>
      </w:r>
      <w:r w:rsidRPr="004325B1">
        <w:rPr>
          <w:rFonts w:ascii="Arial" w:hAnsi="Arial" w:cs="Arial"/>
          <w:sz w:val="24"/>
          <w:szCs w:val="24"/>
          <w:lang w:val="fr-FR"/>
        </w:rPr>
        <w:t xml:space="preserve">2.2 – 5.5 Bq/kg,  cu incertitudini asociate de 5-9%. </w:t>
      </w:r>
    </w:p>
    <w:p w:rsidR="00B84559" w:rsidRPr="007105C6" w:rsidRDefault="00B84559" w:rsidP="00674B63">
      <w:pPr>
        <w:pStyle w:val="Indentcorptext2"/>
        <w:tabs>
          <w:tab w:val="left" w:pos="709"/>
        </w:tabs>
        <w:spacing w:line="240" w:lineRule="auto"/>
        <w:jc w:val="both"/>
        <w:rPr>
          <w:rFonts w:ascii="Arial" w:hAnsi="Arial" w:cs="Arial"/>
          <w:sz w:val="24"/>
          <w:szCs w:val="24"/>
          <w:lang w:val="fr-FR"/>
        </w:rPr>
      </w:pPr>
      <w:r w:rsidRPr="004325B1">
        <w:rPr>
          <w:rFonts w:ascii="Arial" w:hAnsi="Arial" w:cs="Arial"/>
          <w:sz w:val="24"/>
          <w:szCs w:val="24"/>
          <w:lang w:val="fr-FR"/>
        </w:rPr>
        <w:tab/>
      </w:r>
      <w:r w:rsidRPr="004325B1">
        <w:rPr>
          <w:rFonts w:ascii="Arial" w:hAnsi="Arial" w:cs="Arial"/>
          <w:sz w:val="24"/>
          <w:szCs w:val="24"/>
          <w:lang w:val="it-IT"/>
        </w:rPr>
        <w:t xml:space="preserve">În figura IX.42. </w:t>
      </w:r>
      <w:r w:rsidRPr="004325B1">
        <w:rPr>
          <w:rFonts w:ascii="Arial" w:hAnsi="Arial" w:cs="Arial"/>
          <w:sz w:val="24"/>
          <w:szCs w:val="24"/>
          <w:lang w:val="ro-RO"/>
        </w:rPr>
        <w:t>şi IX.43</w:t>
      </w:r>
      <w:r w:rsidRPr="004325B1">
        <w:rPr>
          <w:rFonts w:ascii="Arial" w:hAnsi="Arial" w:cs="Arial"/>
          <w:sz w:val="24"/>
          <w:szCs w:val="24"/>
          <w:lang w:val="it-IT"/>
        </w:rPr>
        <w:t>. sunt prezentate grafic concentraţiile radionuclidului natural K-40 şi  ale radionuclidului arti</w:t>
      </w:r>
      <w:r w:rsidRPr="004325B1">
        <w:rPr>
          <w:rFonts w:ascii="Arial" w:hAnsi="Arial" w:cs="Arial"/>
          <w:sz w:val="24"/>
          <w:szCs w:val="24"/>
          <w:lang w:val="fr-FR"/>
        </w:rPr>
        <w:t>ficial</w:t>
      </w:r>
      <w:r w:rsidRPr="007105C6">
        <w:rPr>
          <w:rFonts w:ascii="Arial" w:hAnsi="Arial" w:cs="Arial"/>
          <w:sz w:val="24"/>
          <w:szCs w:val="24"/>
          <w:lang w:val="fr-FR"/>
        </w:rPr>
        <w:t xml:space="preserve"> Cs-137 în probele de sol arabil colectate din zona de influenţă a CNE Cernavodă. </w:t>
      </w:r>
    </w:p>
    <w:p w:rsidR="00B84559" w:rsidRPr="007105C6" w:rsidRDefault="00B84559" w:rsidP="00B84559">
      <w:pPr>
        <w:pStyle w:val="Indentcorptext2"/>
        <w:tabs>
          <w:tab w:val="left" w:pos="709"/>
        </w:tabs>
        <w:rPr>
          <w:rFonts w:ascii="Arial" w:hAnsi="Arial" w:cs="Arial"/>
          <w:sz w:val="24"/>
          <w:szCs w:val="24"/>
          <w:lang w:val="fr-FR"/>
        </w:rPr>
      </w:pPr>
    </w:p>
    <w:p w:rsidR="00B84559" w:rsidRPr="00CF6025" w:rsidRDefault="00B84559" w:rsidP="00B84559">
      <w:pPr>
        <w:pStyle w:val="Indentcorptext"/>
        <w:tabs>
          <w:tab w:val="left" w:pos="0"/>
          <w:tab w:val="left" w:pos="7740"/>
        </w:tabs>
        <w:ind w:firstLine="0"/>
        <w:rPr>
          <w:rFonts w:ascii="Arial" w:hAnsi="Arial" w:cs="Arial"/>
        </w:rPr>
      </w:pPr>
      <w:r w:rsidRPr="00CF6025">
        <w:rPr>
          <w:rFonts w:ascii="Arial" w:hAnsi="Arial" w:cs="Arial"/>
        </w:rPr>
        <w:object w:dxaOrig="9787" w:dyaOrig="3560">
          <v:shape id="_x0000_i1030" type="#_x0000_t75" style="width:489.45pt;height:178.3pt" o:ole="" o:bordertopcolor="this" o:borderleftcolor="this" o:borderbottomcolor="this" o:borderrightcolor="this" fillcolor="window">
            <v:imagedata r:id="rId55" o:title=""/>
            <w10:bordertop type="single" width="4"/>
            <w10:borderleft type="single" width="4"/>
            <w10:borderbottom type="single" width="4"/>
            <w10:borderright type="single" width="4"/>
          </v:shape>
          <o:OLEObject Type="Embed" ProgID="MSGraph.Chart.8" ShapeID="_x0000_i1030" DrawAspect="Content" ObjectID="_1543303404" r:id="rId56">
            <o:FieldCodes>\s</o:FieldCodes>
          </o:OLEObject>
        </w:object>
      </w:r>
    </w:p>
    <w:p w:rsidR="00B84559" w:rsidRPr="00CF6025" w:rsidRDefault="00B84559" w:rsidP="00B84559">
      <w:pPr>
        <w:pStyle w:val="Indentcorptext"/>
        <w:tabs>
          <w:tab w:val="left" w:pos="0"/>
          <w:tab w:val="left" w:pos="7740"/>
        </w:tabs>
        <w:ind w:firstLine="0"/>
        <w:rPr>
          <w:rFonts w:ascii="Arial" w:hAnsi="Arial" w:cs="Arial"/>
        </w:rPr>
      </w:pPr>
    </w:p>
    <w:p w:rsidR="00B84559" w:rsidRPr="00CF6025" w:rsidRDefault="00B84559" w:rsidP="00B84559">
      <w:pPr>
        <w:pStyle w:val="Indentcorptext"/>
        <w:tabs>
          <w:tab w:val="left" w:pos="0"/>
          <w:tab w:val="left" w:pos="7740"/>
        </w:tabs>
        <w:ind w:firstLine="0"/>
        <w:rPr>
          <w:rFonts w:ascii="Arial" w:hAnsi="Arial" w:cs="Arial"/>
        </w:rPr>
      </w:pPr>
    </w:p>
    <w:p w:rsidR="00B84559" w:rsidRPr="00CF6025" w:rsidRDefault="00B84559" w:rsidP="00B84559">
      <w:pPr>
        <w:pStyle w:val="Indentcorptext"/>
        <w:tabs>
          <w:tab w:val="left" w:pos="0"/>
          <w:tab w:val="left" w:pos="7740"/>
        </w:tabs>
        <w:ind w:firstLine="0"/>
        <w:rPr>
          <w:rFonts w:ascii="Arial" w:hAnsi="Arial" w:cs="Arial"/>
          <w:b/>
        </w:rPr>
      </w:pPr>
      <w:r w:rsidRPr="00CF6025">
        <w:rPr>
          <w:rFonts w:ascii="Arial" w:hAnsi="Arial" w:cs="Arial"/>
        </w:rPr>
        <w:object w:dxaOrig="9533" w:dyaOrig="3617">
          <v:shape id="_x0000_i1031" type="#_x0000_t75" style="width:476.55pt;height:180.85pt" o:ole="" o:bordertopcolor="this" o:borderleftcolor="this" o:borderbottomcolor="this" o:borderrightcolor="this" fillcolor="window">
            <v:imagedata r:id="rId57" o:title=""/>
            <w10:bordertop type="single" width="4"/>
            <w10:borderleft type="single" width="4"/>
            <w10:borderbottom type="single" width="4"/>
            <w10:borderright type="single" width="4"/>
          </v:shape>
          <o:OLEObject Type="Embed" ProgID="MSGraph.Chart.8" ShapeID="_x0000_i1031" DrawAspect="Content" ObjectID="_1543303405" r:id="rId58">
            <o:FieldCodes>\s</o:FieldCodes>
          </o:OLEObject>
        </w:object>
      </w:r>
    </w:p>
    <w:p w:rsidR="00B84559" w:rsidRDefault="00B84559" w:rsidP="00B84559">
      <w:pPr>
        <w:pStyle w:val="Indentcorptext2"/>
        <w:tabs>
          <w:tab w:val="left" w:pos="709"/>
        </w:tabs>
        <w:rPr>
          <w:rFonts w:ascii="Arial" w:hAnsi="Arial" w:cs="Arial"/>
          <w:sz w:val="24"/>
          <w:szCs w:val="24"/>
          <w:lang w:val="ro-RO"/>
        </w:rPr>
      </w:pPr>
    </w:p>
    <w:p w:rsidR="00B84559" w:rsidRPr="004B3D71" w:rsidRDefault="00B84559" w:rsidP="00674B63">
      <w:pPr>
        <w:pStyle w:val="Indentcorptext2"/>
        <w:tabs>
          <w:tab w:val="left" w:pos="709"/>
        </w:tabs>
        <w:spacing w:line="240" w:lineRule="auto"/>
        <w:jc w:val="both"/>
        <w:rPr>
          <w:rFonts w:ascii="Arial" w:hAnsi="Arial" w:cs="Arial"/>
          <w:sz w:val="24"/>
          <w:szCs w:val="24"/>
        </w:rPr>
      </w:pPr>
      <w:r>
        <w:rPr>
          <w:rFonts w:ascii="Arial" w:hAnsi="Arial" w:cs="Arial"/>
          <w:sz w:val="24"/>
          <w:szCs w:val="24"/>
          <w:lang w:val="ro-RO"/>
        </w:rPr>
        <w:t xml:space="preserve">În cadrul </w:t>
      </w:r>
      <w:r w:rsidRPr="00A434FF">
        <w:rPr>
          <w:rFonts w:ascii="Arial" w:hAnsi="Arial" w:cs="Arial"/>
          <w:b/>
          <w:sz w:val="24"/>
          <w:szCs w:val="24"/>
          <w:lang w:val="ro-RO"/>
        </w:rPr>
        <w:t xml:space="preserve">programului de monitorizare </w:t>
      </w:r>
      <w:r>
        <w:rPr>
          <w:rFonts w:ascii="Arial" w:hAnsi="Arial" w:cs="Arial"/>
          <w:b/>
          <w:sz w:val="24"/>
          <w:szCs w:val="24"/>
          <w:lang w:val="ro-RO"/>
        </w:rPr>
        <w:t xml:space="preserve">în zone cu fond modificat antropic, </w:t>
      </w:r>
      <w:r w:rsidRPr="00345167">
        <w:rPr>
          <w:rFonts w:ascii="Arial" w:hAnsi="Arial" w:cs="Arial"/>
          <w:sz w:val="24"/>
          <w:szCs w:val="24"/>
          <w:lang w:val="ro-RO"/>
        </w:rPr>
        <w:t xml:space="preserve">SSRM Constanţa a </w:t>
      </w:r>
      <w:r w:rsidRPr="00345167">
        <w:rPr>
          <w:rFonts w:ascii="Arial" w:hAnsi="Arial" w:cs="Arial"/>
          <w:sz w:val="24"/>
          <w:szCs w:val="24"/>
        </w:rPr>
        <w:t xml:space="preserve"> prelevat anual probe de sol arabil din locaţiile </w:t>
      </w:r>
      <w:r>
        <w:rPr>
          <w:rFonts w:ascii="Arial" w:hAnsi="Arial" w:cs="Arial"/>
          <w:sz w:val="24"/>
          <w:szCs w:val="24"/>
        </w:rPr>
        <w:t xml:space="preserve">Constanţa, Mamaia Sat, Năvodari, </w:t>
      </w:r>
      <w:r w:rsidRPr="00345167">
        <w:rPr>
          <w:rFonts w:ascii="Arial" w:hAnsi="Arial" w:cs="Arial"/>
          <w:sz w:val="24"/>
          <w:szCs w:val="24"/>
        </w:rPr>
        <w:t>Lumina</w:t>
      </w:r>
      <w:r>
        <w:rPr>
          <w:rFonts w:ascii="Arial" w:hAnsi="Arial" w:cs="Arial"/>
          <w:sz w:val="24"/>
          <w:szCs w:val="24"/>
        </w:rPr>
        <w:t xml:space="preserve"> şi Vadu. </w:t>
      </w:r>
      <w:r w:rsidRPr="00345167">
        <w:rPr>
          <w:rFonts w:ascii="Arial" w:hAnsi="Arial" w:cs="Arial"/>
          <w:sz w:val="24"/>
          <w:szCs w:val="24"/>
        </w:rPr>
        <w:t>Probele au</w:t>
      </w:r>
      <w:r w:rsidRPr="007C37C7">
        <w:rPr>
          <w:rFonts w:ascii="Arial" w:hAnsi="Arial" w:cs="Arial"/>
          <w:sz w:val="24"/>
          <w:szCs w:val="24"/>
        </w:rPr>
        <w:t xml:space="preserve"> fost analizate gama spectrometric pentru identificarea radionuclizilor gama emiţători, iar rezultatele sunt r</w:t>
      </w:r>
      <w:r>
        <w:rPr>
          <w:rFonts w:ascii="Arial" w:hAnsi="Arial" w:cs="Arial"/>
          <w:sz w:val="24"/>
          <w:szCs w:val="24"/>
        </w:rPr>
        <w:t xml:space="preserve">aportate în Bq/kg masă uscată. </w:t>
      </w:r>
      <w:r w:rsidRPr="007C37C7">
        <w:rPr>
          <w:rFonts w:ascii="Arial" w:hAnsi="Arial" w:cs="Arial"/>
          <w:sz w:val="24"/>
          <w:szCs w:val="24"/>
        </w:rPr>
        <w:t xml:space="preserve">În probele analizate au fost identificaţi radionuclizi din seriile radioactive naturale </w:t>
      </w:r>
      <w:r>
        <w:rPr>
          <w:rFonts w:ascii="Arial" w:hAnsi="Arial" w:cs="Arial"/>
          <w:sz w:val="24"/>
          <w:szCs w:val="24"/>
          <w:lang w:val="ro-RO"/>
        </w:rPr>
        <w:t xml:space="preserve">şi </w:t>
      </w:r>
      <w:r w:rsidRPr="007C37C7">
        <w:rPr>
          <w:rFonts w:ascii="Arial" w:hAnsi="Arial" w:cs="Arial"/>
          <w:sz w:val="24"/>
          <w:szCs w:val="24"/>
        </w:rPr>
        <w:t xml:space="preserve">K-40. Nivelul </w:t>
      </w:r>
      <w:r w:rsidRPr="004325B1">
        <w:rPr>
          <w:rFonts w:ascii="Arial" w:hAnsi="Arial" w:cs="Arial"/>
          <w:sz w:val="24"/>
          <w:szCs w:val="24"/>
        </w:rPr>
        <w:t>concentraţiilor radionuclidului natural K-40 , cel care are contribuţia cea mai mare la iradierea externă, a fost între 50.08 – 550.5 Bq/kg, cu incertitudini de măsurare de 3-4</w:t>
      </w:r>
      <w:r>
        <w:rPr>
          <w:rFonts w:ascii="Arial" w:hAnsi="Arial" w:cs="Arial"/>
          <w:sz w:val="24"/>
          <w:szCs w:val="24"/>
        </w:rPr>
        <w:t>%.</w:t>
      </w:r>
      <w:r w:rsidRPr="004325B1">
        <w:rPr>
          <w:rFonts w:ascii="Arial" w:hAnsi="Arial" w:cs="Arial"/>
          <w:sz w:val="24"/>
          <w:szCs w:val="24"/>
        </w:rPr>
        <w:t xml:space="preserve">În toate probele a fost identificat radionuclidul artificial Cs-137, a cărui prezenţă în sol se datorează accidentului de la </w:t>
      </w:r>
      <w:r w:rsidRPr="004325B1">
        <w:rPr>
          <w:rFonts w:ascii="Arial" w:hAnsi="Arial" w:cs="Arial"/>
          <w:sz w:val="24"/>
          <w:szCs w:val="24"/>
          <w:lang w:val="it-IT"/>
        </w:rPr>
        <w:t xml:space="preserve">Cernobâl. Concentraţiile de Cs-137 din sol s-au situat între     </w:t>
      </w:r>
      <w:r w:rsidRPr="004325B1">
        <w:rPr>
          <w:rFonts w:ascii="Arial" w:hAnsi="Arial" w:cs="Arial"/>
          <w:sz w:val="24"/>
          <w:szCs w:val="24"/>
          <w:lang w:val="it-IT"/>
        </w:rPr>
        <w:lastRenderedPageBreak/>
        <w:t>0.9 – 9.6 Bq/kg,  cu incertitudini de m</w:t>
      </w:r>
      <w:r w:rsidRPr="004325B1">
        <w:rPr>
          <w:rFonts w:ascii="Arial" w:hAnsi="Arial" w:cs="Arial"/>
          <w:sz w:val="24"/>
          <w:szCs w:val="24"/>
          <w:lang w:val="ro-RO"/>
        </w:rPr>
        <w:t>ăsurare de 4-22</w:t>
      </w:r>
      <w:r w:rsidRPr="004325B1">
        <w:rPr>
          <w:rFonts w:ascii="Arial" w:hAnsi="Arial" w:cs="Arial"/>
          <w:sz w:val="24"/>
          <w:szCs w:val="24"/>
          <w:lang w:val="it-IT"/>
        </w:rPr>
        <w:t>% . Alţi radionuclizi urmăriţi , având în vedere vecinătatea cu haldele de fosfogips, au fost Ra-226 (concentraţii de 3.34 – 36.4 Bq/kg), Th-234 (concentraţii de 6.1 – 58.3 Bq/kg), U-235 (concentraţii de 0.9 – 4.5 Bq/kg).</w:t>
      </w:r>
    </w:p>
    <w:p w:rsidR="00155493" w:rsidRPr="00980254" w:rsidRDefault="00155493" w:rsidP="003227B8">
      <w:pPr>
        <w:pStyle w:val="Indentcorptext2"/>
        <w:tabs>
          <w:tab w:val="left" w:pos="709"/>
        </w:tabs>
        <w:spacing w:line="240" w:lineRule="auto"/>
        <w:ind w:left="0"/>
        <w:jc w:val="both"/>
        <w:rPr>
          <w:rFonts w:ascii="Arial" w:hAnsi="Arial" w:cs="Arial"/>
          <w:color w:val="FF0000"/>
          <w:sz w:val="24"/>
          <w:szCs w:val="24"/>
          <w:lang w:val="it-IT"/>
        </w:rPr>
      </w:pPr>
    </w:p>
    <w:p w:rsidR="00897C52" w:rsidRPr="00674B63" w:rsidRDefault="00897C52" w:rsidP="00897C52">
      <w:pPr>
        <w:pStyle w:val="Listparagraf"/>
        <w:numPr>
          <w:ilvl w:val="2"/>
          <w:numId w:val="3"/>
        </w:numPr>
        <w:autoSpaceDE w:val="0"/>
        <w:autoSpaceDN w:val="0"/>
        <w:adjustRightInd w:val="0"/>
        <w:jc w:val="both"/>
        <w:rPr>
          <w:rFonts w:ascii="Arial" w:hAnsi="Arial" w:cs="Arial"/>
          <w:b/>
          <w:i/>
          <w:sz w:val="24"/>
          <w:szCs w:val="24"/>
          <w:lang w:val="it-IT"/>
        </w:rPr>
      </w:pPr>
      <w:r w:rsidRPr="00674B63">
        <w:rPr>
          <w:rFonts w:ascii="Arial" w:hAnsi="Arial" w:cs="Arial"/>
          <w:b/>
          <w:i/>
          <w:sz w:val="24"/>
          <w:szCs w:val="24"/>
          <w:lang w:val="it-IT"/>
        </w:rPr>
        <w:t>Radioactivitatea vegeta</w:t>
      </w:r>
      <w:r w:rsidRPr="00674B63">
        <w:rPr>
          <w:rFonts w:ascii="Arial" w:hAnsi="Arial" w:cs="Arial"/>
          <w:i/>
          <w:sz w:val="24"/>
          <w:szCs w:val="24"/>
        </w:rPr>
        <w:t>ț</w:t>
      </w:r>
      <w:r w:rsidRPr="00674B63">
        <w:rPr>
          <w:rFonts w:ascii="Arial" w:hAnsi="Arial" w:cs="Arial"/>
          <w:b/>
          <w:i/>
          <w:sz w:val="24"/>
          <w:szCs w:val="24"/>
          <w:lang w:val="it-IT"/>
        </w:rPr>
        <w:t>iei</w:t>
      </w:r>
    </w:p>
    <w:p w:rsidR="00B84559" w:rsidRPr="00674B63" w:rsidRDefault="00B84559" w:rsidP="00B84559">
      <w:pPr>
        <w:autoSpaceDE w:val="0"/>
        <w:autoSpaceDN w:val="0"/>
        <w:adjustRightInd w:val="0"/>
        <w:jc w:val="both"/>
        <w:rPr>
          <w:rFonts w:ascii="Arial" w:hAnsi="Arial" w:cs="Arial"/>
          <w:b/>
          <w:i/>
          <w:lang w:val="it-IT"/>
        </w:rPr>
      </w:pPr>
      <w:r w:rsidRPr="00674B63">
        <w:rPr>
          <w:rFonts w:ascii="Arial" w:hAnsi="Arial" w:cs="Arial"/>
          <w:b/>
          <w:lang w:val="it-IT"/>
        </w:rPr>
        <w:t xml:space="preserve">A. </w:t>
      </w:r>
      <w:r w:rsidRPr="00674B63">
        <w:rPr>
          <w:rFonts w:ascii="Arial" w:hAnsi="Arial" w:cs="Arial"/>
          <w:b/>
        </w:rPr>
        <w:t xml:space="preserve">Indicatori specifici </w:t>
      </w:r>
      <w:r w:rsidRPr="00674B63">
        <w:rPr>
          <w:rFonts w:ascii="Arial" w:hAnsi="Arial" w:cs="Arial"/>
          <w:i/>
        </w:rPr>
        <w:t>- nu este cazul</w:t>
      </w:r>
      <w:r w:rsidRPr="00674B63">
        <w:rPr>
          <w:rFonts w:ascii="Arial" w:hAnsi="Arial" w:cs="Arial"/>
          <w:b/>
          <w:lang w:val="it-IT"/>
        </w:rPr>
        <w:t xml:space="preserve"> </w:t>
      </w:r>
    </w:p>
    <w:p w:rsidR="00B84559" w:rsidRPr="00674B63" w:rsidRDefault="00B84559" w:rsidP="00B84559">
      <w:pPr>
        <w:pStyle w:val="Corptext3"/>
        <w:numPr>
          <w:ilvl w:val="0"/>
          <w:numId w:val="39"/>
        </w:numPr>
        <w:spacing w:after="0"/>
        <w:jc w:val="both"/>
        <w:rPr>
          <w:rFonts w:ascii="Arial" w:hAnsi="Arial" w:cs="Arial"/>
          <w:b/>
          <w:sz w:val="24"/>
          <w:szCs w:val="24"/>
        </w:rPr>
      </w:pPr>
      <w:r w:rsidRPr="00674B63">
        <w:rPr>
          <w:rFonts w:ascii="Arial" w:hAnsi="Arial" w:cs="Arial"/>
          <w:b/>
          <w:sz w:val="24"/>
          <w:szCs w:val="24"/>
        </w:rPr>
        <w:t xml:space="preserve"> Alte date și informații specifice</w:t>
      </w:r>
    </w:p>
    <w:p w:rsidR="00B84559" w:rsidRPr="00674B63" w:rsidRDefault="00B84559" w:rsidP="00B84559">
      <w:pPr>
        <w:pStyle w:val="Corptext3"/>
        <w:rPr>
          <w:rFonts w:ascii="Arial" w:hAnsi="Arial" w:cs="Arial"/>
          <w:b/>
          <w:sz w:val="24"/>
          <w:szCs w:val="24"/>
        </w:rPr>
      </w:pPr>
    </w:p>
    <w:p w:rsidR="00B84559" w:rsidRPr="00674B63" w:rsidRDefault="00B84559" w:rsidP="00B84559">
      <w:pPr>
        <w:pStyle w:val="Listparagraf"/>
        <w:numPr>
          <w:ilvl w:val="0"/>
          <w:numId w:val="40"/>
        </w:numPr>
        <w:autoSpaceDE w:val="0"/>
        <w:autoSpaceDN w:val="0"/>
        <w:adjustRightInd w:val="0"/>
        <w:spacing w:after="0" w:line="240" w:lineRule="auto"/>
        <w:rPr>
          <w:rFonts w:ascii="Arial" w:hAnsi="Arial" w:cs="Arial"/>
          <w:sz w:val="24"/>
          <w:szCs w:val="24"/>
        </w:rPr>
      </w:pPr>
      <w:r w:rsidRPr="00674B63">
        <w:rPr>
          <w:rFonts w:ascii="Arial" w:hAnsi="Arial" w:cs="Arial"/>
          <w:b/>
          <w:sz w:val="24"/>
          <w:szCs w:val="24"/>
        </w:rPr>
        <w:t>Vegetaţie spontană colectată în cadrul Programului standard</w:t>
      </w:r>
    </w:p>
    <w:p w:rsidR="00B84559" w:rsidRPr="00402AA4" w:rsidRDefault="00B84559" w:rsidP="00B84559">
      <w:pPr>
        <w:pStyle w:val="Listparagraf"/>
        <w:autoSpaceDE w:val="0"/>
        <w:autoSpaceDN w:val="0"/>
        <w:adjustRightInd w:val="0"/>
        <w:ind w:left="0" w:firstLine="720"/>
        <w:jc w:val="both"/>
        <w:rPr>
          <w:rFonts w:ascii="Arial" w:hAnsi="Arial" w:cs="Arial"/>
          <w:sz w:val="24"/>
          <w:szCs w:val="24"/>
        </w:rPr>
      </w:pPr>
      <w:r w:rsidRPr="00674B63">
        <w:rPr>
          <w:rFonts w:ascii="Arial" w:hAnsi="Arial" w:cs="Arial"/>
          <w:sz w:val="24"/>
          <w:szCs w:val="24"/>
        </w:rPr>
        <w:t xml:space="preserve">Probele de vegetaţie spontană au fost prelevate în cursul anului 2015 cu frecvenţă săptămânală, în perioada aprilie-octombrie, din perimetrul amplasamentului fiecărei SSRM. Probele au fost prelucrate şi măsurate beta global. </w:t>
      </w:r>
      <w:r w:rsidRPr="00674B63">
        <w:rPr>
          <w:rFonts w:ascii="Arial" w:hAnsi="Arial" w:cs="Arial"/>
          <w:sz w:val="24"/>
          <w:szCs w:val="24"/>
          <w:lang w:val="it-IT"/>
        </w:rPr>
        <w:t xml:space="preserve">Rezultatele </w:t>
      </w:r>
      <w:r w:rsidRPr="00402AA4">
        <w:rPr>
          <w:rFonts w:ascii="Arial" w:hAnsi="Arial" w:cs="Arial"/>
          <w:sz w:val="24"/>
          <w:szCs w:val="24"/>
          <w:lang w:val="it-IT"/>
        </w:rPr>
        <w:t xml:space="preserve">obţinute la SSRM din judeţul Constanţa sunt </w:t>
      </w:r>
      <w:r w:rsidRPr="004325B1">
        <w:rPr>
          <w:rFonts w:ascii="Arial" w:hAnsi="Arial" w:cs="Arial"/>
          <w:sz w:val="24"/>
          <w:szCs w:val="24"/>
          <w:lang w:val="it-IT"/>
        </w:rPr>
        <w:t>prezentate în figura IX.44. Radioactivitatea artificială beta globală în probele de vegetaţie spontană a variat în intervalul 76.90 – 499.6 Bq/kg  mas</w:t>
      </w:r>
      <w:r w:rsidRPr="004325B1">
        <w:rPr>
          <w:rFonts w:ascii="Arial" w:hAnsi="Arial" w:cs="Arial"/>
          <w:sz w:val="24"/>
          <w:szCs w:val="24"/>
        </w:rPr>
        <w:t>ă verde (m.v.). Maxima anuală la SSRM Constanţa a fost de 499.6</w:t>
      </w:r>
      <w:r w:rsidRPr="004325B1">
        <w:rPr>
          <w:rFonts w:ascii="Arial" w:hAnsi="Arial" w:cs="Arial"/>
          <w:color w:val="FF6600"/>
          <w:sz w:val="24"/>
          <w:szCs w:val="24"/>
        </w:rPr>
        <w:t xml:space="preserve"> </w:t>
      </w:r>
      <w:r w:rsidRPr="004325B1">
        <w:rPr>
          <w:rFonts w:ascii="Arial" w:hAnsi="Arial" w:cs="Arial"/>
          <w:sz w:val="24"/>
          <w:szCs w:val="24"/>
        </w:rPr>
        <w:t>Bq/kg m.v., înregistrată în data de 02.07.2015, iar la SSRM Cernavodă de 330.87 Bq/ kg m.v., înregistrată în data de 29.10.2015</w:t>
      </w:r>
      <w:r w:rsidRPr="00402AA4">
        <w:rPr>
          <w:rFonts w:ascii="Arial" w:hAnsi="Arial" w:cs="Arial"/>
          <w:sz w:val="24"/>
          <w:szCs w:val="24"/>
        </w:rPr>
        <w:t xml:space="preserve"> </w:t>
      </w:r>
    </w:p>
    <w:p w:rsidR="00B84559" w:rsidRDefault="00B84559" w:rsidP="00B84559">
      <w:pPr>
        <w:pStyle w:val="Indentcorptext2"/>
        <w:tabs>
          <w:tab w:val="left" w:pos="709"/>
        </w:tabs>
        <w:rPr>
          <w:sz w:val="24"/>
          <w:lang w:val="ro-RO"/>
        </w:rPr>
      </w:pPr>
      <w:r>
        <w:rPr>
          <w:noProof/>
          <w:lang w:val="en-US" w:eastAsia="en-US"/>
        </w:rPr>
        <w:drawing>
          <wp:inline distT="0" distB="0" distL="0" distR="0" wp14:anchorId="11B89E15" wp14:editId="72954579">
            <wp:extent cx="6151880" cy="2515394"/>
            <wp:effectExtent l="0" t="0" r="20320" b="18415"/>
            <wp:docPr id="35" name="Obiect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B84559" w:rsidRDefault="00B84559" w:rsidP="00B84559">
      <w:pPr>
        <w:autoSpaceDE w:val="0"/>
        <w:autoSpaceDN w:val="0"/>
        <w:adjustRightInd w:val="0"/>
        <w:ind w:firstLine="720"/>
        <w:jc w:val="both"/>
        <w:rPr>
          <w:rFonts w:ascii="Arial" w:hAnsi="Arial" w:cs="Arial"/>
        </w:rPr>
      </w:pPr>
      <w:r w:rsidRPr="004325B1">
        <w:rPr>
          <w:rFonts w:ascii="Arial" w:hAnsi="Arial" w:cs="Arial"/>
        </w:rPr>
        <w:t>Variaţia multianuală a mediilor şi maximelor anuale ale activităţii beta globale a probelor de vegetaţie spontană, înregistrate la SSRM Constanţa şi Cernavodă este prezentată în figura IX.45.</w:t>
      </w:r>
    </w:p>
    <w:p w:rsidR="00B84559" w:rsidRDefault="00B84559" w:rsidP="00B84559">
      <w:pPr>
        <w:pStyle w:val="Indentcorptext2"/>
        <w:tabs>
          <w:tab w:val="left" w:pos="709"/>
        </w:tabs>
        <w:rPr>
          <w:sz w:val="24"/>
          <w:lang w:val="ro-RO"/>
        </w:rPr>
      </w:pPr>
    </w:p>
    <w:p w:rsidR="00B84559" w:rsidRDefault="00B84559" w:rsidP="00B84559">
      <w:pPr>
        <w:pStyle w:val="Indentcorptext2"/>
        <w:tabs>
          <w:tab w:val="left" w:pos="709"/>
        </w:tabs>
        <w:rPr>
          <w:sz w:val="24"/>
          <w:lang w:val="ro-RO"/>
        </w:rPr>
      </w:pPr>
      <w:r>
        <w:rPr>
          <w:noProof/>
          <w:lang w:val="en-US" w:eastAsia="en-US"/>
        </w:rPr>
        <w:lastRenderedPageBreak/>
        <w:drawing>
          <wp:inline distT="0" distB="0" distL="0" distR="0" wp14:anchorId="5879BC40" wp14:editId="5137C661">
            <wp:extent cx="6153150" cy="2600325"/>
            <wp:effectExtent l="0" t="0" r="19050" b="9525"/>
            <wp:docPr id="44" name="Diagramă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B84559" w:rsidRDefault="00B84559" w:rsidP="00B84559">
      <w:pPr>
        <w:pStyle w:val="Indentcorptext"/>
        <w:tabs>
          <w:tab w:val="left" w:pos="709"/>
        </w:tabs>
        <w:ind w:firstLine="0"/>
        <w:rPr>
          <w:rFonts w:ascii="Arial" w:hAnsi="Arial" w:cs="Arial"/>
          <w:b/>
        </w:rPr>
      </w:pPr>
    </w:p>
    <w:p w:rsidR="00B84559" w:rsidRPr="00337ECF" w:rsidRDefault="00B84559" w:rsidP="00B84559">
      <w:pPr>
        <w:pStyle w:val="Listparagraf"/>
        <w:numPr>
          <w:ilvl w:val="0"/>
          <w:numId w:val="40"/>
        </w:numPr>
        <w:autoSpaceDE w:val="0"/>
        <w:autoSpaceDN w:val="0"/>
        <w:adjustRightInd w:val="0"/>
        <w:spacing w:after="0" w:line="240" w:lineRule="auto"/>
        <w:rPr>
          <w:rFonts w:ascii="Arial" w:hAnsi="Arial" w:cs="Arial"/>
          <w:sz w:val="24"/>
          <w:szCs w:val="24"/>
        </w:rPr>
      </w:pPr>
      <w:r>
        <w:rPr>
          <w:rFonts w:ascii="Arial" w:hAnsi="Arial" w:cs="Arial"/>
          <w:b/>
          <w:sz w:val="24"/>
          <w:szCs w:val="24"/>
        </w:rPr>
        <w:t xml:space="preserve">Vegetaţie spontană colectată în cadrul Programelor speciale de monitorizare </w:t>
      </w:r>
    </w:p>
    <w:p w:rsidR="00B84559" w:rsidRDefault="00B84559" w:rsidP="00B84559">
      <w:pPr>
        <w:pStyle w:val="Indentcorptext"/>
        <w:tabs>
          <w:tab w:val="left" w:pos="709"/>
        </w:tabs>
        <w:ind w:firstLine="0"/>
        <w:rPr>
          <w:rFonts w:ascii="Arial" w:hAnsi="Arial" w:cs="Arial"/>
          <w:b/>
        </w:rPr>
      </w:pPr>
    </w:p>
    <w:p w:rsidR="00B84559" w:rsidRDefault="00B84559" w:rsidP="00B84559">
      <w:pPr>
        <w:autoSpaceDE w:val="0"/>
        <w:autoSpaceDN w:val="0"/>
        <w:adjustRightInd w:val="0"/>
        <w:ind w:firstLine="720"/>
        <w:jc w:val="both"/>
        <w:rPr>
          <w:rFonts w:ascii="Arial" w:hAnsi="Arial" w:cs="Arial"/>
          <w:lang w:val="ro-RO"/>
        </w:rPr>
      </w:pPr>
      <w:r w:rsidRPr="009D01D4">
        <w:rPr>
          <w:rFonts w:ascii="Arial" w:hAnsi="Arial" w:cs="Arial"/>
          <w:lang w:val="ro-RO"/>
        </w:rPr>
        <w:t xml:space="preserve">Pentru analiza gama spectrometrică SSRM Galaţi, Buzău, Tulcea, Sfântu Gheorghe </w:t>
      </w:r>
      <w:r>
        <w:rPr>
          <w:rFonts w:ascii="Arial" w:hAnsi="Arial" w:cs="Arial"/>
          <w:lang w:val="ro-RO"/>
        </w:rPr>
        <w:t>au prelevat câte o probă anuală de vegetaţie spontană, de pe o suprafaţă de 1 mp. SSRM Constanţa şi SSRM Cernavodă au prelevat probe semestriale de vegetaţie spontană. Probele au fost expediate la sediul SSRM Constanţa pentru măsurare. Rezultatele sunt raportate în Bq</w:t>
      </w:r>
      <w:r w:rsidRPr="007105C6">
        <w:rPr>
          <w:rFonts w:ascii="Arial" w:hAnsi="Arial" w:cs="Arial"/>
          <w:lang w:val="ro-RO"/>
        </w:rPr>
        <w:t>/</w:t>
      </w:r>
      <w:r>
        <w:rPr>
          <w:rFonts w:ascii="Arial" w:hAnsi="Arial" w:cs="Arial"/>
          <w:lang w:val="ro-RO"/>
        </w:rPr>
        <w:t xml:space="preserve">kg masă verde. Radionuclizii cu ponderea cea mai mare in radioactivitatea probelor de vegetaţie </w:t>
      </w:r>
      <w:r w:rsidRPr="004325B1">
        <w:rPr>
          <w:rFonts w:ascii="Arial" w:hAnsi="Arial" w:cs="Arial"/>
          <w:lang w:val="ro-RO"/>
        </w:rPr>
        <w:t xml:space="preserve">au fost </w:t>
      </w:r>
      <w:r w:rsidRPr="004325B1">
        <w:rPr>
          <w:rFonts w:ascii="Arial" w:hAnsi="Arial" w:cs="Arial"/>
          <w:lang w:val="it-IT"/>
        </w:rPr>
        <w:t xml:space="preserve">K-40 </w:t>
      </w:r>
      <w:r w:rsidRPr="004325B1">
        <w:rPr>
          <w:rFonts w:ascii="Arial" w:hAnsi="Arial" w:cs="Arial"/>
          <w:lang w:val="ro-RO"/>
        </w:rPr>
        <w:t>şi</w:t>
      </w:r>
      <w:r w:rsidRPr="004325B1">
        <w:rPr>
          <w:rFonts w:ascii="Arial" w:hAnsi="Arial" w:cs="Arial"/>
          <w:lang w:val="it-IT"/>
        </w:rPr>
        <w:t xml:space="preserve"> Be-7. Radionuclidul K-40</w:t>
      </w:r>
      <w:r w:rsidRPr="004325B1">
        <w:rPr>
          <w:rFonts w:ascii="Arial" w:hAnsi="Arial" w:cs="Arial"/>
          <w:lang w:val="ro-RO"/>
        </w:rPr>
        <w:t>, de origine terestră, poate fi identificat în toate probele măsurate, în cantităţi mari</w:t>
      </w:r>
      <w:r w:rsidRPr="004325B1">
        <w:rPr>
          <w:rFonts w:ascii="Arial" w:hAnsi="Arial" w:cs="Arial"/>
          <w:lang w:val="it-IT"/>
        </w:rPr>
        <w:t>, ca urmare a migr</w:t>
      </w:r>
      <w:r w:rsidRPr="004325B1">
        <w:rPr>
          <w:rFonts w:ascii="Arial" w:hAnsi="Arial" w:cs="Arial"/>
          <w:lang w:val="ro-RO"/>
        </w:rPr>
        <w:t>ării acestuia din sol în plante prin procese de absorbţie radiculară. Concentraţiile de K-40 variază între 134.5 Bq/kg ( SSRM Cernavodă) şi 283.6 Bq/kg ( SSRM Buz</w:t>
      </w:r>
      <w:r w:rsidRPr="004325B1">
        <w:rPr>
          <w:rFonts w:ascii="Arial" w:hAnsi="Arial" w:cs="Arial"/>
          <w:bCs/>
        </w:rPr>
        <w:t>ă</w:t>
      </w:r>
      <w:r w:rsidRPr="004325B1">
        <w:rPr>
          <w:rFonts w:ascii="Arial" w:hAnsi="Arial" w:cs="Arial"/>
          <w:lang w:val="ro-RO"/>
        </w:rPr>
        <w:t>u), impreciziile statistice fiind de 3-5</w:t>
      </w:r>
      <w:r>
        <w:rPr>
          <w:rFonts w:ascii="Arial" w:hAnsi="Arial" w:cs="Arial"/>
          <w:lang w:val="ro-RO"/>
        </w:rPr>
        <w:t xml:space="preserve">%.Radionuclidul Be-7, </w:t>
      </w:r>
      <w:r w:rsidRPr="004325B1">
        <w:rPr>
          <w:rFonts w:ascii="Arial" w:hAnsi="Arial" w:cs="Arial"/>
          <w:lang w:val="ro-RO"/>
        </w:rPr>
        <w:t>de origine cosmogenică, a putut fi identificat în toate probele de vegetaţie spontană prelevate, prezenţa acestuia datorându-se proceselor de depunere directă a radionuclidului pe suprafaţa aeriană a plantelor. Concentraţiile de Be-7 variază între 6.9 Bq/kg ( SSRM Tulcea) şi 74.1 Bq/kg (SSRM Constanţa</w:t>
      </w:r>
      <w:r>
        <w:rPr>
          <w:rFonts w:ascii="Arial" w:hAnsi="Arial" w:cs="Arial"/>
          <w:lang w:val="ro-RO"/>
        </w:rPr>
        <w:t xml:space="preserve">, </w:t>
      </w:r>
      <w:r w:rsidRPr="004325B1">
        <w:rPr>
          <w:rFonts w:ascii="Arial" w:hAnsi="Arial" w:cs="Arial"/>
          <w:lang w:val="ro-RO"/>
        </w:rPr>
        <w:t>luna octombrie), impreciziile statistice variind între 4% si 21% (figura IX.46.).</w:t>
      </w:r>
      <w:r>
        <w:rPr>
          <w:rFonts w:ascii="Arial" w:hAnsi="Arial" w:cs="Arial"/>
          <w:lang w:val="ro-RO"/>
        </w:rPr>
        <w:t xml:space="preserve"> Nu au fost identificaţi radionuclizi artificiali.</w:t>
      </w:r>
    </w:p>
    <w:p w:rsidR="00B84559" w:rsidRPr="007105C6" w:rsidRDefault="00B84559" w:rsidP="00B84559">
      <w:pPr>
        <w:autoSpaceDE w:val="0"/>
        <w:autoSpaceDN w:val="0"/>
        <w:adjustRightInd w:val="0"/>
        <w:ind w:firstLine="720"/>
        <w:jc w:val="both"/>
        <w:rPr>
          <w:color w:val="FF0000"/>
          <w:lang w:val="ro-RO"/>
        </w:rPr>
      </w:pPr>
    </w:p>
    <w:p w:rsidR="00B84559" w:rsidRDefault="00B84559" w:rsidP="00B84559">
      <w:pPr>
        <w:autoSpaceDE w:val="0"/>
        <w:autoSpaceDN w:val="0"/>
        <w:adjustRightInd w:val="0"/>
        <w:jc w:val="center"/>
        <w:rPr>
          <w:color w:val="FF0000"/>
        </w:rPr>
      </w:pPr>
      <w:bookmarkStart w:id="104" w:name="_MON_1369836281"/>
      <w:bookmarkStart w:id="105" w:name="_MON_1369836349"/>
      <w:bookmarkStart w:id="106" w:name="_MON_1370035373"/>
      <w:bookmarkStart w:id="107" w:name="_MON_1370035635"/>
      <w:bookmarkStart w:id="108" w:name="_MON_1370035687"/>
      <w:bookmarkStart w:id="109" w:name="_MON_1401011271"/>
      <w:bookmarkStart w:id="110" w:name="_MON_1401019541"/>
      <w:bookmarkStart w:id="111" w:name="_MON_1401019602"/>
      <w:bookmarkStart w:id="112" w:name="_MON_1401102190"/>
      <w:bookmarkStart w:id="113" w:name="_MON_1432731713"/>
      <w:bookmarkStart w:id="114" w:name="_MON_1432731861"/>
      <w:bookmarkStart w:id="115" w:name="_MON_1465466107"/>
      <w:bookmarkStart w:id="116" w:name="_MON_1465466357"/>
      <w:bookmarkStart w:id="117" w:name="_MON_1369835605"/>
      <w:bookmarkStart w:id="118" w:name="_MON_1369836128"/>
      <w:bookmarkStart w:id="119" w:name="_MON_1369836176"/>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Pr>
          <w:noProof/>
          <w:lang w:val="en-US"/>
        </w:rPr>
        <w:drawing>
          <wp:inline distT="0" distB="0" distL="0" distR="0">
            <wp:extent cx="5998210" cy="2231390"/>
            <wp:effectExtent l="0" t="0" r="0" b="0"/>
            <wp:docPr id="39" name="Diagramă 3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B84559" w:rsidRPr="007105C6" w:rsidRDefault="00B84559" w:rsidP="00B84559">
      <w:pPr>
        <w:tabs>
          <w:tab w:val="left" w:pos="-1985"/>
          <w:tab w:val="left" w:pos="567"/>
          <w:tab w:val="left" w:pos="720"/>
          <w:tab w:val="left" w:pos="1134"/>
          <w:tab w:val="left" w:pos="1418"/>
          <w:tab w:val="left" w:pos="3402"/>
          <w:tab w:val="left" w:pos="7938"/>
        </w:tabs>
        <w:jc w:val="both"/>
        <w:rPr>
          <w:rFonts w:ascii="Arial" w:hAnsi="Arial" w:cs="Arial"/>
          <w:bCs/>
          <w:lang w:val="pt-BR"/>
        </w:rPr>
      </w:pPr>
      <w:r>
        <w:rPr>
          <w:rFonts w:ascii="Arial" w:hAnsi="Arial" w:cs="Arial"/>
        </w:rPr>
        <w:tab/>
      </w:r>
      <w:r w:rsidRPr="007105C6">
        <w:rPr>
          <w:rFonts w:ascii="Arial" w:hAnsi="Arial" w:cs="Arial"/>
          <w:bCs/>
          <w:lang w:val="pt-BR"/>
        </w:rPr>
        <w:t xml:space="preserve">În </w:t>
      </w:r>
      <w:r>
        <w:rPr>
          <w:rFonts w:ascii="Arial" w:hAnsi="Arial" w:cs="Arial"/>
          <w:bCs/>
          <w:lang w:val="pt-BR"/>
        </w:rPr>
        <w:t xml:space="preserve">cadrul </w:t>
      </w:r>
      <w:r>
        <w:rPr>
          <w:rFonts w:ascii="Arial" w:hAnsi="Arial" w:cs="Arial"/>
          <w:b/>
          <w:bCs/>
          <w:lang w:val="pt-BR"/>
        </w:rPr>
        <w:t xml:space="preserve">programului de monitorizare a funcţionării </w:t>
      </w:r>
      <w:r w:rsidRPr="00E0634F">
        <w:rPr>
          <w:rFonts w:ascii="Arial" w:hAnsi="Arial" w:cs="Arial"/>
          <w:b/>
          <w:bCs/>
          <w:lang w:val="pt-BR"/>
        </w:rPr>
        <w:t>CNE</w:t>
      </w:r>
      <w:r>
        <w:rPr>
          <w:rFonts w:ascii="Arial" w:hAnsi="Arial" w:cs="Arial"/>
          <w:bCs/>
          <w:lang w:val="pt-BR"/>
        </w:rPr>
        <w:t>,</w:t>
      </w:r>
      <w:r w:rsidRPr="007105C6">
        <w:rPr>
          <w:rFonts w:ascii="Arial" w:hAnsi="Arial" w:cs="Arial"/>
          <w:bCs/>
          <w:lang w:val="pt-BR"/>
        </w:rPr>
        <w:t xml:space="preserve"> SSRM Cernavodă a prelevat cu frecvenţă semestrială, probe de vegetaţie spontană din: Seimeni, Capidava, Medgidia, Tortomanu, Cochirleni, zona Ecluză Cernavodă, Feteşti, Rasova şi Mircea Vodă.</w:t>
      </w:r>
    </w:p>
    <w:p w:rsidR="00B84559" w:rsidRPr="007105C6" w:rsidRDefault="00B84559" w:rsidP="00B84559">
      <w:pPr>
        <w:tabs>
          <w:tab w:val="left" w:pos="-1985"/>
          <w:tab w:val="left" w:pos="567"/>
          <w:tab w:val="left" w:pos="720"/>
          <w:tab w:val="left" w:pos="1134"/>
          <w:tab w:val="left" w:pos="1418"/>
          <w:tab w:val="left" w:pos="3402"/>
          <w:tab w:val="left" w:pos="7938"/>
        </w:tabs>
        <w:jc w:val="both"/>
        <w:rPr>
          <w:rFonts w:ascii="Arial" w:hAnsi="Arial" w:cs="Arial"/>
          <w:bCs/>
          <w:lang w:val="pt-BR"/>
        </w:rPr>
      </w:pPr>
      <w:r>
        <w:rPr>
          <w:rFonts w:ascii="Arial" w:hAnsi="Arial" w:cs="Arial"/>
          <w:bCs/>
          <w:lang w:val="pt-BR"/>
        </w:rPr>
        <w:lastRenderedPageBreak/>
        <w:t xml:space="preserve">        </w:t>
      </w:r>
      <w:r w:rsidRPr="00EE665F">
        <w:rPr>
          <w:rFonts w:ascii="Arial" w:hAnsi="Arial" w:cs="Arial"/>
          <w:bCs/>
        </w:rPr>
        <w:t xml:space="preserve">Probele au fost prelucrate şi măsurate beta global la cinci zile de la colectare. Toate valorile activităţilor specifice obţinute au fost semnificative şi au variat în intervalul             78.24 – 300.30 Bq/kg m.v. Maxima anuală s-a înregistrat pentru proba colectată în data de 01.09.2015 de la Tortomanu. Incertitudinile statistice asociate procesului de măsurare au fost cuprinse în intervalul 7-19%. </w:t>
      </w:r>
      <w:r w:rsidRPr="00EE665F">
        <w:rPr>
          <w:rFonts w:ascii="Arial" w:hAnsi="Arial" w:cs="Arial"/>
          <w:bCs/>
          <w:lang w:val="pt-BR"/>
        </w:rPr>
        <w:t>Rezultatele sunt prezentate în tabelul următor:</w:t>
      </w:r>
    </w:p>
    <w:p w:rsidR="00B84559" w:rsidRDefault="00B84559" w:rsidP="00B84559">
      <w:pPr>
        <w:tabs>
          <w:tab w:val="left" w:pos="-1985"/>
          <w:tab w:val="left" w:pos="567"/>
          <w:tab w:val="left" w:pos="720"/>
          <w:tab w:val="left" w:pos="1134"/>
          <w:tab w:val="left" w:pos="1418"/>
          <w:tab w:val="left" w:pos="3402"/>
          <w:tab w:val="left" w:pos="7938"/>
        </w:tabs>
        <w:jc w:val="both"/>
        <w:rPr>
          <w:rFonts w:ascii="Arial" w:hAnsi="Arial" w:cs="Arial"/>
          <w:b/>
          <w:bCs/>
          <w:lang w:val="pt-BR"/>
        </w:rPr>
      </w:pPr>
    </w:p>
    <w:p w:rsidR="00B84559" w:rsidRPr="009F137C" w:rsidRDefault="00B84559" w:rsidP="00B84559">
      <w:pPr>
        <w:tabs>
          <w:tab w:val="left" w:pos="-1985"/>
          <w:tab w:val="left" w:pos="567"/>
          <w:tab w:val="left" w:pos="720"/>
          <w:tab w:val="left" w:pos="1134"/>
          <w:tab w:val="left" w:pos="1418"/>
          <w:tab w:val="left" w:pos="3402"/>
          <w:tab w:val="left" w:pos="7938"/>
        </w:tabs>
        <w:jc w:val="both"/>
        <w:rPr>
          <w:rFonts w:ascii="Arial" w:hAnsi="Arial" w:cs="Arial"/>
          <w:b/>
          <w:bCs/>
          <w:lang w:val="pt-BR"/>
        </w:rPr>
      </w:pPr>
      <w:r w:rsidRPr="00EE665F">
        <w:rPr>
          <w:rFonts w:ascii="Arial" w:hAnsi="Arial" w:cs="Arial"/>
          <w:b/>
          <w:bCs/>
          <w:lang w:val="pt-BR"/>
        </w:rPr>
        <w:t>Valorile activităţilor</w:t>
      </w:r>
      <w:r w:rsidRPr="009F137C">
        <w:rPr>
          <w:rFonts w:ascii="Arial" w:hAnsi="Arial" w:cs="Arial"/>
          <w:b/>
          <w:bCs/>
          <w:lang w:val="pt-BR"/>
        </w:rPr>
        <w:t xml:space="preserve"> specifice beta globale ale vegetaţiei spontane  (Bq/kg mas</w:t>
      </w:r>
      <w:r>
        <w:rPr>
          <w:rFonts w:ascii="Arial" w:hAnsi="Arial" w:cs="Arial"/>
          <w:b/>
          <w:bCs/>
          <w:lang w:val="ro-RO"/>
        </w:rPr>
        <w:t>ă verde</w:t>
      </w:r>
      <w:r w:rsidRPr="009F137C">
        <w:rPr>
          <w:rFonts w:ascii="Arial" w:hAnsi="Arial" w:cs="Arial"/>
          <w:b/>
          <w:bCs/>
          <w:lang w:val="pt-BR"/>
        </w:rPr>
        <w:t xml:space="preserve">) colectate din zona de influenţă a CNE Cernavodă </w:t>
      </w:r>
      <w:r>
        <w:rPr>
          <w:rFonts w:ascii="Arial" w:hAnsi="Arial" w:cs="Arial"/>
          <w:b/>
          <w:bCs/>
          <w:lang w:val="pt-BR"/>
        </w:rPr>
        <w:t>în 2015</w:t>
      </w:r>
    </w:p>
    <w:tbl>
      <w:tblPr>
        <w:tblW w:w="9639"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560"/>
        <w:gridCol w:w="1134"/>
        <w:gridCol w:w="1134"/>
        <w:gridCol w:w="1134"/>
        <w:gridCol w:w="1275"/>
        <w:gridCol w:w="993"/>
        <w:gridCol w:w="1559"/>
        <w:gridCol w:w="850"/>
      </w:tblGrid>
      <w:tr w:rsidR="00B84559" w:rsidRPr="00CF6025" w:rsidTr="00596839">
        <w:trPr>
          <w:trHeight w:val="284"/>
        </w:trPr>
        <w:tc>
          <w:tcPr>
            <w:tcW w:w="1560" w:type="dxa"/>
          </w:tcPr>
          <w:p w:rsidR="00B84559" w:rsidRPr="000E2BED" w:rsidRDefault="00B84559" w:rsidP="00596839">
            <w:pPr>
              <w:tabs>
                <w:tab w:val="left" w:pos="1119"/>
              </w:tabs>
              <w:jc w:val="center"/>
              <w:rPr>
                <w:rFonts w:ascii="Arial" w:hAnsi="Arial" w:cs="Arial"/>
                <w:sz w:val="22"/>
                <w:szCs w:val="22"/>
              </w:rPr>
            </w:pPr>
            <w:r w:rsidRPr="000E2BED">
              <w:rPr>
                <w:rFonts w:ascii="Arial" w:hAnsi="Arial" w:cs="Arial"/>
                <w:sz w:val="22"/>
                <w:szCs w:val="22"/>
              </w:rPr>
              <w:t>Locul prelevării</w:t>
            </w:r>
          </w:p>
        </w:tc>
        <w:tc>
          <w:tcPr>
            <w:tcW w:w="1134" w:type="dxa"/>
            <w:vAlign w:val="center"/>
          </w:tcPr>
          <w:p w:rsidR="00B84559" w:rsidRPr="000E2BED" w:rsidRDefault="00B84559" w:rsidP="00596839">
            <w:pPr>
              <w:pStyle w:val="Titlu3"/>
              <w:numPr>
                <w:ilvl w:val="2"/>
                <w:numId w:val="0"/>
              </w:numPr>
              <w:tabs>
                <w:tab w:val="left" w:pos="1119"/>
              </w:tabs>
              <w:jc w:val="center"/>
              <w:rPr>
                <w:szCs w:val="22"/>
              </w:rPr>
            </w:pPr>
            <w:r w:rsidRPr="000E2BED">
              <w:rPr>
                <w:szCs w:val="22"/>
              </w:rPr>
              <w:t>Minima</w:t>
            </w:r>
          </w:p>
          <w:p w:rsidR="00B84559" w:rsidRPr="000E2BED" w:rsidRDefault="00B84559" w:rsidP="00596839">
            <w:pPr>
              <w:jc w:val="center"/>
              <w:rPr>
                <w:rFonts w:ascii="Arial" w:hAnsi="Arial" w:cs="Arial"/>
                <w:sz w:val="22"/>
                <w:szCs w:val="22"/>
              </w:rPr>
            </w:pPr>
            <w:r w:rsidRPr="000E2BED">
              <w:rPr>
                <w:rFonts w:ascii="Arial" w:hAnsi="Arial" w:cs="Arial"/>
                <w:sz w:val="22"/>
                <w:szCs w:val="22"/>
              </w:rPr>
              <w:t>anuală</w:t>
            </w:r>
          </w:p>
        </w:tc>
        <w:tc>
          <w:tcPr>
            <w:tcW w:w="1134" w:type="dxa"/>
            <w:vAlign w:val="center"/>
          </w:tcPr>
          <w:p w:rsidR="00B84559" w:rsidRPr="000E2BED" w:rsidRDefault="00B84559" w:rsidP="00596839">
            <w:pPr>
              <w:pStyle w:val="Titlu3"/>
              <w:numPr>
                <w:ilvl w:val="2"/>
                <w:numId w:val="0"/>
              </w:numPr>
              <w:tabs>
                <w:tab w:val="left" w:pos="1119"/>
              </w:tabs>
              <w:jc w:val="center"/>
              <w:rPr>
                <w:szCs w:val="22"/>
              </w:rPr>
            </w:pPr>
            <w:r w:rsidRPr="000E2BED">
              <w:rPr>
                <w:szCs w:val="22"/>
              </w:rPr>
              <w:t>Media</w:t>
            </w:r>
          </w:p>
          <w:p w:rsidR="00B84559" w:rsidRPr="000E2BED" w:rsidRDefault="00B84559" w:rsidP="00596839">
            <w:pPr>
              <w:jc w:val="center"/>
              <w:rPr>
                <w:rFonts w:ascii="Arial" w:hAnsi="Arial" w:cs="Arial"/>
                <w:sz w:val="22"/>
                <w:szCs w:val="22"/>
              </w:rPr>
            </w:pPr>
            <w:r w:rsidRPr="000E2BED">
              <w:rPr>
                <w:rFonts w:ascii="Arial" w:hAnsi="Arial" w:cs="Arial"/>
                <w:sz w:val="22"/>
                <w:szCs w:val="22"/>
              </w:rPr>
              <w:t>anuală</w:t>
            </w:r>
          </w:p>
        </w:tc>
        <w:tc>
          <w:tcPr>
            <w:tcW w:w="1134" w:type="dxa"/>
            <w:vAlign w:val="center"/>
          </w:tcPr>
          <w:p w:rsidR="00B84559" w:rsidRPr="000E2BED" w:rsidRDefault="00B84559" w:rsidP="00596839">
            <w:pPr>
              <w:pStyle w:val="Titlu3"/>
              <w:numPr>
                <w:ilvl w:val="2"/>
                <w:numId w:val="0"/>
              </w:numPr>
              <w:tabs>
                <w:tab w:val="left" w:pos="1119"/>
              </w:tabs>
              <w:jc w:val="center"/>
              <w:rPr>
                <w:szCs w:val="22"/>
              </w:rPr>
            </w:pPr>
            <w:r w:rsidRPr="000E2BED">
              <w:rPr>
                <w:szCs w:val="22"/>
              </w:rPr>
              <w:t>Maxima</w:t>
            </w:r>
          </w:p>
          <w:p w:rsidR="00B84559" w:rsidRPr="000E2BED" w:rsidRDefault="00B84559" w:rsidP="00596839">
            <w:pPr>
              <w:jc w:val="center"/>
              <w:rPr>
                <w:rFonts w:ascii="Arial" w:hAnsi="Arial" w:cs="Arial"/>
                <w:sz w:val="22"/>
                <w:szCs w:val="22"/>
              </w:rPr>
            </w:pPr>
            <w:r w:rsidRPr="000E2BED">
              <w:rPr>
                <w:rFonts w:ascii="Arial" w:hAnsi="Arial" w:cs="Arial"/>
                <w:sz w:val="22"/>
                <w:szCs w:val="22"/>
              </w:rPr>
              <w:t>anuală</w:t>
            </w:r>
          </w:p>
        </w:tc>
        <w:tc>
          <w:tcPr>
            <w:tcW w:w="1275" w:type="dxa"/>
            <w:vAlign w:val="center"/>
          </w:tcPr>
          <w:p w:rsidR="00B84559" w:rsidRPr="000E2BED" w:rsidRDefault="00B84559" w:rsidP="00596839">
            <w:pPr>
              <w:tabs>
                <w:tab w:val="left" w:pos="1119"/>
              </w:tabs>
              <w:jc w:val="center"/>
              <w:rPr>
                <w:rFonts w:ascii="Arial" w:hAnsi="Arial" w:cs="Arial"/>
                <w:sz w:val="22"/>
                <w:szCs w:val="22"/>
              </w:rPr>
            </w:pPr>
            <w:r w:rsidRPr="000E2BED">
              <w:rPr>
                <w:rFonts w:ascii="Arial" w:hAnsi="Arial" w:cs="Arial"/>
                <w:sz w:val="22"/>
                <w:szCs w:val="22"/>
              </w:rPr>
              <w:t>Data maximei</w:t>
            </w:r>
          </w:p>
        </w:tc>
        <w:tc>
          <w:tcPr>
            <w:tcW w:w="993" w:type="dxa"/>
            <w:vAlign w:val="center"/>
          </w:tcPr>
          <w:p w:rsidR="00B84559" w:rsidRPr="000E2BED" w:rsidRDefault="00B84559" w:rsidP="00596839">
            <w:pPr>
              <w:tabs>
                <w:tab w:val="left" w:pos="1119"/>
              </w:tabs>
              <w:jc w:val="center"/>
              <w:rPr>
                <w:rFonts w:ascii="Arial" w:hAnsi="Arial" w:cs="Arial"/>
                <w:sz w:val="22"/>
                <w:szCs w:val="22"/>
              </w:rPr>
            </w:pPr>
            <w:r>
              <w:rPr>
                <w:rFonts w:ascii="Arial" w:hAnsi="Arial" w:cs="Arial"/>
                <w:sz w:val="22"/>
                <w:szCs w:val="22"/>
              </w:rPr>
              <w:t>Nr.val</w:t>
            </w:r>
          </w:p>
        </w:tc>
        <w:tc>
          <w:tcPr>
            <w:tcW w:w="1559" w:type="dxa"/>
            <w:vAlign w:val="center"/>
          </w:tcPr>
          <w:p w:rsidR="00B84559" w:rsidRPr="000E2BED" w:rsidRDefault="00B84559" w:rsidP="00596839">
            <w:pPr>
              <w:tabs>
                <w:tab w:val="left" w:pos="1119"/>
              </w:tabs>
              <w:jc w:val="center"/>
              <w:rPr>
                <w:rFonts w:ascii="Arial" w:hAnsi="Arial" w:cs="Arial"/>
                <w:sz w:val="22"/>
                <w:szCs w:val="22"/>
              </w:rPr>
            </w:pPr>
            <w:r w:rsidRPr="000E2BED">
              <w:rPr>
                <w:rFonts w:ascii="Arial" w:hAnsi="Arial" w:cs="Arial"/>
                <w:sz w:val="22"/>
                <w:szCs w:val="22"/>
              </w:rPr>
              <w:t>Nr.val</w:t>
            </w:r>
          </w:p>
          <w:p w:rsidR="00B84559" w:rsidRPr="000E2BED" w:rsidRDefault="00B84559" w:rsidP="00596839">
            <w:pPr>
              <w:tabs>
                <w:tab w:val="left" w:pos="1119"/>
              </w:tabs>
              <w:jc w:val="center"/>
              <w:rPr>
                <w:rFonts w:ascii="Arial" w:hAnsi="Arial" w:cs="Arial"/>
                <w:sz w:val="22"/>
                <w:szCs w:val="22"/>
              </w:rPr>
            </w:pPr>
            <w:r w:rsidRPr="000E2BED">
              <w:rPr>
                <w:rFonts w:ascii="Arial" w:hAnsi="Arial" w:cs="Arial"/>
                <w:sz w:val="22"/>
                <w:szCs w:val="22"/>
              </w:rPr>
              <w:t>semnific</w:t>
            </w:r>
            <w:r>
              <w:rPr>
                <w:rFonts w:ascii="Arial" w:hAnsi="Arial" w:cs="Arial"/>
                <w:sz w:val="22"/>
                <w:szCs w:val="22"/>
              </w:rPr>
              <w:t>ative</w:t>
            </w:r>
          </w:p>
        </w:tc>
        <w:tc>
          <w:tcPr>
            <w:tcW w:w="850" w:type="dxa"/>
            <w:vAlign w:val="center"/>
          </w:tcPr>
          <w:p w:rsidR="00B84559" w:rsidRPr="000E2BED" w:rsidRDefault="00B84559" w:rsidP="00596839">
            <w:pPr>
              <w:tabs>
                <w:tab w:val="left" w:pos="1119"/>
              </w:tabs>
              <w:jc w:val="center"/>
              <w:rPr>
                <w:rFonts w:ascii="Arial" w:hAnsi="Arial" w:cs="Arial"/>
                <w:sz w:val="22"/>
                <w:szCs w:val="22"/>
                <w:vertAlign w:val="subscript"/>
              </w:rPr>
            </w:pPr>
            <w:r w:rsidRPr="000E2BED">
              <w:rPr>
                <w:rFonts w:ascii="Arial" w:hAnsi="Arial" w:cs="Arial"/>
                <w:sz w:val="22"/>
                <w:szCs w:val="22"/>
              </w:rPr>
              <w:sym w:font="Symbol" w:char="F065"/>
            </w:r>
            <w:r w:rsidRPr="000E2BED">
              <w:rPr>
                <w:rFonts w:ascii="Arial" w:hAnsi="Arial" w:cs="Arial"/>
                <w:sz w:val="22"/>
                <w:szCs w:val="22"/>
                <w:vertAlign w:val="subscript"/>
              </w:rPr>
              <w:sym w:font="Symbol" w:char="F04C"/>
            </w:r>
          </w:p>
          <w:p w:rsidR="00B84559" w:rsidRPr="000E2BED" w:rsidRDefault="00B84559" w:rsidP="00596839">
            <w:pPr>
              <w:tabs>
                <w:tab w:val="left" w:pos="1119"/>
              </w:tabs>
              <w:ind w:left="-108" w:firstLine="108"/>
              <w:jc w:val="center"/>
              <w:rPr>
                <w:rFonts w:ascii="Arial" w:hAnsi="Arial" w:cs="Arial"/>
                <w:sz w:val="22"/>
                <w:szCs w:val="22"/>
              </w:rPr>
            </w:pPr>
            <w:r w:rsidRPr="000E2BED">
              <w:rPr>
                <w:rFonts w:ascii="Arial" w:hAnsi="Arial" w:cs="Arial"/>
                <w:sz w:val="22"/>
                <w:szCs w:val="22"/>
                <w:vertAlign w:val="subscript"/>
              </w:rPr>
              <w:t>(%)</w:t>
            </w:r>
          </w:p>
        </w:tc>
      </w:tr>
      <w:tr w:rsidR="00B84559" w:rsidRPr="00CF6025" w:rsidTr="00596839">
        <w:trPr>
          <w:trHeight w:val="284"/>
        </w:trPr>
        <w:tc>
          <w:tcPr>
            <w:tcW w:w="1560" w:type="dxa"/>
          </w:tcPr>
          <w:p w:rsidR="00B84559" w:rsidRPr="000E2BED" w:rsidRDefault="00B84559" w:rsidP="00596839">
            <w:pPr>
              <w:tabs>
                <w:tab w:val="left" w:pos="1119"/>
              </w:tabs>
              <w:jc w:val="center"/>
              <w:rPr>
                <w:rFonts w:ascii="Arial" w:hAnsi="Arial" w:cs="Arial"/>
                <w:sz w:val="22"/>
                <w:szCs w:val="22"/>
              </w:rPr>
            </w:pPr>
            <w:r w:rsidRPr="000E2BED">
              <w:rPr>
                <w:rFonts w:ascii="Arial" w:hAnsi="Arial" w:cs="Arial"/>
                <w:sz w:val="22"/>
                <w:szCs w:val="22"/>
              </w:rPr>
              <w:t>Capidava</w:t>
            </w:r>
          </w:p>
        </w:tc>
        <w:tc>
          <w:tcPr>
            <w:tcW w:w="1134" w:type="dxa"/>
            <w:vAlign w:val="bottom"/>
          </w:tcPr>
          <w:p w:rsidR="00B84559" w:rsidRPr="000E2BED" w:rsidRDefault="00B84559" w:rsidP="00596839">
            <w:pPr>
              <w:jc w:val="center"/>
              <w:rPr>
                <w:rFonts w:ascii="Arial" w:eastAsia="Arial Unicode MS" w:hAnsi="Arial" w:cs="Arial"/>
              </w:rPr>
            </w:pPr>
            <w:r>
              <w:rPr>
                <w:rFonts w:ascii="Arial" w:eastAsia="Arial Unicode MS" w:hAnsi="Arial" w:cs="Arial"/>
              </w:rPr>
              <w:t>157.00</w:t>
            </w:r>
          </w:p>
        </w:tc>
        <w:tc>
          <w:tcPr>
            <w:tcW w:w="1134" w:type="dxa"/>
            <w:vAlign w:val="bottom"/>
          </w:tcPr>
          <w:p w:rsidR="00B84559" w:rsidRPr="000E2BED" w:rsidRDefault="00B84559" w:rsidP="00596839">
            <w:pPr>
              <w:jc w:val="center"/>
              <w:rPr>
                <w:rFonts w:ascii="Arial" w:eastAsia="Arial Unicode MS" w:hAnsi="Arial" w:cs="Arial"/>
              </w:rPr>
            </w:pPr>
            <w:r>
              <w:rPr>
                <w:rFonts w:ascii="Arial" w:eastAsia="Arial Unicode MS" w:hAnsi="Arial" w:cs="Arial"/>
              </w:rPr>
              <w:t>172.58</w:t>
            </w:r>
          </w:p>
        </w:tc>
        <w:tc>
          <w:tcPr>
            <w:tcW w:w="1134" w:type="dxa"/>
            <w:vAlign w:val="bottom"/>
          </w:tcPr>
          <w:p w:rsidR="00B84559" w:rsidRPr="000E2BED" w:rsidRDefault="00B84559" w:rsidP="00596839">
            <w:pPr>
              <w:jc w:val="center"/>
              <w:rPr>
                <w:rFonts w:ascii="Arial" w:eastAsia="Arial Unicode MS" w:hAnsi="Arial" w:cs="Arial"/>
              </w:rPr>
            </w:pPr>
            <w:r>
              <w:rPr>
                <w:rFonts w:ascii="Arial" w:eastAsia="Arial Unicode MS" w:hAnsi="Arial" w:cs="Arial"/>
              </w:rPr>
              <w:t>188.16</w:t>
            </w:r>
          </w:p>
        </w:tc>
        <w:tc>
          <w:tcPr>
            <w:tcW w:w="1275" w:type="dxa"/>
            <w:vAlign w:val="bottom"/>
          </w:tcPr>
          <w:p w:rsidR="00B84559" w:rsidRPr="000E2BED" w:rsidRDefault="00B84559" w:rsidP="00596839">
            <w:pPr>
              <w:jc w:val="center"/>
              <w:rPr>
                <w:rFonts w:ascii="Arial" w:eastAsia="Arial Unicode MS" w:hAnsi="Arial" w:cs="Arial"/>
              </w:rPr>
            </w:pPr>
            <w:r>
              <w:rPr>
                <w:rFonts w:ascii="Arial" w:eastAsia="Arial Unicode MS" w:hAnsi="Arial" w:cs="Arial"/>
              </w:rPr>
              <w:t>11.06</w:t>
            </w:r>
          </w:p>
        </w:tc>
        <w:tc>
          <w:tcPr>
            <w:tcW w:w="993" w:type="dxa"/>
            <w:vAlign w:val="bottom"/>
          </w:tcPr>
          <w:p w:rsidR="00B84559" w:rsidRPr="000E2BED" w:rsidRDefault="00B84559" w:rsidP="00596839">
            <w:pPr>
              <w:jc w:val="center"/>
              <w:rPr>
                <w:rFonts w:ascii="Arial" w:eastAsia="Arial Unicode MS" w:hAnsi="Arial" w:cs="Arial"/>
              </w:rPr>
            </w:pPr>
            <w:r w:rsidRPr="000E2BED">
              <w:rPr>
                <w:rFonts w:ascii="Arial" w:eastAsia="Arial Unicode MS" w:hAnsi="Arial" w:cs="Arial"/>
              </w:rPr>
              <w:t>2</w:t>
            </w:r>
          </w:p>
        </w:tc>
        <w:tc>
          <w:tcPr>
            <w:tcW w:w="1559" w:type="dxa"/>
            <w:vAlign w:val="bottom"/>
          </w:tcPr>
          <w:p w:rsidR="00B84559" w:rsidRPr="000E2BED" w:rsidRDefault="00B84559" w:rsidP="00596839">
            <w:pPr>
              <w:jc w:val="center"/>
              <w:rPr>
                <w:rFonts w:ascii="Arial" w:eastAsia="Arial Unicode MS" w:hAnsi="Arial" w:cs="Arial"/>
              </w:rPr>
            </w:pPr>
            <w:r w:rsidRPr="000E2BED">
              <w:rPr>
                <w:rFonts w:ascii="Arial" w:eastAsia="Arial Unicode MS" w:hAnsi="Arial" w:cs="Arial"/>
              </w:rPr>
              <w:t>2</w:t>
            </w:r>
          </w:p>
        </w:tc>
        <w:tc>
          <w:tcPr>
            <w:tcW w:w="850" w:type="dxa"/>
            <w:vAlign w:val="bottom"/>
          </w:tcPr>
          <w:p w:rsidR="00B84559" w:rsidRPr="000E2BED" w:rsidRDefault="00B84559" w:rsidP="00596839">
            <w:pPr>
              <w:jc w:val="center"/>
              <w:rPr>
                <w:rFonts w:ascii="Arial" w:eastAsia="Arial Unicode MS" w:hAnsi="Arial" w:cs="Arial"/>
              </w:rPr>
            </w:pPr>
            <w:r>
              <w:rPr>
                <w:rFonts w:ascii="Arial" w:eastAsia="Arial Unicode MS" w:hAnsi="Arial" w:cs="Arial"/>
              </w:rPr>
              <w:t>10-11</w:t>
            </w:r>
          </w:p>
        </w:tc>
      </w:tr>
      <w:tr w:rsidR="00B84559" w:rsidRPr="00E67013" w:rsidTr="00596839">
        <w:trPr>
          <w:trHeight w:val="284"/>
        </w:trPr>
        <w:tc>
          <w:tcPr>
            <w:tcW w:w="1560" w:type="dxa"/>
          </w:tcPr>
          <w:p w:rsidR="00B84559" w:rsidRPr="000E2BED" w:rsidRDefault="00B84559" w:rsidP="00596839">
            <w:pPr>
              <w:tabs>
                <w:tab w:val="left" w:pos="1119"/>
              </w:tabs>
              <w:jc w:val="center"/>
              <w:rPr>
                <w:rFonts w:ascii="Arial" w:hAnsi="Arial" w:cs="Arial"/>
                <w:sz w:val="22"/>
                <w:szCs w:val="22"/>
              </w:rPr>
            </w:pPr>
            <w:r w:rsidRPr="000E2BED">
              <w:rPr>
                <w:rFonts w:ascii="Arial" w:hAnsi="Arial" w:cs="Arial"/>
                <w:sz w:val="22"/>
                <w:szCs w:val="22"/>
              </w:rPr>
              <w:t>Seimeni</w:t>
            </w:r>
          </w:p>
        </w:tc>
        <w:tc>
          <w:tcPr>
            <w:tcW w:w="1134" w:type="dxa"/>
            <w:vAlign w:val="bottom"/>
          </w:tcPr>
          <w:p w:rsidR="00B84559" w:rsidRPr="000E2BED" w:rsidRDefault="00B84559" w:rsidP="00596839">
            <w:pPr>
              <w:jc w:val="center"/>
              <w:rPr>
                <w:rFonts w:ascii="Arial" w:eastAsia="Arial Unicode MS" w:hAnsi="Arial" w:cs="Arial"/>
              </w:rPr>
            </w:pPr>
            <w:r>
              <w:rPr>
                <w:rFonts w:ascii="Arial" w:eastAsia="Arial Unicode MS" w:hAnsi="Arial" w:cs="Arial"/>
              </w:rPr>
              <w:t>156.50</w:t>
            </w:r>
          </w:p>
        </w:tc>
        <w:tc>
          <w:tcPr>
            <w:tcW w:w="1134" w:type="dxa"/>
            <w:vAlign w:val="bottom"/>
          </w:tcPr>
          <w:p w:rsidR="00B84559" w:rsidRPr="000E2BED" w:rsidRDefault="00B84559" w:rsidP="00596839">
            <w:pPr>
              <w:jc w:val="center"/>
              <w:rPr>
                <w:rFonts w:ascii="Arial" w:eastAsia="Arial Unicode MS" w:hAnsi="Arial" w:cs="Arial"/>
              </w:rPr>
            </w:pPr>
            <w:r>
              <w:rPr>
                <w:rFonts w:ascii="Arial" w:eastAsia="Arial Unicode MS" w:hAnsi="Arial" w:cs="Arial"/>
              </w:rPr>
              <w:t>169.56</w:t>
            </w:r>
          </w:p>
        </w:tc>
        <w:tc>
          <w:tcPr>
            <w:tcW w:w="1134" w:type="dxa"/>
            <w:vAlign w:val="bottom"/>
          </w:tcPr>
          <w:p w:rsidR="00B84559" w:rsidRPr="000E2BED" w:rsidRDefault="00B84559" w:rsidP="00596839">
            <w:pPr>
              <w:jc w:val="center"/>
              <w:rPr>
                <w:rFonts w:ascii="Arial" w:eastAsia="Arial Unicode MS" w:hAnsi="Arial" w:cs="Arial"/>
              </w:rPr>
            </w:pPr>
            <w:r>
              <w:rPr>
                <w:rFonts w:ascii="Arial" w:eastAsia="Arial Unicode MS" w:hAnsi="Arial" w:cs="Arial"/>
              </w:rPr>
              <w:t>182.62</w:t>
            </w:r>
          </w:p>
        </w:tc>
        <w:tc>
          <w:tcPr>
            <w:tcW w:w="1275" w:type="dxa"/>
            <w:vAlign w:val="bottom"/>
          </w:tcPr>
          <w:p w:rsidR="00B84559" w:rsidRPr="000E2BED" w:rsidRDefault="00B84559" w:rsidP="00596839">
            <w:pPr>
              <w:jc w:val="center"/>
              <w:rPr>
                <w:rFonts w:ascii="Arial" w:eastAsia="Arial Unicode MS" w:hAnsi="Arial" w:cs="Arial"/>
              </w:rPr>
            </w:pPr>
            <w:r>
              <w:rPr>
                <w:rFonts w:ascii="Arial" w:eastAsia="Arial Unicode MS" w:hAnsi="Arial" w:cs="Arial"/>
              </w:rPr>
              <w:t>20.09</w:t>
            </w:r>
          </w:p>
        </w:tc>
        <w:tc>
          <w:tcPr>
            <w:tcW w:w="993" w:type="dxa"/>
            <w:vAlign w:val="bottom"/>
          </w:tcPr>
          <w:p w:rsidR="00B84559" w:rsidRPr="000E2BED" w:rsidRDefault="00B84559" w:rsidP="00596839">
            <w:pPr>
              <w:jc w:val="center"/>
              <w:rPr>
                <w:rFonts w:ascii="Arial" w:eastAsia="Arial Unicode MS" w:hAnsi="Arial" w:cs="Arial"/>
              </w:rPr>
            </w:pPr>
            <w:r w:rsidRPr="000E2BED">
              <w:rPr>
                <w:rFonts w:ascii="Arial" w:eastAsia="Arial Unicode MS" w:hAnsi="Arial" w:cs="Arial"/>
              </w:rPr>
              <w:t>2</w:t>
            </w:r>
          </w:p>
        </w:tc>
        <w:tc>
          <w:tcPr>
            <w:tcW w:w="1559" w:type="dxa"/>
            <w:vAlign w:val="bottom"/>
          </w:tcPr>
          <w:p w:rsidR="00B84559" w:rsidRPr="000E2BED" w:rsidRDefault="00B84559" w:rsidP="00596839">
            <w:pPr>
              <w:jc w:val="center"/>
              <w:rPr>
                <w:rFonts w:ascii="Arial" w:eastAsia="Arial Unicode MS" w:hAnsi="Arial" w:cs="Arial"/>
              </w:rPr>
            </w:pPr>
            <w:r w:rsidRPr="000E2BED">
              <w:rPr>
                <w:rFonts w:ascii="Arial" w:eastAsia="Arial Unicode MS" w:hAnsi="Arial" w:cs="Arial"/>
              </w:rPr>
              <w:t>2</w:t>
            </w:r>
          </w:p>
        </w:tc>
        <w:tc>
          <w:tcPr>
            <w:tcW w:w="850" w:type="dxa"/>
            <w:vAlign w:val="bottom"/>
          </w:tcPr>
          <w:p w:rsidR="00B84559" w:rsidRPr="000E2BED" w:rsidRDefault="00B84559" w:rsidP="00596839">
            <w:pPr>
              <w:jc w:val="center"/>
              <w:rPr>
                <w:rFonts w:ascii="Arial" w:eastAsia="Arial Unicode MS" w:hAnsi="Arial" w:cs="Arial"/>
              </w:rPr>
            </w:pPr>
            <w:r>
              <w:rPr>
                <w:rFonts w:ascii="Arial" w:eastAsia="Arial Unicode MS" w:hAnsi="Arial" w:cs="Arial"/>
              </w:rPr>
              <w:t>9-11</w:t>
            </w:r>
          </w:p>
        </w:tc>
      </w:tr>
      <w:tr w:rsidR="00B84559" w:rsidRPr="00CF6025" w:rsidTr="00596839">
        <w:trPr>
          <w:trHeight w:val="284"/>
        </w:trPr>
        <w:tc>
          <w:tcPr>
            <w:tcW w:w="1560" w:type="dxa"/>
          </w:tcPr>
          <w:p w:rsidR="00B84559" w:rsidRPr="000E2BED" w:rsidRDefault="00B84559" w:rsidP="00596839">
            <w:pPr>
              <w:tabs>
                <w:tab w:val="left" w:pos="1119"/>
              </w:tabs>
              <w:jc w:val="center"/>
              <w:rPr>
                <w:rFonts w:ascii="Arial" w:hAnsi="Arial" w:cs="Arial"/>
                <w:sz w:val="22"/>
                <w:szCs w:val="22"/>
              </w:rPr>
            </w:pPr>
            <w:r w:rsidRPr="000E2BED">
              <w:rPr>
                <w:rFonts w:ascii="Arial" w:hAnsi="Arial" w:cs="Arial"/>
                <w:sz w:val="22"/>
                <w:szCs w:val="22"/>
              </w:rPr>
              <w:t>Mircea Vodă</w:t>
            </w:r>
          </w:p>
        </w:tc>
        <w:tc>
          <w:tcPr>
            <w:tcW w:w="1134" w:type="dxa"/>
            <w:vAlign w:val="bottom"/>
          </w:tcPr>
          <w:p w:rsidR="00B84559" w:rsidRPr="000E2BED" w:rsidRDefault="00B84559" w:rsidP="00596839">
            <w:pPr>
              <w:jc w:val="center"/>
              <w:rPr>
                <w:rFonts w:ascii="Arial" w:eastAsia="Arial Unicode MS" w:hAnsi="Arial" w:cs="Arial"/>
              </w:rPr>
            </w:pPr>
            <w:r>
              <w:rPr>
                <w:rFonts w:ascii="Arial" w:eastAsia="Arial Unicode MS" w:hAnsi="Arial" w:cs="Arial"/>
              </w:rPr>
              <w:t>170.44</w:t>
            </w:r>
          </w:p>
        </w:tc>
        <w:tc>
          <w:tcPr>
            <w:tcW w:w="1134" w:type="dxa"/>
            <w:vAlign w:val="bottom"/>
          </w:tcPr>
          <w:p w:rsidR="00B84559" w:rsidRPr="000E2BED" w:rsidRDefault="00B84559" w:rsidP="00596839">
            <w:pPr>
              <w:jc w:val="center"/>
              <w:rPr>
                <w:rFonts w:ascii="Arial" w:eastAsia="Arial Unicode MS" w:hAnsi="Arial" w:cs="Arial"/>
              </w:rPr>
            </w:pPr>
            <w:r>
              <w:rPr>
                <w:rFonts w:ascii="Arial" w:eastAsia="Arial Unicode MS" w:hAnsi="Arial" w:cs="Arial"/>
              </w:rPr>
              <w:t>202.02</w:t>
            </w:r>
          </w:p>
        </w:tc>
        <w:tc>
          <w:tcPr>
            <w:tcW w:w="1134" w:type="dxa"/>
            <w:vAlign w:val="bottom"/>
          </w:tcPr>
          <w:p w:rsidR="00B84559" w:rsidRPr="000E2BED" w:rsidRDefault="00B84559" w:rsidP="00596839">
            <w:pPr>
              <w:jc w:val="center"/>
              <w:rPr>
                <w:rFonts w:ascii="Arial" w:eastAsia="Arial Unicode MS" w:hAnsi="Arial" w:cs="Arial"/>
              </w:rPr>
            </w:pPr>
            <w:r>
              <w:rPr>
                <w:rFonts w:ascii="Arial" w:eastAsia="Arial Unicode MS" w:hAnsi="Arial" w:cs="Arial"/>
              </w:rPr>
              <w:t>233.60</w:t>
            </w:r>
          </w:p>
        </w:tc>
        <w:tc>
          <w:tcPr>
            <w:tcW w:w="1275" w:type="dxa"/>
            <w:vAlign w:val="bottom"/>
          </w:tcPr>
          <w:p w:rsidR="00B84559" w:rsidRPr="000E2BED" w:rsidRDefault="00B84559" w:rsidP="00596839">
            <w:pPr>
              <w:jc w:val="center"/>
              <w:rPr>
                <w:rFonts w:ascii="Arial" w:eastAsia="Arial Unicode MS" w:hAnsi="Arial" w:cs="Arial"/>
              </w:rPr>
            </w:pPr>
            <w:r>
              <w:rPr>
                <w:rFonts w:ascii="Arial" w:eastAsia="Arial Unicode MS" w:hAnsi="Arial" w:cs="Arial"/>
              </w:rPr>
              <w:t>1.09</w:t>
            </w:r>
          </w:p>
        </w:tc>
        <w:tc>
          <w:tcPr>
            <w:tcW w:w="993" w:type="dxa"/>
            <w:vAlign w:val="bottom"/>
          </w:tcPr>
          <w:p w:rsidR="00B84559" w:rsidRPr="000E2BED" w:rsidRDefault="00B84559" w:rsidP="00596839">
            <w:pPr>
              <w:jc w:val="center"/>
              <w:rPr>
                <w:rFonts w:ascii="Arial" w:eastAsia="Arial Unicode MS" w:hAnsi="Arial" w:cs="Arial"/>
              </w:rPr>
            </w:pPr>
            <w:r w:rsidRPr="000E2BED">
              <w:rPr>
                <w:rFonts w:ascii="Arial" w:eastAsia="Arial Unicode MS" w:hAnsi="Arial" w:cs="Arial"/>
              </w:rPr>
              <w:t>2</w:t>
            </w:r>
          </w:p>
        </w:tc>
        <w:tc>
          <w:tcPr>
            <w:tcW w:w="1559" w:type="dxa"/>
            <w:vAlign w:val="bottom"/>
          </w:tcPr>
          <w:p w:rsidR="00B84559" w:rsidRPr="000E2BED" w:rsidRDefault="00B84559" w:rsidP="00596839">
            <w:pPr>
              <w:jc w:val="center"/>
              <w:rPr>
                <w:rFonts w:ascii="Arial" w:eastAsia="Arial Unicode MS" w:hAnsi="Arial" w:cs="Arial"/>
              </w:rPr>
            </w:pPr>
            <w:r w:rsidRPr="000E2BED">
              <w:rPr>
                <w:rFonts w:ascii="Arial" w:eastAsia="Arial Unicode MS" w:hAnsi="Arial" w:cs="Arial"/>
              </w:rPr>
              <w:t>2</w:t>
            </w:r>
          </w:p>
        </w:tc>
        <w:tc>
          <w:tcPr>
            <w:tcW w:w="850" w:type="dxa"/>
            <w:vAlign w:val="bottom"/>
          </w:tcPr>
          <w:p w:rsidR="00B84559" w:rsidRPr="000E2BED" w:rsidRDefault="00B84559" w:rsidP="00596839">
            <w:pPr>
              <w:jc w:val="center"/>
              <w:rPr>
                <w:rFonts w:ascii="Arial" w:eastAsia="Arial Unicode MS" w:hAnsi="Arial" w:cs="Arial"/>
              </w:rPr>
            </w:pPr>
            <w:r>
              <w:rPr>
                <w:rFonts w:ascii="Arial" w:eastAsia="Arial Unicode MS" w:hAnsi="Arial" w:cs="Arial"/>
              </w:rPr>
              <w:t>9-11</w:t>
            </w:r>
          </w:p>
        </w:tc>
      </w:tr>
      <w:tr w:rsidR="00B84559" w:rsidRPr="00CF6025" w:rsidTr="00596839">
        <w:trPr>
          <w:trHeight w:val="284"/>
        </w:trPr>
        <w:tc>
          <w:tcPr>
            <w:tcW w:w="1560" w:type="dxa"/>
          </w:tcPr>
          <w:p w:rsidR="00B84559" w:rsidRPr="000E2BED" w:rsidRDefault="00B84559" w:rsidP="00596839">
            <w:pPr>
              <w:tabs>
                <w:tab w:val="left" w:pos="1119"/>
              </w:tabs>
              <w:jc w:val="center"/>
              <w:rPr>
                <w:rFonts w:ascii="Arial" w:hAnsi="Arial" w:cs="Arial"/>
                <w:sz w:val="22"/>
                <w:szCs w:val="22"/>
              </w:rPr>
            </w:pPr>
            <w:r w:rsidRPr="000E2BED">
              <w:rPr>
                <w:rFonts w:ascii="Arial" w:hAnsi="Arial" w:cs="Arial"/>
                <w:sz w:val="22"/>
                <w:szCs w:val="22"/>
              </w:rPr>
              <w:t>Tortomanu</w:t>
            </w:r>
          </w:p>
        </w:tc>
        <w:tc>
          <w:tcPr>
            <w:tcW w:w="1134" w:type="dxa"/>
            <w:vAlign w:val="bottom"/>
          </w:tcPr>
          <w:p w:rsidR="00B84559" w:rsidRPr="000E2BED" w:rsidRDefault="00B84559" w:rsidP="00596839">
            <w:pPr>
              <w:jc w:val="center"/>
              <w:rPr>
                <w:rFonts w:ascii="Arial" w:eastAsia="Arial Unicode MS" w:hAnsi="Arial" w:cs="Arial"/>
              </w:rPr>
            </w:pPr>
            <w:r>
              <w:rPr>
                <w:rFonts w:ascii="Arial" w:eastAsia="Arial Unicode MS" w:hAnsi="Arial" w:cs="Arial"/>
              </w:rPr>
              <w:t>167.65</w:t>
            </w:r>
          </w:p>
        </w:tc>
        <w:tc>
          <w:tcPr>
            <w:tcW w:w="1134" w:type="dxa"/>
            <w:vAlign w:val="bottom"/>
          </w:tcPr>
          <w:p w:rsidR="00B84559" w:rsidRPr="000E2BED" w:rsidRDefault="00B84559" w:rsidP="00596839">
            <w:pPr>
              <w:jc w:val="center"/>
              <w:rPr>
                <w:rFonts w:ascii="Arial" w:eastAsia="Arial Unicode MS" w:hAnsi="Arial" w:cs="Arial"/>
              </w:rPr>
            </w:pPr>
            <w:r>
              <w:rPr>
                <w:rFonts w:ascii="Arial" w:eastAsia="Arial Unicode MS" w:hAnsi="Arial" w:cs="Arial"/>
              </w:rPr>
              <w:t>233.98</w:t>
            </w:r>
          </w:p>
        </w:tc>
        <w:tc>
          <w:tcPr>
            <w:tcW w:w="1134" w:type="dxa"/>
            <w:vAlign w:val="bottom"/>
          </w:tcPr>
          <w:p w:rsidR="00B84559" w:rsidRPr="000E2BED" w:rsidRDefault="00B84559" w:rsidP="00596839">
            <w:pPr>
              <w:jc w:val="center"/>
              <w:rPr>
                <w:rFonts w:ascii="Arial" w:eastAsia="Arial Unicode MS" w:hAnsi="Arial" w:cs="Arial"/>
              </w:rPr>
            </w:pPr>
            <w:r>
              <w:rPr>
                <w:rFonts w:ascii="Arial" w:eastAsia="Arial Unicode MS" w:hAnsi="Arial" w:cs="Arial"/>
              </w:rPr>
              <w:t>300.30</w:t>
            </w:r>
          </w:p>
        </w:tc>
        <w:tc>
          <w:tcPr>
            <w:tcW w:w="1275" w:type="dxa"/>
            <w:vAlign w:val="bottom"/>
          </w:tcPr>
          <w:p w:rsidR="00B84559" w:rsidRPr="000E2BED" w:rsidRDefault="00B84559" w:rsidP="00596839">
            <w:pPr>
              <w:jc w:val="center"/>
              <w:rPr>
                <w:rFonts w:ascii="Arial" w:eastAsia="Arial Unicode MS" w:hAnsi="Arial" w:cs="Arial"/>
              </w:rPr>
            </w:pPr>
            <w:r>
              <w:rPr>
                <w:rFonts w:ascii="Arial" w:eastAsia="Arial Unicode MS" w:hAnsi="Arial" w:cs="Arial"/>
              </w:rPr>
              <w:t>1.09</w:t>
            </w:r>
          </w:p>
        </w:tc>
        <w:tc>
          <w:tcPr>
            <w:tcW w:w="993" w:type="dxa"/>
            <w:vAlign w:val="bottom"/>
          </w:tcPr>
          <w:p w:rsidR="00B84559" w:rsidRPr="000E2BED" w:rsidRDefault="00B84559" w:rsidP="00596839">
            <w:pPr>
              <w:jc w:val="center"/>
              <w:rPr>
                <w:rFonts w:ascii="Arial" w:eastAsia="Arial Unicode MS" w:hAnsi="Arial" w:cs="Arial"/>
              </w:rPr>
            </w:pPr>
            <w:r w:rsidRPr="000E2BED">
              <w:rPr>
                <w:rFonts w:ascii="Arial" w:eastAsia="Arial Unicode MS" w:hAnsi="Arial" w:cs="Arial"/>
              </w:rPr>
              <w:t>2</w:t>
            </w:r>
          </w:p>
        </w:tc>
        <w:tc>
          <w:tcPr>
            <w:tcW w:w="1559" w:type="dxa"/>
            <w:vAlign w:val="bottom"/>
          </w:tcPr>
          <w:p w:rsidR="00B84559" w:rsidRPr="000E2BED" w:rsidRDefault="00B84559" w:rsidP="00596839">
            <w:pPr>
              <w:jc w:val="center"/>
              <w:rPr>
                <w:rFonts w:ascii="Arial" w:eastAsia="Arial Unicode MS" w:hAnsi="Arial" w:cs="Arial"/>
              </w:rPr>
            </w:pPr>
            <w:r w:rsidRPr="000E2BED">
              <w:rPr>
                <w:rFonts w:ascii="Arial" w:eastAsia="Arial Unicode MS" w:hAnsi="Arial" w:cs="Arial"/>
              </w:rPr>
              <w:t>2</w:t>
            </w:r>
          </w:p>
        </w:tc>
        <w:tc>
          <w:tcPr>
            <w:tcW w:w="850" w:type="dxa"/>
            <w:vAlign w:val="bottom"/>
          </w:tcPr>
          <w:p w:rsidR="00B84559" w:rsidRPr="000E2BED" w:rsidRDefault="00B84559" w:rsidP="00596839">
            <w:pPr>
              <w:jc w:val="center"/>
              <w:rPr>
                <w:rFonts w:ascii="Arial" w:eastAsia="Arial Unicode MS" w:hAnsi="Arial" w:cs="Arial"/>
              </w:rPr>
            </w:pPr>
            <w:r>
              <w:rPr>
                <w:rFonts w:ascii="Arial" w:eastAsia="Arial Unicode MS" w:hAnsi="Arial" w:cs="Arial"/>
              </w:rPr>
              <w:t>7-11</w:t>
            </w:r>
          </w:p>
        </w:tc>
      </w:tr>
      <w:tr w:rsidR="00B84559" w:rsidRPr="00CF6025" w:rsidTr="00596839">
        <w:trPr>
          <w:trHeight w:val="284"/>
        </w:trPr>
        <w:tc>
          <w:tcPr>
            <w:tcW w:w="1560" w:type="dxa"/>
          </w:tcPr>
          <w:p w:rsidR="00B84559" w:rsidRPr="000E2BED" w:rsidRDefault="00B84559" w:rsidP="00596839">
            <w:pPr>
              <w:tabs>
                <w:tab w:val="left" w:pos="1119"/>
              </w:tabs>
              <w:jc w:val="center"/>
              <w:rPr>
                <w:rFonts w:ascii="Arial" w:hAnsi="Arial" w:cs="Arial"/>
                <w:sz w:val="22"/>
                <w:szCs w:val="22"/>
              </w:rPr>
            </w:pPr>
            <w:r w:rsidRPr="000E2BED">
              <w:rPr>
                <w:rFonts w:ascii="Arial" w:hAnsi="Arial" w:cs="Arial"/>
                <w:sz w:val="22"/>
                <w:szCs w:val="22"/>
              </w:rPr>
              <w:t>Medgidia</w:t>
            </w:r>
          </w:p>
        </w:tc>
        <w:tc>
          <w:tcPr>
            <w:tcW w:w="1134" w:type="dxa"/>
            <w:vAlign w:val="bottom"/>
          </w:tcPr>
          <w:p w:rsidR="00B84559" w:rsidRPr="000E2BED" w:rsidRDefault="00B84559" w:rsidP="00596839">
            <w:pPr>
              <w:jc w:val="center"/>
              <w:rPr>
                <w:rFonts w:ascii="Arial" w:eastAsia="Arial Unicode MS" w:hAnsi="Arial" w:cs="Arial"/>
              </w:rPr>
            </w:pPr>
            <w:r>
              <w:rPr>
                <w:rFonts w:ascii="Arial" w:eastAsia="Arial Unicode MS" w:hAnsi="Arial" w:cs="Arial"/>
              </w:rPr>
              <w:t>78.24</w:t>
            </w:r>
          </w:p>
        </w:tc>
        <w:tc>
          <w:tcPr>
            <w:tcW w:w="1134" w:type="dxa"/>
            <w:vAlign w:val="bottom"/>
          </w:tcPr>
          <w:p w:rsidR="00B84559" w:rsidRPr="000E2BED" w:rsidRDefault="00B84559" w:rsidP="00596839">
            <w:pPr>
              <w:jc w:val="center"/>
              <w:rPr>
                <w:rFonts w:ascii="Arial" w:eastAsia="Arial Unicode MS" w:hAnsi="Arial" w:cs="Arial"/>
              </w:rPr>
            </w:pPr>
            <w:r>
              <w:rPr>
                <w:rFonts w:ascii="Arial" w:eastAsia="Arial Unicode MS" w:hAnsi="Arial" w:cs="Arial"/>
              </w:rPr>
              <w:t>122.52</w:t>
            </w:r>
          </w:p>
        </w:tc>
        <w:tc>
          <w:tcPr>
            <w:tcW w:w="1134" w:type="dxa"/>
            <w:vAlign w:val="bottom"/>
          </w:tcPr>
          <w:p w:rsidR="00B84559" w:rsidRPr="000E2BED" w:rsidRDefault="00B84559" w:rsidP="00596839">
            <w:pPr>
              <w:jc w:val="center"/>
              <w:rPr>
                <w:rFonts w:ascii="Arial" w:eastAsia="Arial Unicode MS" w:hAnsi="Arial" w:cs="Arial"/>
              </w:rPr>
            </w:pPr>
            <w:r>
              <w:rPr>
                <w:rFonts w:ascii="Arial" w:eastAsia="Arial Unicode MS" w:hAnsi="Arial" w:cs="Arial"/>
              </w:rPr>
              <w:t>166.80</w:t>
            </w:r>
          </w:p>
        </w:tc>
        <w:tc>
          <w:tcPr>
            <w:tcW w:w="1275" w:type="dxa"/>
            <w:vAlign w:val="bottom"/>
          </w:tcPr>
          <w:p w:rsidR="00B84559" w:rsidRPr="000E2BED" w:rsidRDefault="00B84559" w:rsidP="00596839">
            <w:pPr>
              <w:jc w:val="center"/>
              <w:rPr>
                <w:rFonts w:ascii="Arial" w:eastAsia="Arial Unicode MS" w:hAnsi="Arial" w:cs="Arial"/>
              </w:rPr>
            </w:pPr>
            <w:r>
              <w:rPr>
                <w:rFonts w:ascii="Arial" w:eastAsia="Arial Unicode MS" w:hAnsi="Arial" w:cs="Arial"/>
              </w:rPr>
              <w:t>1.09</w:t>
            </w:r>
          </w:p>
        </w:tc>
        <w:tc>
          <w:tcPr>
            <w:tcW w:w="993" w:type="dxa"/>
            <w:vAlign w:val="bottom"/>
          </w:tcPr>
          <w:p w:rsidR="00B84559" w:rsidRPr="000E2BED" w:rsidRDefault="00B84559" w:rsidP="00596839">
            <w:pPr>
              <w:jc w:val="center"/>
              <w:rPr>
                <w:rFonts w:ascii="Arial" w:eastAsia="Arial Unicode MS" w:hAnsi="Arial" w:cs="Arial"/>
              </w:rPr>
            </w:pPr>
            <w:r w:rsidRPr="000E2BED">
              <w:rPr>
                <w:rFonts w:ascii="Arial" w:eastAsia="Arial Unicode MS" w:hAnsi="Arial" w:cs="Arial"/>
              </w:rPr>
              <w:t>2</w:t>
            </w:r>
          </w:p>
        </w:tc>
        <w:tc>
          <w:tcPr>
            <w:tcW w:w="1559" w:type="dxa"/>
            <w:vAlign w:val="bottom"/>
          </w:tcPr>
          <w:p w:rsidR="00B84559" w:rsidRPr="000E2BED" w:rsidRDefault="00B84559" w:rsidP="00596839">
            <w:pPr>
              <w:jc w:val="center"/>
              <w:rPr>
                <w:rFonts w:ascii="Arial" w:eastAsia="Arial Unicode MS" w:hAnsi="Arial" w:cs="Arial"/>
              </w:rPr>
            </w:pPr>
            <w:r w:rsidRPr="000E2BED">
              <w:rPr>
                <w:rFonts w:ascii="Arial" w:eastAsia="Arial Unicode MS" w:hAnsi="Arial" w:cs="Arial"/>
              </w:rPr>
              <w:t>2</w:t>
            </w:r>
          </w:p>
        </w:tc>
        <w:tc>
          <w:tcPr>
            <w:tcW w:w="850" w:type="dxa"/>
            <w:vAlign w:val="bottom"/>
          </w:tcPr>
          <w:p w:rsidR="00B84559" w:rsidRPr="000E2BED" w:rsidRDefault="00B84559" w:rsidP="00596839">
            <w:pPr>
              <w:jc w:val="center"/>
              <w:rPr>
                <w:rFonts w:ascii="Arial" w:eastAsia="Arial Unicode MS" w:hAnsi="Arial" w:cs="Arial"/>
              </w:rPr>
            </w:pPr>
            <w:r>
              <w:rPr>
                <w:rFonts w:ascii="Arial" w:eastAsia="Arial Unicode MS" w:hAnsi="Arial" w:cs="Arial"/>
              </w:rPr>
              <w:t>10-19</w:t>
            </w:r>
          </w:p>
        </w:tc>
      </w:tr>
      <w:tr w:rsidR="00B84559" w:rsidRPr="00CF6025" w:rsidTr="00596839">
        <w:trPr>
          <w:trHeight w:val="284"/>
        </w:trPr>
        <w:tc>
          <w:tcPr>
            <w:tcW w:w="1560" w:type="dxa"/>
          </w:tcPr>
          <w:p w:rsidR="00B84559" w:rsidRPr="000E2BED" w:rsidRDefault="00B84559" w:rsidP="00596839">
            <w:pPr>
              <w:tabs>
                <w:tab w:val="left" w:pos="1119"/>
              </w:tabs>
              <w:jc w:val="center"/>
              <w:rPr>
                <w:rFonts w:ascii="Arial" w:hAnsi="Arial" w:cs="Arial"/>
                <w:sz w:val="22"/>
                <w:szCs w:val="22"/>
              </w:rPr>
            </w:pPr>
            <w:r w:rsidRPr="000E2BED">
              <w:rPr>
                <w:rFonts w:ascii="Arial" w:hAnsi="Arial" w:cs="Arial"/>
                <w:sz w:val="22"/>
                <w:szCs w:val="22"/>
              </w:rPr>
              <w:t>Rasova</w:t>
            </w:r>
          </w:p>
        </w:tc>
        <w:tc>
          <w:tcPr>
            <w:tcW w:w="1134" w:type="dxa"/>
            <w:vAlign w:val="bottom"/>
          </w:tcPr>
          <w:p w:rsidR="00B84559" w:rsidRPr="000E2BED" w:rsidRDefault="00B84559" w:rsidP="00596839">
            <w:pPr>
              <w:jc w:val="center"/>
              <w:rPr>
                <w:rFonts w:ascii="Arial" w:eastAsia="Arial Unicode MS" w:hAnsi="Arial" w:cs="Arial"/>
              </w:rPr>
            </w:pPr>
            <w:r>
              <w:rPr>
                <w:rFonts w:ascii="Arial" w:eastAsia="Arial Unicode MS" w:hAnsi="Arial" w:cs="Arial"/>
              </w:rPr>
              <w:t>155.00</w:t>
            </w:r>
          </w:p>
        </w:tc>
        <w:tc>
          <w:tcPr>
            <w:tcW w:w="1134" w:type="dxa"/>
            <w:vAlign w:val="bottom"/>
          </w:tcPr>
          <w:p w:rsidR="00B84559" w:rsidRPr="000E2BED" w:rsidRDefault="00B84559" w:rsidP="00596839">
            <w:pPr>
              <w:jc w:val="center"/>
              <w:rPr>
                <w:rFonts w:ascii="Arial" w:eastAsia="Arial Unicode MS" w:hAnsi="Arial" w:cs="Arial"/>
              </w:rPr>
            </w:pPr>
            <w:r>
              <w:rPr>
                <w:rFonts w:ascii="Arial" w:eastAsia="Arial Unicode MS" w:hAnsi="Arial" w:cs="Arial"/>
              </w:rPr>
              <w:t>165.52</w:t>
            </w:r>
          </w:p>
        </w:tc>
        <w:tc>
          <w:tcPr>
            <w:tcW w:w="1134" w:type="dxa"/>
            <w:vAlign w:val="bottom"/>
          </w:tcPr>
          <w:p w:rsidR="00B84559" w:rsidRPr="000E2BED" w:rsidRDefault="00B84559" w:rsidP="00596839">
            <w:pPr>
              <w:jc w:val="center"/>
              <w:rPr>
                <w:rFonts w:ascii="Arial" w:eastAsia="Arial Unicode MS" w:hAnsi="Arial" w:cs="Arial"/>
              </w:rPr>
            </w:pPr>
            <w:r>
              <w:rPr>
                <w:rFonts w:ascii="Arial" w:eastAsia="Arial Unicode MS" w:hAnsi="Arial" w:cs="Arial"/>
              </w:rPr>
              <w:t>176.03</w:t>
            </w:r>
          </w:p>
        </w:tc>
        <w:tc>
          <w:tcPr>
            <w:tcW w:w="1275" w:type="dxa"/>
            <w:vAlign w:val="bottom"/>
          </w:tcPr>
          <w:p w:rsidR="00B84559" w:rsidRPr="000E2BED" w:rsidRDefault="00B84559" w:rsidP="00596839">
            <w:pPr>
              <w:jc w:val="center"/>
              <w:rPr>
                <w:rFonts w:ascii="Arial" w:eastAsia="Arial Unicode MS" w:hAnsi="Arial" w:cs="Arial"/>
              </w:rPr>
            </w:pPr>
            <w:r>
              <w:rPr>
                <w:rFonts w:ascii="Arial" w:eastAsia="Arial Unicode MS" w:hAnsi="Arial" w:cs="Arial"/>
              </w:rPr>
              <w:t>12.06</w:t>
            </w:r>
          </w:p>
        </w:tc>
        <w:tc>
          <w:tcPr>
            <w:tcW w:w="993" w:type="dxa"/>
            <w:vAlign w:val="bottom"/>
          </w:tcPr>
          <w:p w:rsidR="00B84559" w:rsidRPr="000E2BED" w:rsidRDefault="00B84559" w:rsidP="00596839">
            <w:pPr>
              <w:jc w:val="center"/>
              <w:rPr>
                <w:rFonts w:ascii="Arial" w:eastAsia="Arial Unicode MS" w:hAnsi="Arial" w:cs="Arial"/>
              </w:rPr>
            </w:pPr>
            <w:r w:rsidRPr="000E2BED">
              <w:rPr>
                <w:rFonts w:ascii="Arial" w:eastAsia="Arial Unicode MS" w:hAnsi="Arial" w:cs="Arial"/>
              </w:rPr>
              <w:t>2</w:t>
            </w:r>
          </w:p>
        </w:tc>
        <w:tc>
          <w:tcPr>
            <w:tcW w:w="1559" w:type="dxa"/>
            <w:vAlign w:val="bottom"/>
          </w:tcPr>
          <w:p w:rsidR="00B84559" w:rsidRPr="000E2BED" w:rsidRDefault="00B84559" w:rsidP="00596839">
            <w:pPr>
              <w:jc w:val="center"/>
              <w:rPr>
                <w:rFonts w:ascii="Arial" w:eastAsia="Arial Unicode MS" w:hAnsi="Arial" w:cs="Arial"/>
              </w:rPr>
            </w:pPr>
            <w:r w:rsidRPr="000E2BED">
              <w:rPr>
                <w:rFonts w:ascii="Arial" w:eastAsia="Arial Unicode MS" w:hAnsi="Arial" w:cs="Arial"/>
              </w:rPr>
              <w:t>2</w:t>
            </w:r>
          </w:p>
        </w:tc>
        <w:tc>
          <w:tcPr>
            <w:tcW w:w="850" w:type="dxa"/>
            <w:vAlign w:val="bottom"/>
          </w:tcPr>
          <w:p w:rsidR="00B84559" w:rsidRPr="000E2BED" w:rsidRDefault="00B84559" w:rsidP="00596839">
            <w:pPr>
              <w:jc w:val="center"/>
              <w:rPr>
                <w:rFonts w:ascii="Arial" w:eastAsia="Arial Unicode MS" w:hAnsi="Arial" w:cs="Arial"/>
              </w:rPr>
            </w:pPr>
            <w:r>
              <w:rPr>
                <w:rFonts w:ascii="Arial" w:eastAsia="Arial Unicode MS" w:hAnsi="Arial" w:cs="Arial"/>
              </w:rPr>
              <w:t>10-11</w:t>
            </w:r>
          </w:p>
        </w:tc>
      </w:tr>
      <w:tr w:rsidR="00B84559" w:rsidRPr="00CF6025" w:rsidTr="00596839">
        <w:trPr>
          <w:trHeight w:val="284"/>
        </w:trPr>
        <w:tc>
          <w:tcPr>
            <w:tcW w:w="1560" w:type="dxa"/>
          </w:tcPr>
          <w:p w:rsidR="00B84559" w:rsidRPr="000E2BED" w:rsidRDefault="00B84559" w:rsidP="00596839">
            <w:pPr>
              <w:tabs>
                <w:tab w:val="left" w:pos="1119"/>
              </w:tabs>
              <w:jc w:val="center"/>
              <w:rPr>
                <w:rFonts w:ascii="Arial" w:hAnsi="Arial" w:cs="Arial"/>
                <w:sz w:val="22"/>
                <w:szCs w:val="22"/>
              </w:rPr>
            </w:pPr>
            <w:r w:rsidRPr="000E2BED">
              <w:rPr>
                <w:rFonts w:ascii="Arial" w:hAnsi="Arial" w:cs="Arial"/>
                <w:sz w:val="22"/>
                <w:szCs w:val="22"/>
              </w:rPr>
              <w:t>Ecluză</w:t>
            </w:r>
          </w:p>
        </w:tc>
        <w:tc>
          <w:tcPr>
            <w:tcW w:w="1134" w:type="dxa"/>
            <w:vAlign w:val="bottom"/>
          </w:tcPr>
          <w:p w:rsidR="00B84559" w:rsidRPr="000E2BED" w:rsidRDefault="00B84559" w:rsidP="00596839">
            <w:pPr>
              <w:jc w:val="center"/>
              <w:rPr>
                <w:rFonts w:ascii="Arial" w:eastAsia="Arial Unicode MS" w:hAnsi="Arial" w:cs="Arial"/>
              </w:rPr>
            </w:pPr>
            <w:r>
              <w:rPr>
                <w:rFonts w:ascii="Arial" w:eastAsia="Arial Unicode MS" w:hAnsi="Arial" w:cs="Arial"/>
              </w:rPr>
              <w:t>109.00</w:t>
            </w:r>
          </w:p>
        </w:tc>
        <w:tc>
          <w:tcPr>
            <w:tcW w:w="1134" w:type="dxa"/>
            <w:vAlign w:val="bottom"/>
          </w:tcPr>
          <w:p w:rsidR="00B84559" w:rsidRPr="000E2BED" w:rsidRDefault="00B84559" w:rsidP="00596839">
            <w:pPr>
              <w:jc w:val="center"/>
              <w:rPr>
                <w:rFonts w:ascii="Arial" w:eastAsia="Arial Unicode MS" w:hAnsi="Arial" w:cs="Arial"/>
              </w:rPr>
            </w:pPr>
            <w:r>
              <w:rPr>
                <w:rFonts w:ascii="Arial" w:eastAsia="Arial Unicode MS" w:hAnsi="Arial" w:cs="Arial"/>
              </w:rPr>
              <w:t>138.89</w:t>
            </w:r>
          </w:p>
        </w:tc>
        <w:tc>
          <w:tcPr>
            <w:tcW w:w="1134" w:type="dxa"/>
            <w:vAlign w:val="bottom"/>
          </w:tcPr>
          <w:p w:rsidR="00B84559" w:rsidRPr="000E2BED" w:rsidRDefault="00B84559" w:rsidP="00596839">
            <w:pPr>
              <w:jc w:val="center"/>
              <w:rPr>
                <w:rFonts w:ascii="Arial" w:eastAsia="Arial Unicode MS" w:hAnsi="Arial" w:cs="Arial"/>
              </w:rPr>
            </w:pPr>
            <w:r>
              <w:rPr>
                <w:rFonts w:ascii="Arial" w:eastAsia="Arial Unicode MS" w:hAnsi="Arial" w:cs="Arial"/>
              </w:rPr>
              <w:t>168.79</w:t>
            </w:r>
          </w:p>
        </w:tc>
        <w:tc>
          <w:tcPr>
            <w:tcW w:w="1275" w:type="dxa"/>
            <w:vAlign w:val="bottom"/>
          </w:tcPr>
          <w:p w:rsidR="00B84559" w:rsidRPr="000E2BED" w:rsidRDefault="00B84559" w:rsidP="00596839">
            <w:pPr>
              <w:jc w:val="center"/>
              <w:rPr>
                <w:rFonts w:ascii="Arial" w:eastAsia="Arial Unicode MS" w:hAnsi="Arial" w:cs="Arial"/>
              </w:rPr>
            </w:pPr>
            <w:r>
              <w:rPr>
                <w:rFonts w:ascii="Arial" w:eastAsia="Arial Unicode MS" w:hAnsi="Arial" w:cs="Arial"/>
              </w:rPr>
              <w:t>10.06</w:t>
            </w:r>
          </w:p>
        </w:tc>
        <w:tc>
          <w:tcPr>
            <w:tcW w:w="993" w:type="dxa"/>
            <w:vAlign w:val="bottom"/>
          </w:tcPr>
          <w:p w:rsidR="00B84559" w:rsidRPr="000E2BED" w:rsidRDefault="00B84559" w:rsidP="00596839">
            <w:pPr>
              <w:jc w:val="center"/>
              <w:rPr>
                <w:rFonts w:ascii="Arial" w:eastAsia="Arial Unicode MS" w:hAnsi="Arial" w:cs="Arial"/>
              </w:rPr>
            </w:pPr>
            <w:r w:rsidRPr="000E2BED">
              <w:rPr>
                <w:rFonts w:ascii="Arial" w:eastAsia="Arial Unicode MS" w:hAnsi="Arial" w:cs="Arial"/>
              </w:rPr>
              <w:t>2</w:t>
            </w:r>
          </w:p>
        </w:tc>
        <w:tc>
          <w:tcPr>
            <w:tcW w:w="1559" w:type="dxa"/>
            <w:vAlign w:val="bottom"/>
          </w:tcPr>
          <w:p w:rsidR="00B84559" w:rsidRPr="000E2BED" w:rsidRDefault="00B84559" w:rsidP="00596839">
            <w:pPr>
              <w:jc w:val="center"/>
              <w:rPr>
                <w:rFonts w:ascii="Arial" w:eastAsia="Arial Unicode MS" w:hAnsi="Arial" w:cs="Arial"/>
              </w:rPr>
            </w:pPr>
            <w:r w:rsidRPr="000E2BED">
              <w:rPr>
                <w:rFonts w:ascii="Arial" w:eastAsia="Arial Unicode MS" w:hAnsi="Arial" w:cs="Arial"/>
              </w:rPr>
              <w:t>2</w:t>
            </w:r>
          </w:p>
        </w:tc>
        <w:tc>
          <w:tcPr>
            <w:tcW w:w="850" w:type="dxa"/>
            <w:vAlign w:val="bottom"/>
          </w:tcPr>
          <w:p w:rsidR="00B84559" w:rsidRPr="000E2BED" w:rsidRDefault="00B84559" w:rsidP="00596839">
            <w:pPr>
              <w:jc w:val="center"/>
              <w:rPr>
                <w:rFonts w:ascii="Arial" w:eastAsia="Arial Unicode MS" w:hAnsi="Arial" w:cs="Arial"/>
              </w:rPr>
            </w:pPr>
            <w:r>
              <w:rPr>
                <w:rFonts w:ascii="Arial" w:eastAsia="Arial Unicode MS" w:hAnsi="Arial" w:cs="Arial"/>
              </w:rPr>
              <w:t>11-14</w:t>
            </w:r>
          </w:p>
        </w:tc>
      </w:tr>
      <w:tr w:rsidR="00B84559" w:rsidRPr="00CF6025" w:rsidTr="00596839">
        <w:trPr>
          <w:trHeight w:val="284"/>
        </w:trPr>
        <w:tc>
          <w:tcPr>
            <w:tcW w:w="1560" w:type="dxa"/>
          </w:tcPr>
          <w:p w:rsidR="00B84559" w:rsidRPr="000E2BED" w:rsidRDefault="00B84559" w:rsidP="00596839">
            <w:pPr>
              <w:tabs>
                <w:tab w:val="left" w:pos="1119"/>
              </w:tabs>
              <w:jc w:val="center"/>
              <w:rPr>
                <w:rFonts w:ascii="Arial" w:hAnsi="Arial" w:cs="Arial"/>
                <w:sz w:val="22"/>
                <w:szCs w:val="22"/>
              </w:rPr>
            </w:pPr>
            <w:r w:rsidRPr="000E2BED">
              <w:rPr>
                <w:rFonts w:ascii="Arial" w:hAnsi="Arial" w:cs="Arial"/>
                <w:sz w:val="22"/>
                <w:szCs w:val="22"/>
              </w:rPr>
              <w:t>Cochirleni</w:t>
            </w:r>
          </w:p>
        </w:tc>
        <w:tc>
          <w:tcPr>
            <w:tcW w:w="1134" w:type="dxa"/>
            <w:vAlign w:val="bottom"/>
          </w:tcPr>
          <w:p w:rsidR="00B84559" w:rsidRPr="000E2BED" w:rsidRDefault="00B84559" w:rsidP="00596839">
            <w:pPr>
              <w:jc w:val="center"/>
              <w:rPr>
                <w:rFonts w:ascii="Arial" w:eastAsia="Arial Unicode MS" w:hAnsi="Arial" w:cs="Arial"/>
              </w:rPr>
            </w:pPr>
            <w:r>
              <w:rPr>
                <w:rFonts w:ascii="Arial" w:eastAsia="Arial Unicode MS" w:hAnsi="Arial" w:cs="Arial"/>
              </w:rPr>
              <w:t>182.60</w:t>
            </w:r>
          </w:p>
        </w:tc>
        <w:tc>
          <w:tcPr>
            <w:tcW w:w="1134" w:type="dxa"/>
            <w:vAlign w:val="bottom"/>
          </w:tcPr>
          <w:p w:rsidR="00B84559" w:rsidRPr="000E2BED" w:rsidRDefault="00B84559" w:rsidP="00596839">
            <w:pPr>
              <w:jc w:val="center"/>
              <w:rPr>
                <w:rFonts w:ascii="Arial" w:eastAsia="Arial Unicode MS" w:hAnsi="Arial" w:cs="Arial"/>
              </w:rPr>
            </w:pPr>
            <w:r>
              <w:rPr>
                <w:rFonts w:ascii="Arial" w:eastAsia="Arial Unicode MS" w:hAnsi="Arial" w:cs="Arial"/>
              </w:rPr>
              <w:t>190.49</w:t>
            </w:r>
          </w:p>
        </w:tc>
        <w:tc>
          <w:tcPr>
            <w:tcW w:w="1134" w:type="dxa"/>
            <w:vAlign w:val="bottom"/>
          </w:tcPr>
          <w:p w:rsidR="00B84559" w:rsidRPr="000E2BED" w:rsidRDefault="00B84559" w:rsidP="00596839">
            <w:pPr>
              <w:jc w:val="center"/>
              <w:rPr>
                <w:rFonts w:ascii="Arial" w:eastAsia="Arial Unicode MS" w:hAnsi="Arial" w:cs="Arial"/>
              </w:rPr>
            </w:pPr>
            <w:r>
              <w:rPr>
                <w:rFonts w:ascii="Arial" w:eastAsia="Arial Unicode MS" w:hAnsi="Arial" w:cs="Arial"/>
              </w:rPr>
              <w:t>198.38</w:t>
            </w:r>
          </w:p>
        </w:tc>
        <w:tc>
          <w:tcPr>
            <w:tcW w:w="1275" w:type="dxa"/>
            <w:vAlign w:val="bottom"/>
          </w:tcPr>
          <w:p w:rsidR="00B84559" w:rsidRPr="000E2BED" w:rsidRDefault="00B84559" w:rsidP="00596839">
            <w:pPr>
              <w:jc w:val="center"/>
              <w:rPr>
                <w:rFonts w:ascii="Arial" w:eastAsia="Arial Unicode MS" w:hAnsi="Arial" w:cs="Arial"/>
              </w:rPr>
            </w:pPr>
            <w:r>
              <w:rPr>
                <w:rFonts w:ascii="Arial" w:eastAsia="Arial Unicode MS" w:hAnsi="Arial" w:cs="Arial"/>
              </w:rPr>
              <w:t>12.06</w:t>
            </w:r>
          </w:p>
        </w:tc>
        <w:tc>
          <w:tcPr>
            <w:tcW w:w="993" w:type="dxa"/>
            <w:vAlign w:val="bottom"/>
          </w:tcPr>
          <w:p w:rsidR="00B84559" w:rsidRPr="000E2BED" w:rsidRDefault="00B84559" w:rsidP="00596839">
            <w:pPr>
              <w:jc w:val="center"/>
              <w:rPr>
                <w:rFonts w:ascii="Arial" w:eastAsia="Arial Unicode MS" w:hAnsi="Arial" w:cs="Arial"/>
              </w:rPr>
            </w:pPr>
            <w:r w:rsidRPr="000E2BED">
              <w:rPr>
                <w:rFonts w:ascii="Arial" w:eastAsia="Arial Unicode MS" w:hAnsi="Arial" w:cs="Arial"/>
              </w:rPr>
              <w:t>2</w:t>
            </w:r>
          </w:p>
        </w:tc>
        <w:tc>
          <w:tcPr>
            <w:tcW w:w="1559" w:type="dxa"/>
            <w:vAlign w:val="bottom"/>
          </w:tcPr>
          <w:p w:rsidR="00B84559" w:rsidRPr="000E2BED" w:rsidRDefault="00B84559" w:rsidP="00596839">
            <w:pPr>
              <w:jc w:val="center"/>
              <w:rPr>
                <w:rFonts w:ascii="Arial" w:eastAsia="Arial Unicode MS" w:hAnsi="Arial" w:cs="Arial"/>
              </w:rPr>
            </w:pPr>
            <w:r w:rsidRPr="000E2BED">
              <w:rPr>
                <w:rFonts w:ascii="Arial" w:eastAsia="Arial Unicode MS" w:hAnsi="Arial" w:cs="Arial"/>
              </w:rPr>
              <w:t>2</w:t>
            </w:r>
          </w:p>
        </w:tc>
        <w:tc>
          <w:tcPr>
            <w:tcW w:w="850" w:type="dxa"/>
            <w:vAlign w:val="bottom"/>
          </w:tcPr>
          <w:p w:rsidR="00B84559" w:rsidRPr="000E2BED" w:rsidRDefault="00B84559" w:rsidP="00596839">
            <w:pPr>
              <w:jc w:val="center"/>
              <w:rPr>
                <w:rFonts w:ascii="Arial" w:eastAsia="Arial Unicode MS" w:hAnsi="Arial" w:cs="Arial"/>
              </w:rPr>
            </w:pPr>
            <w:r>
              <w:rPr>
                <w:rFonts w:ascii="Arial" w:eastAsia="Arial Unicode MS" w:hAnsi="Arial" w:cs="Arial"/>
              </w:rPr>
              <w:t>9-10</w:t>
            </w:r>
          </w:p>
        </w:tc>
      </w:tr>
      <w:tr w:rsidR="00B84559" w:rsidRPr="00CF6025" w:rsidTr="00596839">
        <w:trPr>
          <w:trHeight w:val="284"/>
        </w:trPr>
        <w:tc>
          <w:tcPr>
            <w:tcW w:w="1560" w:type="dxa"/>
          </w:tcPr>
          <w:p w:rsidR="00B84559" w:rsidRPr="009F137C" w:rsidRDefault="00B84559" w:rsidP="00596839">
            <w:pPr>
              <w:tabs>
                <w:tab w:val="left" w:pos="1119"/>
              </w:tabs>
              <w:jc w:val="center"/>
              <w:rPr>
                <w:rFonts w:ascii="Arial" w:hAnsi="Arial" w:cs="Arial"/>
                <w:sz w:val="22"/>
                <w:szCs w:val="22"/>
              </w:rPr>
            </w:pPr>
            <w:r>
              <w:rPr>
                <w:rFonts w:ascii="Arial" w:hAnsi="Arial" w:cs="Arial"/>
                <w:sz w:val="22"/>
                <w:szCs w:val="22"/>
              </w:rPr>
              <w:t>Fete</w:t>
            </w:r>
            <w:r>
              <w:rPr>
                <w:rFonts w:ascii="Arial" w:hAnsi="Arial" w:cs="Arial"/>
                <w:sz w:val="22"/>
                <w:szCs w:val="22"/>
                <w:lang w:val="ro-RO"/>
              </w:rPr>
              <w:t>şti</w:t>
            </w:r>
          </w:p>
        </w:tc>
        <w:tc>
          <w:tcPr>
            <w:tcW w:w="1134" w:type="dxa"/>
            <w:vAlign w:val="bottom"/>
          </w:tcPr>
          <w:p w:rsidR="00B84559" w:rsidRDefault="00B84559" w:rsidP="00596839">
            <w:pPr>
              <w:jc w:val="center"/>
              <w:rPr>
                <w:rFonts w:ascii="Arial" w:eastAsia="Arial Unicode MS" w:hAnsi="Arial" w:cs="Arial"/>
              </w:rPr>
            </w:pPr>
            <w:r>
              <w:rPr>
                <w:rFonts w:ascii="Arial" w:eastAsia="Arial Unicode MS" w:hAnsi="Arial" w:cs="Arial"/>
              </w:rPr>
              <w:t>125.74</w:t>
            </w:r>
          </w:p>
        </w:tc>
        <w:tc>
          <w:tcPr>
            <w:tcW w:w="1134" w:type="dxa"/>
            <w:vAlign w:val="bottom"/>
          </w:tcPr>
          <w:p w:rsidR="00B84559" w:rsidRDefault="00B84559" w:rsidP="00596839">
            <w:pPr>
              <w:jc w:val="center"/>
              <w:rPr>
                <w:rFonts w:ascii="Arial" w:eastAsia="Arial Unicode MS" w:hAnsi="Arial" w:cs="Arial"/>
              </w:rPr>
            </w:pPr>
            <w:r>
              <w:rPr>
                <w:rFonts w:ascii="Arial" w:eastAsia="Arial Unicode MS" w:hAnsi="Arial" w:cs="Arial"/>
              </w:rPr>
              <w:t>152.82</w:t>
            </w:r>
          </w:p>
        </w:tc>
        <w:tc>
          <w:tcPr>
            <w:tcW w:w="1134" w:type="dxa"/>
            <w:vAlign w:val="bottom"/>
          </w:tcPr>
          <w:p w:rsidR="00B84559" w:rsidRDefault="00B84559" w:rsidP="00596839">
            <w:pPr>
              <w:jc w:val="center"/>
              <w:rPr>
                <w:rFonts w:ascii="Arial" w:eastAsia="Arial Unicode MS" w:hAnsi="Arial" w:cs="Arial"/>
              </w:rPr>
            </w:pPr>
            <w:r>
              <w:rPr>
                <w:rFonts w:ascii="Arial" w:eastAsia="Arial Unicode MS" w:hAnsi="Arial" w:cs="Arial"/>
              </w:rPr>
              <w:t>179.90</w:t>
            </w:r>
          </w:p>
        </w:tc>
        <w:tc>
          <w:tcPr>
            <w:tcW w:w="1275" w:type="dxa"/>
            <w:vAlign w:val="bottom"/>
          </w:tcPr>
          <w:p w:rsidR="00B84559" w:rsidRDefault="00B84559" w:rsidP="00596839">
            <w:pPr>
              <w:jc w:val="center"/>
              <w:rPr>
                <w:rFonts w:ascii="Arial" w:eastAsia="Arial Unicode MS" w:hAnsi="Arial" w:cs="Arial"/>
              </w:rPr>
            </w:pPr>
            <w:r>
              <w:rPr>
                <w:rFonts w:ascii="Arial" w:eastAsia="Arial Unicode MS" w:hAnsi="Arial" w:cs="Arial"/>
              </w:rPr>
              <w:t>2.09</w:t>
            </w:r>
          </w:p>
        </w:tc>
        <w:tc>
          <w:tcPr>
            <w:tcW w:w="993" w:type="dxa"/>
            <w:vAlign w:val="bottom"/>
          </w:tcPr>
          <w:p w:rsidR="00B84559" w:rsidRPr="000E2BED" w:rsidRDefault="00B84559" w:rsidP="00596839">
            <w:pPr>
              <w:jc w:val="center"/>
              <w:rPr>
                <w:rFonts w:ascii="Arial" w:eastAsia="Arial Unicode MS" w:hAnsi="Arial" w:cs="Arial"/>
              </w:rPr>
            </w:pPr>
            <w:r>
              <w:rPr>
                <w:rFonts w:ascii="Arial" w:eastAsia="Arial Unicode MS" w:hAnsi="Arial" w:cs="Arial"/>
              </w:rPr>
              <w:t>2</w:t>
            </w:r>
          </w:p>
        </w:tc>
        <w:tc>
          <w:tcPr>
            <w:tcW w:w="1559" w:type="dxa"/>
            <w:vAlign w:val="bottom"/>
          </w:tcPr>
          <w:p w:rsidR="00B84559" w:rsidRPr="000E2BED" w:rsidRDefault="00B84559" w:rsidP="00596839">
            <w:pPr>
              <w:jc w:val="center"/>
              <w:rPr>
                <w:rFonts w:ascii="Arial" w:eastAsia="Arial Unicode MS" w:hAnsi="Arial" w:cs="Arial"/>
              </w:rPr>
            </w:pPr>
            <w:r>
              <w:rPr>
                <w:rFonts w:ascii="Arial" w:eastAsia="Arial Unicode MS" w:hAnsi="Arial" w:cs="Arial"/>
              </w:rPr>
              <w:t>2</w:t>
            </w:r>
          </w:p>
        </w:tc>
        <w:tc>
          <w:tcPr>
            <w:tcW w:w="850" w:type="dxa"/>
            <w:vAlign w:val="bottom"/>
          </w:tcPr>
          <w:p w:rsidR="00B84559" w:rsidRPr="000E2BED" w:rsidRDefault="00B84559" w:rsidP="00596839">
            <w:pPr>
              <w:jc w:val="center"/>
              <w:rPr>
                <w:rFonts w:ascii="Arial" w:eastAsia="Arial Unicode MS" w:hAnsi="Arial" w:cs="Arial"/>
              </w:rPr>
            </w:pPr>
            <w:r>
              <w:rPr>
                <w:rFonts w:ascii="Arial" w:eastAsia="Arial Unicode MS" w:hAnsi="Arial" w:cs="Arial"/>
              </w:rPr>
              <w:t>10-12</w:t>
            </w:r>
          </w:p>
        </w:tc>
      </w:tr>
    </w:tbl>
    <w:p w:rsidR="00B84559" w:rsidRDefault="00B84559" w:rsidP="00B84559">
      <w:pPr>
        <w:tabs>
          <w:tab w:val="left" w:pos="-1985"/>
          <w:tab w:val="left" w:pos="567"/>
          <w:tab w:val="left" w:pos="720"/>
          <w:tab w:val="left" w:pos="1134"/>
          <w:tab w:val="left" w:pos="1418"/>
          <w:tab w:val="left" w:pos="3402"/>
          <w:tab w:val="left" w:pos="7938"/>
        </w:tabs>
        <w:jc w:val="both"/>
        <w:rPr>
          <w:rFonts w:ascii="Arial" w:hAnsi="Arial" w:cs="Arial"/>
          <w:bCs/>
        </w:rPr>
      </w:pPr>
    </w:p>
    <w:p w:rsidR="00B84559" w:rsidRPr="00884F8B" w:rsidRDefault="00B84559" w:rsidP="00B84559">
      <w:pPr>
        <w:autoSpaceDE w:val="0"/>
        <w:autoSpaceDN w:val="0"/>
        <w:adjustRightInd w:val="0"/>
        <w:jc w:val="both"/>
        <w:rPr>
          <w:rFonts w:ascii="Arial" w:hAnsi="Arial" w:cs="Arial"/>
          <w:lang w:val="ro-RO"/>
        </w:rPr>
      </w:pPr>
      <w:r>
        <w:rPr>
          <w:rFonts w:ascii="Arial" w:hAnsi="Arial" w:cs="Arial"/>
          <w:bCs/>
        </w:rPr>
        <w:tab/>
      </w:r>
      <w:r>
        <w:rPr>
          <w:rFonts w:ascii="Arial" w:hAnsi="Arial" w:cs="Arial"/>
          <w:lang w:val="ro-RO"/>
        </w:rPr>
        <w:t xml:space="preserve">În urma măsurătorilor gama spectrometrice efectuate la SSRM Constanţa, radionuclizii mai importanţi identificaţi în probele de vegetaţie au fost </w:t>
      </w:r>
      <w:r>
        <w:rPr>
          <w:rFonts w:ascii="Arial" w:hAnsi="Arial" w:cs="Arial"/>
        </w:rPr>
        <w:t xml:space="preserve">K-40 </w:t>
      </w:r>
      <w:r>
        <w:rPr>
          <w:rFonts w:ascii="Arial" w:hAnsi="Arial" w:cs="Arial"/>
          <w:lang w:val="ro-RO"/>
        </w:rPr>
        <w:t>şi</w:t>
      </w:r>
      <w:r>
        <w:rPr>
          <w:rFonts w:ascii="Arial" w:hAnsi="Arial" w:cs="Arial"/>
        </w:rPr>
        <w:t xml:space="preserve"> Be-7. Radionuclidul K-40 </w:t>
      </w:r>
      <w:r>
        <w:rPr>
          <w:rFonts w:ascii="Arial" w:hAnsi="Arial" w:cs="Arial"/>
          <w:lang w:val="ro-RO"/>
        </w:rPr>
        <w:t>, de origine terestră, poate fi identificat în toate probele măsurate, în cantităţi mari</w:t>
      </w:r>
      <w:r>
        <w:rPr>
          <w:rFonts w:ascii="Arial" w:hAnsi="Arial" w:cs="Arial"/>
        </w:rPr>
        <w:t>, ca urmare a migr</w:t>
      </w:r>
      <w:r>
        <w:rPr>
          <w:rFonts w:ascii="Arial" w:hAnsi="Arial" w:cs="Arial"/>
          <w:lang w:val="ro-RO"/>
        </w:rPr>
        <w:t xml:space="preserve">ării acestuia din sol în plante prin procese de absorbţie </w:t>
      </w:r>
      <w:r w:rsidRPr="00EE665F">
        <w:rPr>
          <w:rFonts w:ascii="Arial" w:hAnsi="Arial" w:cs="Arial"/>
          <w:lang w:val="ro-RO"/>
        </w:rPr>
        <w:t>radiculară. Concentraţiile de K-40 variază între 97.6 Bq/kg (vegetaţie spontană Ecluz</w:t>
      </w:r>
      <w:r>
        <w:rPr>
          <w:rFonts w:ascii="Arial" w:hAnsi="Arial" w:cs="Arial"/>
          <w:lang w:val="ro-RO"/>
        </w:rPr>
        <w:t>ă</w:t>
      </w:r>
      <w:r w:rsidRPr="00EE665F">
        <w:rPr>
          <w:rFonts w:ascii="Arial" w:hAnsi="Arial" w:cs="Arial"/>
          <w:lang w:val="ro-RO"/>
        </w:rPr>
        <w:t xml:space="preserve"> </w:t>
      </w:r>
      <w:r w:rsidRPr="00EE665F">
        <w:rPr>
          <w:rFonts w:ascii="Arial" w:hAnsi="Arial" w:cs="Arial"/>
          <w:bCs/>
          <w:lang w:val="pt-BR"/>
        </w:rPr>
        <w:t>Cernavodă</w:t>
      </w:r>
      <w:r w:rsidRPr="00EE665F">
        <w:rPr>
          <w:rFonts w:ascii="Arial" w:hAnsi="Arial" w:cs="Arial"/>
          <w:lang w:val="ro-RO"/>
        </w:rPr>
        <w:t xml:space="preserve">  colectată în 20.09.2015) şi 409.4 Bq/kg (vegetaţie spontană Tortomanu colectată în 18.06.2015), impreciziile statistice fiind cuprinse între 3-8</w:t>
      </w:r>
      <w:r>
        <w:rPr>
          <w:rFonts w:ascii="Arial" w:hAnsi="Arial" w:cs="Arial"/>
          <w:lang w:val="ro-RO"/>
        </w:rPr>
        <w:t xml:space="preserve">%.  </w:t>
      </w:r>
      <w:r w:rsidRPr="00EE665F">
        <w:rPr>
          <w:rFonts w:ascii="Arial" w:hAnsi="Arial" w:cs="Arial"/>
          <w:lang w:val="ro-RO"/>
        </w:rPr>
        <w:t xml:space="preserve">Radionuclidul </w:t>
      </w:r>
      <w:r>
        <w:rPr>
          <w:rFonts w:ascii="Arial" w:hAnsi="Arial" w:cs="Arial"/>
          <w:lang w:val="ro-RO"/>
        </w:rPr>
        <w:t xml:space="preserve"> Be-7</w:t>
      </w:r>
      <w:r w:rsidRPr="00EE665F">
        <w:rPr>
          <w:rFonts w:ascii="Arial" w:hAnsi="Arial" w:cs="Arial"/>
          <w:lang w:val="ro-RO"/>
        </w:rPr>
        <w:t xml:space="preserve">, de origine cosmogenică, a putut fi identificat în toate probele de vegetaţie spontană prelevate, prezenţa acestuia datorându-se proceselor de depunere directă a radionuclidului pe suprafaţa aeriană a plantelor. Concentraţiile de Be-7 variază între 11.1 Bq/kg (vegetaţie spontană </w:t>
      </w:r>
      <w:r w:rsidRPr="00EE665F">
        <w:rPr>
          <w:rFonts w:ascii="Arial" w:hAnsi="Arial" w:cs="Arial"/>
          <w:sz w:val="22"/>
          <w:szCs w:val="22"/>
        </w:rPr>
        <w:t>Fete</w:t>
      </w:r>
      <w:r w:rsidRPr="00EE665F">
        <w:rPr>
          <w:rFonts w:ascii="Arial" w:hAnsi="Arial" w:cs="Arial"/>
          <w:sz w:val="22"/>
          <w:szCs w:val="22"/>
          <w:lang w:val="ro-RO"/>
        </w:rPr>
        <w:t>şti</w:t>
      </w:r>
      <w:r w:rsidRPr="00EE665F">
        <w:rPr>
          <w:rFonts w:ascii="Arial" w:hAnsi="Arial" w:cs="Arial"/>
          <w:lang w:val="ro-RO"/>
        </w:rPr>
        <w:t xml:space="preserve"> colectată în 02.09.2015) şi 87.2 Bq/kg (vegetaţie spontană Tortomanu  colectată în 20.09.2015), impreciziile statistice fiind de 5-40% ( figura IX.47.). Rezultatele sunt raportate în Bq/kg masă verde. </w:t>
      </w:r>
    </w:p>
    <w:p w:rsidR="00B84559" w:rsidRPr="00884F8B" w:rsidRDefault="00B84559" w:rsidP="00B84559">
      <w:pPr>
        <w:autoSpaceDE w:val="0"/>
        <w:autoSpaceDN w:val="0"/>
        <w:adjustRightInd w:val="0"/>
        <w:rPr>
          <w:rFonts w:ascii="Arial" w:hAnsi="Arial" w:cs="Arial"/>
          <w:lang w:val="ro-RO"/>
        </w:rPr>
      </w:pPr>
      <w:r w:rsidRPr="00EE665F">
        <w:rPr>
          <w:rFonts w:ascii="Arial" w:hAnsi="Arial" w:cs="Arial"/>
          <w:lang w:val="ro-RO"/>
        </w:rPr>
        <w:t xml:space="preserve">Concentraţiile de Cs-137 nu au depăşit limita de detecţie a aparaturii şi metodei utilizate.  </w:t>
      </w:r>
    </w:p>
    <w:p w:rsidR="00B84559" w:rsidRDefault="00B84559" w:rsidP="00B84559">
      <w:pPr>
        <w:autoSpaceDE w:val="0"/>
        <w:autoSpaceDN w:val="0"/>
        <w:adjustRightInd w:val="0"/>
        <w:jc w:val="center"/>
        <w:rPr>
          <w:color w:val="FF0000"/>
        </w:rPr>
      </w:pPr>
    </w:p>
    <w:p w:rsidR="00B84559" w:rsidRPr="00CF6025" w:rsidRDefault="00B84559" w:rsidP="00B84559">
      <w:pPr>
        <w:tabs>
          <w:tab w:val="left" w:pos="-1985"/>
          <w:tab w:val="left" w:pos="567"/>
          <w:tab w:val="left" w:pos="720"/>
          <w:tab w:val="left" w:pos="1134"/>
          <w:tab w:val="left" w:pos="1418"/>
          <w:tab w:val="left" w:pos="3402"/>
          <w:tab w:val="left" w:pos="7938"/>
        </w:tabs>
        <w:jc w:val="both"/>
        <w:rPr>
          <w:rFonts w:ascii="Arial" w:hAnsi="Arial" w:cs="Arial"/>
          <w:bCs/>
        </w:rPr>
      </w:pPr>
      <w:bookmarkStart w:id="120" w:name="_MON_1370460305"/>
      <w:bookmarkStart w:id="121" w:name="_MON_1402773128"/>
      <w:bookmarkStart w:id="122" w:name="_MON_1433160838"/>
      <w:bookmarkStart w:id="123" w:name="_MON_1433161115"/>
      <w:bookmarkStart w:id="124" w:name="_MON_1465831415"/>
      <w:bookmarkStart w:id="125" w:name="_MON_1370202054"/>
      <w:bookmarkStart w:id="126" w:name="_MON_1370346490"/>
      <w:bookmarkStart w:id="127" w:name="_MON_1370346859"/>
      <w:bookmarkEnd w:id="120"/>
      <w:bookmarkEnd w:id="121"/>
      <w:bookmarkEnd w:id="122"/>
      <w:bookmarkEnd w:id="123"/>
      <w:bookmarkEnd w:id="124"/>
      <w:bookmarkEnd w:id="125"/>
      <w:bookmarkEnd w:id="126"/>
      <w:bookmarkEnd w:id="127"/>
      <w:r>
        <w:rPr>
          <w:noProof/>
          <w:lang w:val="en-US"/>
        </w:rPr>
        <w:drawing>
          <wp:inline distT="0" distB="0" distL="0" distR="0">
            <wp:extent cx="6204585" cy="2394585"/>
            <wp:effectExtent l="0" t="0" r="0" b="0"/>
            <wp:docPr id="38" name="Diagramă 3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B84559" w:rsidRDefault="00B84559" w:rsidP="00B84559">
      <w:pPr>
        <w:tabs>
          <w:tab w:val="left" w:pos="-1985"/>
          <w:tab w:val="left" w:pos="567"/>
          <w:tab w:val="left" w:pos="1134"/>
          <w:tab w:val="left" w:pos="1418"/>
          <w:tab w:val="left" w:pos="3402"/>
          <w:tab w:val="center" w:pos="4528"/>
          <w:tab w:val="left" w:pos="7938"/>
        </w:tabs>
        <w:jc w:val="both"/>
        <w:rPr>
          <w:rFonts w:ascii="Arial" w:hAnsi="Arial" w:cs="Arial"/>
        </w:rPr>
      </w:pPr>
      <w:r>
        <w:rPr>
          <w:rFonts w:ascii="Arial" w:hAnsi="Arial" w:cs="Arial"/>
          <w:b/>
        </w:rPr>
        <w:lastRenderedPageBreak/>
        <w:tab/>
      </w:r>
      <w:r w:rsidRPr="00B13F84">
        <w:rPr>
          <w:rFonts w:ascii="Arial" w:hAnsi="Arial" w:cs="Arial"/>
        </w:rPr>
        <w:t xml:space="preserve">Programul special </w:t>
      </w:r>
      <w:r>
        <w:rPr>
          <w:rFonts w:ascii="Arial" w:hAnsi="Arial" w:cs="Arial"/>
        </w:rPr>
        <w:t xml:space="preserve">pentru anul 2015 </w:t>
      </w:r>
      <w:r w:rsidRPr="00B13F84">
        <w:rPr>
          <w:rFonts w:ascii="Arial" w:hAnsi="Arial" w:cs="Arial"/>
        </w:rPr>
        <w:t xml:space="preserve">al </w:t>
      </w:r>
      <w:r>
        <w:rPr>
          <w:rFonts w:ascii="Arial" w:hAnsi="Arial" w:cs="Arial"/>
        </w:rPr>
        <w:t>SSRM</w:t>
      </w:r>
      <w:r w:rsidRPr="00B13F84">
        <w:rPr>
          <w:rFonts w:ascii="Arial" w:hAnsi="Arial" w:cs="Arial"/>
        </w:rPr>
        <w:t xml:space="preserve"> Constanţa </w:t>
      </w:r>
      <w:r>
        <w:rPr>
          <w:rFonts w:ascii="Arial" w:hAnsi="Arial" w:cs="Arial"/>
        </w:rPr>
        <w:t xml:space="preserve">a </w:t>
      </w:r>
      <w:r w:rsidRPr="00B13F84">
        <w:rPr>
          <w:rFonts w:ascii="Arial" w:hAnsi="Arial" w:cs="Arial"/>
        </w:rPr>
        <w:t>prev</w:t>
      </w:r>
      <w:r>
        <w:rPr>
          <w:rFonts w:ascii="Arial" w:hAnsi="Arial" w:cs="Arial"/>
        </w:rPr>
        <w:t>ăzut</w:t>
      </w:r>
      <w:r w:rsidRPr="00B13F84">
        <w:rPr>
          <w:rFonts w:ascii="Arial" w:hAnsi="Arial" w:cs="Arial"/>
        </w:rPr>
        <w:t xml:space="preserve"> colectarea </w:t>
      </w:r>
      <w:r>
        <w:rPr>
          <w:rFonts w:ascii="Arial" w:hAnsi="Arial" w:cs="Arial"/>
        </w:rPr>
        <w:t>anual</w:t>
      </w:r>
      <w:r w:rsidRPr="00B13F84">
        <w:rPr>
          <w:rFonts w:ascii="Arial" w:hAnsi="Arial" w:cs="Arial"/>
        </w:rPr>
        <w:t>ă a probelor de vegetaţie spontană din locaţiile Mamaia Sat, Năvodari, Lumina</w:t>
      </w:r>
      <w:r>
        <w:rPr>
          <w:rFonts w:ascii="Arial" w:hAnsi="Arial" w:cs="Arial"/>
        </w:rPr>
        <w:t>, Vadu</w:t>
      </w:r>
      <w:r w:rsidRPr="00B13F84">
        <w:rPr>
          <w:rFonts w:ascii="Arial" w:hAnsi="Arial" w:cs="Arial"/>
        </w:rPr>
        <w:t xml:space="preserve"> şi </w:t>
      </w:r>
      <w:r>
        <w:rPr>
          <w:rFonts w:ascii="Arial" w:hAnsi="Arial" w:cs="Arial"/>
        </w:rPr>
        <w:t>semestrial</w:t>
      </w:r>
      <w:r>
        <w:rPr>
          <w:rFonts w:ascii="Arial" w:hAnsi="Arial" w:cs="Arial"/>
          <w:lang w:val="ro-RO"/>
        </w:rPr>
        <w:t xml:space="preserve">ă din </w:t>
      </w:r>
      <w:r w:rsidRPr="00B13F84">
        <w:rPr>
          <w:rFonts w:ascii="Arial" w:hAnsi="Arial" w:cs="Arial"/>
        </w:rPr>
        <w:t>Constanţa. Probele au fost analizate gama spectrometric pentru identificarea radionuclizilor gama emiţători, iar rezultatele au fost r</w:t>
      </w:r>
      <w:r>
        <w:rPr>
          <w:rFonts w:ascii="Arial" w:hAnsi="Arial" w:cs="Arial"/>
        </w:rPr>
        <w:t xml:space="preserve">aportate în Bq/kg, masă verde. </w:t>
      </w:r>
      <w:r w:rsidRPr="00162AFD">
        <w:rPr>
          <w:rFonts w:ascii="Arial" w:hAnsi="Arial" w:cs="Arial"/>
        </w:rPr>
        <w:t>Au fost identificaţi, în probele măsurate, radionuclizi din seriile radioactive natural</w:t>
      </w:r>
      <w:r>
        <w:rPr>
          <w:rFonts w:ascii="Arial" w:hAnsi="Arial" w:cs="Arial"/>
        </w:rPr>
        <w:t>e</w:t>
      </w:r>
      <w:r w:rsidRPr="00162AFD">
        <w:rPr>
          <w:rFonts w:ascii="Arial" w:hAnsi="Arial" w:cs="Arial"/>
        </w:rPr>
        <w:t>,  K-40 şi Be-7. Concentraţile au variat între 114.1 Bq/kg şi 263.4 Bq/kg pentru K-40, respectiv 17.8 Bq/kg şi 46.4 Bq/kg pentru Be-7, după cum se poate observa şi în figurile IX.48.. – IX.49. Impreciziile statistice au variat între 3 – 7</w:t>
      </w:r>
      <w:r>
        <w:rPr>
          <w:rFonts w:ascii="Arial" w:hAnsi="Arial" w:cs="Arial"/>
        </w:rPr>
        <w:t xml:space="preserve">% pentru K-40, respectiv </w:t>
      </w:r>
      <w:r w:rsidRPr="00162AFD">
        <w:rPr>
          <w:rFonts w:ascii="Arial" w:hAnsi="Arial" w:cs="Arial"/>
        </w:rPr>
        <w:t>6 – 12 % în cazul Be-7.</w:t>
      </w:r>
      <w:r w:rsidRPr="00B13F84">
        <w:rPr>
          <w:rFonts w:ascii="Arial" w:hAnsi="Arial" w:cs="Arial"/>
        </w:rPr>
        <w:t xml:space="preserve"> </w:t>
      </w:r>
    </w:p>
    <w:p w:rsidR="00B84559" w:rsidRPr="00B13F84" w:rsidRDefault="00B84559" w:rsidP="00B84559">
      <w:pPr>
        <w:tabs>
          <w:tab w:val="left" w:pos="-1985"/>
          <w:tab w:val="left" w:pos="567"/>
          <w:tab w:val="left" w:pos="1134"/>
          <w:tab w:val="left" w:pos="1418"/>
          <w:tab w:val="left" w:pos="3402"/>
          <w:tab w:val="center" w:pos="4528"/>
          <w:tab w:val="left" w:pos="7938"/>
        </w:tabs>
        <w:jc w:val="both"/>
        <w:rPr>
          <w:rFonts w:ascii="Arial" w:hAnsi="Arial" w:cs="Arial"/>
        </w:rPr>
      </w:pPr>
    </w:p>
    <w:p w:rsidR="00B84559" w:rsidRDefault="00B84559" w:rsidP="00B84559">
      <w:pPr>
        <w:tabs>
          <w:tab w:val="left" w:pos="-1985"/>
          <w:tab w:val="left" w:pos="567"/>
          <w:tab w:val="left" w:pos="1134"/>
          <w:tab w:val="left" w:pos="1418"/>
          <w:tab w:val="left" w:pos="3402"/>
          <w:tab w:val="left" w:pos="7938"/>
        </w:tabs>
        <w:rPr>
          <w:rFonts w:ascii="Arial" w:hAnsi="Arial" w:cs="Arial"/>
        </w:rPr>
      </w:pPr>
      <w:r>
        <w:rPr>
          <w:noProof/>
          <w:lang w:val="en-US"/>
        </w:rPr>
        <w:drawing>
          <wp:inline distT="0" distB="0" distL="0" distR="0" wp14:anchorId="139E5BF0" wp14:editId="3D39B4A5">
            <wp:extent cx="6276975" cy="2505075"/>
            <wp:effectExtent l="0" t="0" r="9525" b="9525"/>
            <wp:docPr id="36" name="Obiect 4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B84559" w:rsidRDefault="00B84559" w:rsidP="00B84559">
      <w:pPr>
        <w:tabs>
          <w:tab w:val="left" w:pos="-1985"/>
          <w:tab w:val="left" w:pos="567"/>
          <w:tab w:val="left" w:pos="1134"/>
          <w:tab w:val="left" w:pos="1418"/>
          <w:tab w:val="left" w:pos="3402"/>
          <w:tab w:val="left" w:pos="7938"/>
        </w:tabs>
        <w:rPr>
          <w:rFonts w:ascii="Arial" w:hAnsi="Arial" w:cs="Arial"/>
        </w:rPr>
      </w:pPr>
    </w:p>
    <w:p w:rsidR="00B84559" w:rsidRDefault="00B84559" w:rsidP="00B84559">
      <w:pPr>
        <w:tabs>
          <w:tab w:val="left" w:pos="-1985"/>
          <w:tab w:val="left" w:pos="567"/>
          <w:tab w:val="left" w:pos="1134"/>
          <w:tab w:val="left" w:pos="1418"/>
          <w:tab w:val="left" w:pos="3402"/>
          <w:tab w:val="left" w:pos="7938"/>
        </w:tabs>
        <w:rPr>
          <w:rFonts w:ascii="Arial" w:hAnsi="Arial" w:cs="Arial"/>
        </w:rPr>
      </w:pPr>
    </w:p>
    <w:p w:rsidR="00B84559" w:rsidRPr="0014786E" w:rsidRDefault="00B84559" w:rsidP="00B84559">
      <w:pPr>
        <w:pStyle w:val="Indentcorptext"/>
        <w:tabs>
          <w:tab w:val="left" w:pos="709"/>
        </w:tabs>
        <w:ind w:firstLine="0"/>
        <w:rPr>
          <w:bCs/>
        </w:rPr>
      </w:pPr>
      <w:r>
        <w:rPr>
          <w:noProof/>
          <w:lang w:val="en-US" w:eastAsia="en-US"/>
        </w:rPr>
        <w:drawing>
          <wp:inline distT="0" distB="0" distL="0" distR="0" wp14:anchorId="144FEAC5" wp14:editId="58EE381E">
            <wp:extent cx="6229350" cy="2676525"/>
            <wp:effectExtent l="0" t="0" r="19050" b="9525"/>
            <wp:docPr id="37" name="Obiect 4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B84559" w:rsidRPr="007105C6" w:rsidRDefault="00B84559" w:rsidP="00B84559">
      <w:pPr>
        <w:pStyle w:val="Indentcorptext2"/>
        <w:tabs>
          <w:tab w:val="left" w:pos="709"/>
        </w:tabs>
        <w:rPr>
          <w:rFonts w:ascii="Arial" w:hAnsi="Arial" w:cs="Arial"/>
          <w:sz w:val="24"/>
          <w:szCs w:val="24"/>
          <w:lang w:val="it-IT"/>
        </w:rPr>
      </w:pPr>
    </w:p>
    <w:p w:rsidR="00B84559" w:rsidRDefault="00B84559" w:rsidP="00B84559">
      <w:pPr>
        <w:pStyle w:val="Indentcorptext"/>
        <w:tabs>
          <w:tab w:val="left" w:pos="709"/>
        </w:tabs>
        <w:rPr>
          <w:rFonts w:ascii="Arial" w:hAnsi="Arial" w:cs="Arial"/>
          <w:b/>
          <w:i/>
          <w:color w:val="808080" w:themeColor="background1" w:themeShade="80"/>
        </w:rPr>
      </w:pPr>
      <w:r w:rsidRPr="00F93813">
        <w:rPr>
          <w:rFonts w:ascii="Arial" w:hAnsi="Arial" w:cs="Arial"/>
          <w:b/>
          <w:i/>
          <w:color w:val="808080" w:themeColor="background1" w:themeShade="80"/>
        </w:rPr>
        <w:t xml:space="preserve">CONCLUZII </w:t>
      </w:r>
    </w:p>
    <w:p w:rsidR="00B84559" w:rsidRPr="00F93813" w:rsidRDefault="00B84559" w:rsidP="00B84559">
      <w:pPr>
        <w:pStyle w:val="Indentcorptext"/>
        <w:tabs>
          <w:tab w:val="left" w:pos="709"/>
        </w:tabs>
        <w:rPr>
          <w:rFonts w:ascii="Arial" w:hAnsi="Arial" w:cs="Arial"/>
          <w:b/>
          <w:i/>
          <w:color w:val="808080" w:themeColor="background1" w:themeShade="80"/>
        </w:rPr>
      </w:pPr>
      <w:r w:rsidRPr="00F93813">
        <w:rPr>
          <w:rFonts w:ascii="Arial" w:hAnsi="Arial" w:cs="Arial"/>
          <w:b/>
          <w:i/>
          <w:color w:val="808080" w:themeColor="background1" w:themeShade="80"/>
        </w:rPr>
        <w:t xml:space="preserve"> </w:t>
      </w:r>
    </w:p>
    <w:p w:rsidR="00B84559" w:rsidRPr="00162AFD" w:rsidRDefault="00B84559" w:rsidP="00B84559">
      <w:pPr>
        <w:autoSpaceDE w:val="0"/>
        <w:autoSpaceDN w:val="0"/>
        <w:adjustRightInd w:val="0"/>
        <w:rPr>
          <w:rFonts w:ascii="Arial" w:hAnsi="Arial" w:cs="Arial"/>
          <w:lang w:val="ro-RO"/>
        </w:rPr>
      </w:pPr>
      <w:r w:rsidRPr="007E011A">
        <w:rPr>
          <w:rFonts w:ascii="Arial" w:hAnsi="Arial" w:cs="Arial"/>
          <w:b/>
          <w:lang w:val="ro-RO"/>
        </w:rPr>
        <w:tab/>
      </w:r>
      <w:r w:rsidRPr="00162AFD">
        <w:rPr>
          <w:rFonts w:ascii="Arial" w:hAnsi="Arial" w:cs="Arial"/>
          <w:lang w:val="pt-BR"/>
        </w:rPr>
        <w:t>Radioactivitatea natural</w:t>
      </w:r>
      <w:r w:rsidRPr="00162AFD">
        <w:rPr>
          <w:rFonts w:ascii="Arial" w:hAnsi="Arial" w:cs="Arial"/>
          <w:lang w:val="ro-RO"/>
        </w:rPr>
        <w:t>ă a mediului înconjurător este sursa majoră de iradiere internă şi externă a organismului uman. Radioactivitatea naturală este determinată de prezenţa în aer, apă, sol, vegetaţie, organisme animale a substanţelor radioactive de origine terestră, existente în mod natural din cele mai vechi timpuri, la ca</w:t>
      </w:r>
      <w:r>
        <w:rPr>
          <w:rFonts w:ascii="Arial" w:hAnsi="Arial" w:cs="Arial"/>
          <w:lang w:val="ro-RO"/>
        </w:rPr>
        <w:t xml:space="preserve">re se adaugă radiaţia cosmică. </w:t>
      </w:r>
      <w:r w:rsidRPr="00162AFD">
        <w:rPr>
          <w:rFonts w:ascii="Arial" w:hAnsi="Arial" w:cs="Arial"/>
          <w:lang w:val="ro-RO"/>
        </w:rPr>
        <w:t xml:space="preserve">Expunerea naturală de referinţă este de 2.4 mSv/an, admisă la nivel internaţional. Cele două componente </w:t>
      </w:r>
      <w:r w:rsidRPr="00162AFD">
        <w:rPr>
          <w:rFonts w:ascii="Arial" w:hAnsi="Arial" w:cs="Arial"/>
          <w:lang w:val="ro-RO"/>
        </w:rPr>
        <w:lastRenderedPageBreak/>
        <w:t>ale expunerii naturale sunt: expunerea externă, 0.85 mSv/an şi expunerea internă, 1.55 mSv/an. Factorul principal şi constant de iradiere a organismului uman îl constituie prezenţa în atmosfera liberă a gazelor radioactive Radon</w:t>
      </w:r>
      <w:r>
        <w:rPr>
          <w:rFonts w:ascii="Arial" w:hAnsi="Arial" w:cs="Arial"/>
          <w:lang w:val="ro-RO"/>
        </w:rPr>
        <w:t xml:space="preserve"> (Rn-220)</w:t>
      </w:r>
      <w:r w:rsidRPr="00162AFD">
        <w:rPr>
          <w:rFonts w:ascii="Arial" w:hAnsi="Arial" w:cs="Arial"/>
          <w:lang w:val="ro-RO"/>
        </w:rPr>
        <w:t xml:space="preserve"> şi Toron</w:t>
      </w:r>
      <w:r>
        <w:rPr>
          <w:rFonts w:ascii="Arial" w:hAnsi="Arial" w:cs="Arial"/>
          <w:lang w:val="ro-RO"/>
        </w:rPr>
        <w:t xml:space="preserve"> (Rn-222)</w:t>
      </w:r>
      <w:r w:rsidRPr="00162AFD">
        <w:rPr>
          <w:rFonts w:ascii="Arial" w:hAnsi="Arial" w:cs="Arial"/>
          <w:lang w:val="ro-RO"/>
        </w:rPr>
        <w:t xml:space="preserve">, precum şi a descendenţilor acestora. </w:t>
      </w:r>
    </w:p>
    <w:p w:rsidR="00B84559" w:rsidRPr="00162AFD" w:rsidRDefault="00B84559" w:rsidP="00B84559">
      <w:pPr>
        <w:autoSpaceDE w:val="0"/>
        <w:autoSpaceDN w:val="0"/>
        <w:adjustRightInd w:val="0"/>
        <w:ind w:firstLine="720"/>
        <w:rPr>
          <w:rFonts w:ascii="Arial" w:hAnsi="Arial" w:cs="Arial"/>
        </w:rPr>
      </w:pPr>
      <w:r w:rsidRPr="00162AFD">
        <w:rPr>
          <w:rFonts w:ascii="Arial" w:hAnsi="Arial" w:cs="Arial"/>
          <w:lang w:val="ro-RO"/>
        </w:rPr>
        <w:t xml:space="preserve">Ca şi în anii anteriori, radionuclidul artificial prezent în mediu a fost Cs-137 (identificat în probele de depuneri atmosferice, ape brute, sol necultivat şi arabil). </w:t>
      </w:r>
      <w:r w:rsidRPr="00162AFD">
        <w:rPr>
          <w:rFonts w:ascii="Arial" w:hAnsi="Arial" w:cs="Arial"/>
        </w:rPr>
        <w:t xml:space="preserve">Acesta a fost eliberat în atmosferă în timpul accidentului de la Cernobâl, s-a depus pe sol şi rezidă în acesta incă din anul 1986. </w:t>
      </w:r>
    </w:p>
    <w:p w:rsidR="00B84559" w:rsidRPr="00162AFD" w:rsidRDefault="00B84559" w:rsidP="00B84559">
      <w:pPr>
        <w:pStyle w:val="Indentcorptext"/>
        <w:tabs>
          <w:tab w:val="left" w:pos="709"/>
        </w:tabs>
      </w:pPr>
      <w:r w:rsidRPr="00162AFD">
        <w:rPr>
          <w:rFonts w:ascii="Arial" w:hAnsi="Arial" w:cs="Arial"/>
        </w:rPr>
        <w:t>Programul standard şi programul suplimentar/special de supraveghere în zona de influenţă a CNE Cernavodă au avut ca scop principal estimarea, pe baza măsurătorilor, a expunerii suplimentare a populaţiei ca urmare a funcţionării obiectivului nuclear. Analizele efectuate relevă faptul că în mediu nu se observă prezenţa unor radionuclizi artificiali gama emiţători avand ca sursă emisii de la</w:t>
      </w:r>
      <w:r>
        <w:rPr>
          <w:rFonts w:ascii="Arial" w:hAnsi="Arial" w:cs="Arial"/>
        </w:rPr>
        <w:t xml:space="preserve"> centrala nuclearo-electrică.</w:t>
      </w:r>
      <w:r w:rsidRPr="00162AFD">
        <w:t xml:space="preserve"> </w:t>
      </w:r>
    </w:p>
    <w:p w:rsidR="00B84559" w:rsidRPr="00162AFD" w:rsidRDefault="00B84559" w:rsidP="00B84559">
      <w:pPr>
        <w:pStyle w:val="Indentcorptext"/>
        <w:tabs>
          <w:tab w:val="left" w:pos="709"/>
        </w:tabs>
        <w:rPr>
          <w:rFonts w:ascii="Arial" w:hAnsi="Arial" w:cs="Arial"/>
        </w:rPr>
      </w:pPr>
      <w:r>
        <w:rPr>
          <w:rFonts w:ascii="Arial" w:hAnsi="Arial" w:cs="Arial"/>
        </w:rPr>
        <w:t>Un radionuclid de interes este tritiul,</w:t>
      </w:r>
      <w:r w:rsidRPr="00162AFD">
        <w:rPr>
          <w:rFonts w:ascii="Arial" w:hAnsi="Arial" w:cs="Arial"/>
        </w:rPr>
        <w:t xml:space="preserve"> detectat în probe de precipitaţii, ape</w:t>
      </w:r>
      <w:r w:rsidRPr="00162AFD">
        <w:rPr>
          <w:rFonts w:ascii="Arial" w:hAnsi="Arial" w:cs="Arial"/>
          <w:b/>
        </w:rPr>
        <w:t xml:space="preserve"> </w:t>
      </w:r>
      <w:r>
        <w:rPr>
          <w:rFonts w:ascii="Arial" w:hAnsi="Arial" w:cs="Arial"/>
        </w:rPr>
        <w:t>potabile şi ape de suprafaţă</w:t>
      </w:r>
      <w:r w:rsidRPr="00162AFD">
        <w:rPr>
          <w:rFonts w:ascii="Arial" w:hAnsi="Arial" w:cs="Arial"/>
        </w:rPr>
        <w:t xml:space="preserve">. Tritiul (H-3) este un </w:t>
      </w:r>
      <w:r>
        <w:rPr>
          <w:rFonts w:ascii="Arial" w:hAnsi="Arial" w:cs="Arial"/>
        </w:rPr>
        <w:t>izotop instabil al Hidrogenului</w:t>
      </w:r>
      <w:r w:rsidRPr="00162AFD">
        <w:rPr>
          <w:rFonts w:ascii="Arial" w:hAnsi="Arial" w:cs="Arial"/>
        </w:rPr>
        <w:t xml:space="preserve">, beta emiţător (energia medie a radiaţiilor beta emise este de 5.7 keV şi energia maximă de 18.6 keV) cu timp de înjumătăţire fizic de 12.3 ani şi timp de  înjumătăţire  biologic de 10 zile. </w:t>
      </w:r>
    </w:p>
    <w:p w:rsidR="00B84559" w:rsidRPr="00162AFD" w:rsidRDefault="00B84559" w:rsidP="00B84559">
      <w:pPr>
        <w:pStyle w:val="Indentcorptext"/>
        <w:tabs>
          <w:tab w:val="left" w:pos="709"/>
        </w:tabs>
        <w:ind w:firstLine="0"/>
        <w:rPr>
          <w:rFonts w:ascii="Arial" w:hAnsi="Arial" w:cs="Arial"/>
        </w:rPr>
      </w:pPr>
      <w:r w:rsidRPr="00162AFD">
        <w:rPr>
          <w:rFonts w:ascii="Arial" w:hAnsi="Arial" w:cs="Arial"/>
        </w:rPr>
        <w:tab/>
        <w:t>Tritiul există în mediu ca radionuclid natural.</w:t>
      </w:r>
      <w:r>
        <w:rPr>
          <w:rFonts w:ascii="Arial" w:hAnsi="Arial" w:cs="Arial"/>
        </w:rPr>
        <w:t xml:space="preserve"> </w:t>
      </w:r>
      <w:r w:rsidRPr="00162AFD">
        <w:rPr>
          <w:rFonts w:ascii="Arial" w:hAnsi="Arial" w:cs="Arial"/>
        </w:rPr>
        <w:t xml:space="preserve">Acesta se formează în atmosfera înaltă, prin interacţiile radiaţiei cosmice cu elemente din straturile superioare ale atmosferei. </w:t>
      </w:r>
    </w:p>
    <w:p w:rsidR="00B84559" w:rsidRPr="00162AFD" w:rsidRDefault="00B84559" w:rsidP="00B84559">
      <w:pPr>
        <w:pStyle w:val="Indentcorptext"/>
        <w:tabs>
          <w:tab w:val="left" w:pos="709"/>
        </w:tabs>
        <w:ind w:firstLine="0"/>
        <w:rPr>
          <w:rFonts w:ascii="Arial" w:hAnsi="Arial" w:cs="Arial"/>
        </w:rPr>
      </w:pPr>
      <w:r w:rsidRPr="00162AFD">
        <w:rPr>
          <w:rFonts w:ascii="Arial" w:hAnsi="Arial" w:cs="Arial"/>
        </w:rPr>
        <w:tab/>
        <w:t xml:space="preserve">Ca radionuclid artificial, H-3 este prezent în mediu ca urmare a funcţionării centralelor nuclearo-electrice, fiind unul din produşii de activare rezultaţi în procesele nucleare.  </w:t>
      </w:r>
    </w:p>
    <w:p w:rsidR="00B84559" w:rsidRPr="00162AFD" w:rsidRDefault="00B84559" w:rsidP="00B84559">
      <w:pPr>
        <w:pStyle w:val="Indentcorptext"/>
        <w:tabs>
          <w:tab w:val="left" w:pos="709"/>
        </w:tabs>
        <w:ind w:firstLine="0"/>
        <w:rPr>
          <w:rFonts w:ascii="Arial" w:hAnsi="Arial" w:cs="Arial"/>
        </w:rPr>
      </w:pPr>
      <w:r w:rsidRPr="00162AFD">
        <w:rPr>
          <w:rFonts w:ascii="Arial" w:hAnsi="Arial" w:cs="Arial"/>
        </w:rPr>
        <w:tab/>
        <w:t>Principalele căi de expunere la tritiu sunt încorporarea de apă tritiată prin ingestie şi prin inhalare/absorbţie prin piele şi încorporarea de tritiu legat organic prin ingestia de hrană.</w:t>
      </w:r>
    </w:p>
    <w:p w:rsidR="00897C52" w:rsidRPr="00980254" w:rsidRDefault="00B84559" w:rsidP="00B84559">
      <w:pPr>
        <w:tabs>
          <w:tab w:val="left" w:pos="1276"/>
          <w:tab w:val="left" w:leader="dot" w:pos="9356"/>
        </w:tabs>
        <w:rPr>
          <w:color w:val="FF0000"/>
          <w:sz w:val="22"/>
          <w:szCs w:val="26"/>
          <w:lang w:val="ro-RO"/>
        </w:rPr>
      </w:pPr>
      <w:r w:rsidRPr="00162AFD">
        <w:rPr>
          <w:rFonts w:ascii="Arial" w:hAnsi="Arial" w:cs="Arial"/>
        </w:rPr>
        <w:tab/>
        <w:t>Expunerea suplimentară a populaţiei din zonă ca urmare a funcţionării CNE Cernavodă este nesemnificativă comparativ cu expunerea naturală şi cu reglementările naţionale şi internaţionale privind expunerea populaţiei ca urmare a practicilor nucleare.</w:t>
      </w:r>
    </w:p>
    <w:p w:rsidR="00897C52" w:rsidRPr="00980254" w:rsidRDefault="00897C52" w:rsidP="00897C52">
      <w:pPr>
        <w:tabs>
          <w:tab w:val="left" w:pos="1276"/>
          <w:tab w:val="left" w:leader="dot" w:pos="9356"/>
        </w:tabs>
        <w:rPr>
          <w:i/>
          <w:color w:val="FF0000"/>
          <w:sz w:val="22"/>
          <w:szCs w:val="26"/>
          <w:lang w:val="ro-RO"/>
        </w:rPr>
      </w:pPr>
    </w:p>
    <w:p w:rsidR="00897C52" w:rsidRPr="00980254" w:rsidRDefault="00897C52" w:rsidP="00897C52">
      <w:pPr>
        <w:tabs>
          <w:tab w:val="left" w:pos="1276"/>
          <w:tab w:val="left" w:leader="dot" w:pos="9356"/>
        </w:tabs>
        <w:rPr>
          <w:i/>
          <w:color w:val="FF0000"/>
          <w:sz w:val="22"/>
          <w:szCs w:val="26"/>
          <w:lang w:val="ro-RO"/>
        </w:rPr>
      </w:pPr>
    </w:p>
    <w:p w:rsidR="00755794" w:rsidRPr="00980254" w:rsidRDefault="00755794" w:rsidP="007816A7">
      <w:pPr>
        <w:numPr>
          <w:ilvl w:val="0"/>
          <w:numId w:val="3"/>
        </w:numPr>
        <w:shd w:val="clear" w:color="auto" w:fill="CDDEF3"/>
        <w:tabs>
          <w:tab w:val="left" w:pos="540"/>
          <w:tab w:val="left" w:leader="dot" w:pos="9356"/>
        </w:tabs>
        <w:spacing w:line="360" w:lineRule="auto"/>
        <w:rPr>
          <w:b/>
          <w:color w:val="FF0000"/>
          <w:sz w:val="26"/>
          <w:szCs w:val="26"/>
          <w:lang w:val="ro-RO"/>
        </w:rPr>
      </w:pPr>
      <w:r w:rsidRPr="00980254">
        <w:rPr>
          <w:b/>
          <w:color w:val="FF0000"/>
          <w:sz w:val="26"/>
          <w:szCs w:val="26"/>
          <w:lang w:val="ro-RO"/>
        </w:rPr>
        <w:t xml:space="preserve">CONSUMUL ŞI MEDIUL ÎNCONJURĂTOR </w:t>
      </w:r>
      <w:r w:rsidR="00546FB6" w:rsidRPr="00980254">
        <w:rPr>
          <w:b/>
          <w:color w:val="FF0000"/>
          <w:sz w:val="26"/>
          <w:szCs w:val="26"/>
          <w:lang w:val="ro-RO"/>
        </w:rPr>
        <w:t xml:space="preserve"> </w:t>
      </w:r>
    </w:p>
    <w:p w:rsidR="00C83C35" w:rsidRPr="00980254" w:rsidRDefault="00C83C35" w:rsidP="00C83C35">
      <w:pPr>
        <w:ind w:firstLine="369"/>
        <w:rPr>
          <w:color w:val="FF0000"/>
          <w:lang w:val="ro-RO"/>
        </w:rPr>
      </w:pPr>
      <w:r w:rsidRPr="00980254">
        <w:rPr>
          <w:color w:val="FF0000"/>
        </w:rPr>
        <w:t>Acest capitol se trateaz</w:t>
      </w:r>
      <w:r w:rsidRPr="00980254">
        <w:rPr>
          <w:color w:val="FF0000"/>
          <w:lang w:val="ro-RO"/>
        </w:rPr>
        <w:t>ă la nivel național.</w:t>
      </w:r>
    </w:p>
    <w:p w:rsidR="00C83C35" w:rsidRPr="00980254" w:rsidRDefault="00C83C35" w:rsidP="00C83C35">
      <w:pPr>
        <w:rPr>
          <w:color w:val="FF0000"/>
        </w:rPr>
      </w:pPr>
    </w:p>
    <w:p w:rsidR="00755794" w:rsidRPr="00980254" w:rsidRDefault="008F7E5F" w:rsidP="007816A7">
      <w:pPr>
        <w:numPr>
          <w:ilvl w:val="1"/>
          <w:numId w:val="3"/>
        </w:numPr>
        <w:shd w:val="clear" w:color="auto" w:fill="D9D9D9" w:themeFill="background1" w:themeFillShade="D9"/>
        <w:tabs>
          <w:tab w:val="left" w:leader="dot" w:pos="9356"/>
        </w:tabs>
        <w:ind w:left="851" w:hanging="482"/>
        <w:rPr>
          <w:b/>
          <w:color w:val="FF0000"/>
          <w:szCs w:val="26"/>
          <w:lang w:val="ro-RO"/>
        </w:rPr>
      </w:pPr>
      <w:r w:rsidRPr="00980254">
        <w:rPr>
          <w:b/>
          <w:color w:val="FF0000"/>
          <w:szCs w:val="26"/>
          <w:lang w:val="ro-RO"/>
        </w:rPr>
        <w:t>Tend</w:t>
      </w:r>
      <w:r w:rsidR="00755794" w:rsidRPr="00980254">
        <w:rPr>
          <w:b/>
          <w:color w:val="FF0000"/>
          <w:szCs w:val="26"/>
          <w:lang w:val="ro-RO"/>
        </w:rPr>
        <w:t xml:space="preserve">inţe în consum   </w:t>
      </w:r>
      <w:r w:rsidR="00755794" w:rsidRPr="00980254">
        <w:rPr>
          <w:b/>
          <w:color w:val="FF0000"/>
          <w:szCs w:val="26"/>
          <w:lang w:val="ro-RO"/>
        </w:rPr>
        <w:tab/>
      </w:r>
      <w:r w:rsidR="00546FB6" w:rsidRPr="00980254">
        <w:rPr>
          <w:b/>
          <w:color w:val="FF0000"/>
          <w:szCs w:val="26"/>
          <w:lang w:val="ro-RO"/>
        </w:rPr>
        <w:t xml:space="preserve"> </w:t>
      </w:r>
    </w:p>
    <w:p w:rsidR="00755794" w:rsidRPr="00980254" w:rsidRDefault="00755794" w:rsidP="007816A7">
      <w:pPr>
        <w:numPr>
          <w:ilvl w:val="2"/>
          <w:numId w:val="3"/>
        </w:numPr>
        <w:tabs>
          <w:tab w:val="left" w:pos="1276"/>
          <w:tab w:val="left" w:leader="dot" w:pos="9356"/>
        </w:tabs>
        <w:ind w:left="993"/>
        <w:rPr>
          <w:i/>
          <w:color w:val="FF0000"/>
          <w:sz w:val="22"/>
          <w:szCs w:val="26"/>
          <w:lang w:val="ro-RO"/>
        </w:rPr>
      </w:pPr>
      <w:r w:rsidRPr="00980254">
        <w:rPr>
          <w:i/>
          <w:color w:val="FF0000"/>
          <w:sz w:val="22"/>
          <w:szCs w:val="26"/>
          <w:lang w:val="ro-RO"/>
        </w:rPr>
        <w:t xml:space="preserve">Alimente şi băuturi </w:t>
      </w:r>
      <w:r w:rsidRPr="00980254">
        <w:rPr>
          <w:i/>
          <w:color w:val="FF0000"/>
          <w:sz w:val="22"/>
          <w:szCs w:val="26"/>
          <w:lang w:val="ro-RO"/>
        </w:rPr>
        <w:tab/>
      </w:r>
      <w:r w:rsidR="00546FB6" w:rsidRPr="00980254">
        <w:rPr>
          <w:i/>
          <w:color w:val="FF0000"/>
          <w:sz w:val="22"/>
          <w:szCs w:val="26"/>
          <w:lang w:val="ro-RO"/>
        </w:rPr>
        <w:t xml:space="preserve"> </w:t>
      </w:r>
    </w:p>
    <w:p w:rsidR="00755794" w:rsidRPr="00980254" w:rsidRDefault="00755794" w:rsidP="007816A7">
      <w:pPr>
        <w:numPr>
          <w:ilvl w:val="2"/>
          <w:numId w:val="3"/>
        </w:numPr>
        <w:tabs>
          <w:tab w:val="left" w:pos="1276"/>
          <w:tab w:val="left" w:leader="dot" w:pos="9356"/>
        </w:tabs>
        <w:ind w:left="993"/>
        <w:rPr>
          <w:i/>
          <w:color w:val="FF0000"/>
          <w:sz w:val="22"/>
          <w:szCs w:val="26"/>
          <w:lang w:val="ro-RO"/>
        </w:rPr>
      </w:pPr>
      <w:r w:rsidRPr="00980254">
        <w:rPr>
          <w:i/>
          <w:color w:val="FF0000"/>
          <w:sz w:val="22"/>
          <w:szCs w:val="26"/>
          <w:lang w:val="ro-RO"/>
        </w:rPr>
        <w:t xml:space="preserve">Locuinţe </w:t>
      </w:r>
      <w:r w:rsidRPr="00980254">
        <w:rPr>
          <w:i/>
          <w:color w:val="FF0000"/>
          <w:sz w:val="22"/>
          <w:szCs w:val="26"/>
          <w:lang w:val="ro-RO"/>
        </w:rPr>
        <w:tab/>
      </w:r>
      <w:r w:rsidR="00546FB6" w:rsidRPr="00980254">
        <w:rPr>
          <w:i/>
          <w:color w:val="FF0000"/>
          <w:sz w:val="22"/>
          <w:szCs w:val="26"/>
          <w:lang w:val="ro-RO"/>
        </w:rPr>
        <w:t xml:space="preserve"> </w:t>
      </w:r>
    </w:p>
    <w:p w:rsidR="00755794" w:rsidRPr="00980254" w:rsidRDefault="00755794" w:rsidP="007816A7">
      <w:pPr>
        <w:numPr>
          <w:ilvl w:val="2"/>
          <w:numId w:val="3"/>
        </w:numPr>
        <w:tabs>
          <w:tab w:val="left" w:pos="1276"/>
          <w:tab w:val="left" w:leader="dot" w:pos="9356"/>
        </w:tabs>
        <w:ind w:left="993"/>
        <w:rPr>
          <w:i/>
          <w:color w:val="FF0000"/>
          <w:sz w:val="22"/>
          <w:szCs w:val="26"/>
          <w:lang w:val="ro-RO"/>
        </w:rPr>
      </w:pPr>
      <w:r w:rsidRPr="00980254">
        <w:rPr>
          <w:i/>
          <w:color w:val="FF0000"/>
          <w:sz w:val="22"/>
          <w:szCs w:val="26"/>
          <w:lang w:val="ro-RO"/>
        </w:rPr>
        <w:t xml:space="preserve">Mobilitate </w:t>
      </w:r>
      <w:r w:rsidRPr="00980254">
        <w:rPr>
          <w:i/>
          <w:color w:val="FF0000"/>
          <w:sz w:val="22"/>
          <w:szCs w:val="26"/>
          <w:lang w:val="ro-RO"/>
        </w:rPr>
        <w:tab/>
      </w:r>
      <w:r w:rsidR="00546FB6" w:rsidRPr="00980254">
        <w:rPr>
          <w:i/>
          <w:color w:val="FF0000"/>
          <w:sz w:val="22"/>
          <w:szCs w:val="26"/>
          <w:lang w:val="ro-RO"/>
        </w:rPr>
        <w:t xml:space="preserve"> </w:t>
      </w:r>
    </w:p>
    <w:p w:rsidR="00755794" w:rsidRPr="00980254" w:rsidRDefault="00755794" w:rsidP="007816A7">
      <w:pPr>
        <w:numPr>
          <w:ilvl w:val="3"/>
          <w:numId w:val="3"/>
        </w:numPr>
        <w:tabs>
          <w:tab w:val="left" w:leader="dot" w:pos="9356"/>
        </w:tabs>
        <w:ind w:left="1596" w:hanging="816"/>
        <w:rPr>
          <w:color w:val="FF0000"/>
          <w:sz w:val="20"/>
          <w:szCs w:val="26"/>
          <w:lang w:val="ro-RO"/>
        </w:rPr>
      </w:pPr>
      <w:r w:rsidRPr="00980254">
        <w:rPr>
          <w:color w:val="FF0000"/>
          <w:sz w:val="20"/>
          <w:szCs w:val="26"/>
          <w:lang w:val="ro-RO"/>
        </w:rPr>
        <w:t xml:space="preserve">Transportul de pasageri </w:t>
      </w:r>
      <w:r w:rsidRPr="00980254">
        <w:rPr>
          <w:color w:val="FF0000"/>
          <w:sz w:val="20"/>
          <w:szCs w:val="26"/>
          <w:lang w:val="ro-RO"/>
        </w:rPr>
        <w:tab/>
      </w:r>
      <w:r w:rsidR="00546FB6" w:rsidRPr="00980254">
        <w:rPr>
          <w:color w:val="FF0000"/>
          <w:sz w:val="20"/>
          <w:szCs w:val="26"/>
          <w:lang w:val="ro-RO"/>
        </w:rPr>
        <w:t xml:space="preserve"> </w:t>
      </w:r>
    </w:p>
    <w:p w:rsidR="00755794" w:rsidRPr="00980254" w:rsidRDefault="00755794" w:rsidP="007816A7">
      <w:pPr>
        <w:numPr>
          <w:ilvl w:val="3"/>
          <w:numId w:val="3"/>
        </w:numPr>
        <w:tabs>
          <w:tab w:val="left" w:leader="dot" w:pos="9356"/>
        </w:tabs>
        <w:ind w:left="1596" w:hanging="816"/>
        <w:rPr>
          <w:color w:val="FF0000"/>
          <w:sz w:val="20"/>
          <w:szCs w:val="26"/>
          <w:lang w:val="ro-RO"/>
        </w:rPr>
      </w:pPr>
      <w:r w:rsidRPr="00980254">
        <w:rPr>
          <w:color w:val="FF0000"/>
          <w:sz w:val="20"/>
          <w:szCs w:val="26"/>
          <w:lang w:val="ro-RO"/>
        </w:rPr>
        <w:t xml:space="preserve">Transportul de mărfuri </w:t>
      </w:r>
      <w:r w:rsidRPr="00980254">
        <w:rPr>
          <w:color w:val="FF0000"/>
          <w:sz w:val="20"/>
          <w:szCs w:val="26"/>
          <w:lang w:val="ro-RO"/>
        </w:rPr>
        <w:tab/>
      </w:r>
      <w:r w:rsidR="00546FB6" w:rsidRPr="00980254">
        <w:rPr>
          <w:color w:val="FF0000"/>
          <w:sz w:val="20"/>
          <w:szCs w:val="26"/>
          <w:lang w:val="ro-RO"/>
        </w:rPr>
        <w:t xml:space="preserve"> </w:t>
      </w:r>
    </w:p>
    <w:p w:rsidR="00755794" w:rsidRPr="00980254" w:rsidRDefault="00755794" w:rsidP="007816A7">
      <w:pPr>
        <w:numPr>
          <w:ilvl w:val="1"/>
          <w:numId w:val="3"/>
        </w:numPr>
        <w:shd w:val="clear" w:color="auto" w:fill="D9D9D9" w:themeFill="background1" w:themeFillShade="D9"/>
        <w:tabs>
          <w:tab w:val="left" w:leader="dot" w:pos="9356"/>
        </w:tabs>
        <w:ind w:left="851" w:hanging="482"/>
        <w:rPr>
          <w:b/>
          <w:color w:val="FF0000"/>
          <w:szCs w:val="26"/>
          <w:lang w:val="ro-RO"/>
        </w:rPr>
      </w:pPr>
      <w:r w:rsidRPr="00980254">
        <w:rPr>
          <w:b/>
          <w:color w:val="FF0000"/>
          <w:szCs w:val="26"/>
          <w:lang w:val="ro-RO"/>
        </w:rPr>
        <w:t xml:space="preserve">Factori care influenţează consumul </w:t>
      </w:r>
      <w:r w:rsidRPr="00980254">
        <w:rPr>
          <w:b/>
          <w:color w:val="FF0000"/>
          <w:szCs w:val="26"/>
          <w:lang w:val="ro-RO"/>
        </w:rPr>
        <w:tab/>
      </w:r>
      <w:r w:rsidR="00546FB6" w:rsidRPr="00980254">
        <w:rPr>
          <w:b/>
          <w:color w:val="FF0000"/>
          <w:szCs w:val="26"/>
          <w:lang w:val="ro-RO"/>
        </w:rPr>
        <w:t xml:space="preserve"> </w:t>
      </w:r>
    </w:p>
    <w:p w:rsidR="00755794" w:rsidRPr="00980254" w:rsidRDefault="00755794" w:rsidP="007816A7">
      <w:pPr>
        <w:numPr>
          <w:ilvl w:val="1"/>
          <w:numId w:val="3"/>
        </w:numPr>
        <w:shd w:val="clear" w:color="auto" w:fill="D9D9D9" w:themeFill="background1" w:themeFillShade="D9"/>
        <w:tabs>
          <w:tab w:val="left" w:leader="dot" w:pos="9356"/>
        </w:tabs>
        <w:ind w:left="851" w:hanging="482"/>
        <w:rPr>
          <w:b/>
          <w:color w:val="FF0000"/>
          <w:szCs w:val="26"/>
          <w:lang w:val="ro-RO"/>
        </w:rPr>
      </w:pPr>
      <w:r w:rsidRPr="00980254">
        <w:rPr>
          <w:b/>
          <w:color w:val="FF0000"/>
          <w:szCs w:val="26"/>
          <w:lang w:val="ro-RO"/>
        </w:rPr>
        <w:t xml:space="preserve">Presiunile asupra mediului cauzate de consum </w:t>
      </w:r>
      <w:r w:rsidRPr="00980254">
        <w:rPr>
          <w:b/>
          <w:color w:val="FF0000"/>
          <w:szCs w:val="26"/>
          <w:lang w:val="ro-RO"/>
        </w:rPr>
        <w:tab/>
      </w:r>
      <w:r w:rsidR="00546FB6" w:rsidRPr="00980254">
        <w:rPr>
          <w:b/>
          <w:color w:val="FF0000"/>
          <w:szCs w:val="26"/>
          <w:lang w:val="ro-RO"/>
        </w:rPr>
        <w:t xml:space="preserve"> </w:t>
      </w:r>
    </w:p>
    <w:p w:rsidR="00755794" w:rsidRPr="00980254" w:rsidRDefault="008F7E5F" w:rsidP="007816A7">
      <w:pPr>
        <w:numPr>
          <w:ilvl w:val="2"/>
          <w:numId w:val="3"/>
        </w:numPr>
        <w:tabs>
          <w:tab w:val="left" w:pos="1276"/>
          <w:tab w:val="left" w:leader="dot" w:pos="9356"/>
        </w:tabs>
        <w:ind w:left="993"/>
        <w:rPr>
          <w:i/>
          <w:color w:val="FF0000"/>
          <w:sz w:val="22"/>
          <w:szCs w:val="26"/>
          <w:lang w:val="ro-RO"/>
        </w:rPr>
      </w:pPr>
      <w:r w:rsidRPr="00980254">
        <w:rPr>
          <w:i/>
          <w:color w:val="FF0000"/>
          <w:sz w:val="22"/>
          <w:szCs w:val="26"/>
          <w:lang w:val="ro-RO"/>
        </w:rPr>
        <w:t>Emisii de gaze cu efect de s</w:t>
      </w:r>
      <w:r w:rsidR="00755794" w:rsidRPr="00980254">
        <w:rPr>
          <w:i/>
          <w:color w:val="FF0000"/>
          <w:sz w:val="22"/>
          <w:szCs w:val="26"/>
          <w:lang w:val="ro-RO"/>
        </w:rPr>
        <w:t>er</w:t>
      </w:r>
      <w:r w:rsidRPr="00980254">
        <w:rPr>
          <w:i/>
          <w:color w:val="FF0000"/>
          <w:sz w:val="22"/>
          <w:szCs w:val="26"/>
          <w:lang w:val="ro-RO"/>
        </w:rPr>
        <w:t>ă</w:t>
      </w:r>
      <w:r w:rsidR="00755794" w:rsidRPr="00980254">
        <w:rPr>
          <w:i/>
          <w:color w:val="FF0000"/>
          <w:sz w:val="22"/>
          <w:szCs w:val="26"/>
          <w:lang w:val="ro-RO"/>
        </w:rPr>
        <w:t xml:space="preserve"> din sectorul rezidenţial </w:t>
      </w:r>
      <w:r w:rsidR="00755794" w:rsidRPr="00980254">
        <w:rPr>
          <w:i/>
          <w:color w:val="FF0000"/>
          <w:sz w:val="22"/>
          <w:szCs w:val="26"/>
          <w:lang w:val="ro-RO"/>
        </w:rPr>
        <w:tab/>
      </w:r>
      <w:r w:rsidR="00546FB6" w:rsidRPr="00980254">
        <w:rPr>
          <w:i/>
          <w:color w:val="FF0000"/>
          <w:sz w:val="22"/>
          <w:szCs w:val="26"/>
          <w:lang w:val="ro-RO"/>
        </w:rPr>
        <w:t xml:space="preserve"> </w:t>
      </w:r>
    </w:p>
    <w:p w:rsidR="00755794" w:rsidRPr="00980254" w:rsidRDefault="00755794" w:rsidP="007816A7">
      <w:pPr>
        <w:numPr>
          <w:ilvl w:val="2"/>
          <w:numId w:val="3"/>
        </w:numPr>
        <w:tabs>
          <w:tab w:val="left" w:pos="1276"/>
          <w:tab w:val="left" w:leader="dot" w:pos="9356"/>
        </w:tabs>
        <w:ind w:left="993"/>
        <w:rPr>
          <w:i/>
          <w:color w:val="FF0000"/>
          <w:sz w:val="22"/>
          <w:szCs w:val="26"/>
          <w:lang w:val="ro-RO"/>
        </w:rPr>
      </w:pPr>
      <w:r w:rsidRPr="00980254">
        <w:rPr>
          <w:i/>
          <w:color w:val="FF0000"/>
          <w:sz w:val="22"/>
          <w:szCs w:val="26"/>
          <w:lang w:val="ro-RO"/>
        </w:rPr>
        <w:t xml:space="preserve">Consumul de energie pe locuitor </w:t>
      </w:r>
      <w:r w:rsidRPr="00980254">
        <w:rPr>
          <w:i/>
          <w:color w:val="FF0000"/>
          <w:sz w:val="22"/>
          <w:szCs w:val="26"/>
          <w:lang w:val="ro-RO"/>
        </w:rPr>
        <w:tab/>
      </w:r>
      <w:r w:rsidR="00546FB6" w:rsidRPr="00980254">
        <w:rPr>
          <w:i/>
          <w:color w:val="FF0000"/>
          <w:sz w:val="22"/>
          <w:szCs w:val="26"/>
          <w:lang w:val="ro-RO"/>
        </w:rPr>
        <w:t xml:space="preserve"> </w:t>
      </w:r>
    </w:p>
    <w:p w:rsidR="00755794" w:rsidRPr="00980254" w:rsidRDefault="00755794" w:rsidP="007816A7">
      <w:pPr>
        <w:numPr>
          <w:ilvl w:val="2"/>
          <w:numId w:val="3"/>
        </w:numPr>
        <w:tabs>
          <w:tab w:val="left" w:pos="1276"/>
          <w:tab w:val="left" w:leader="dot" w:pos="9356"/>
        </w:tabs>
        <w:ind w:left="993"/>
        <w:rPr>
          <w:i/>
          <w:color w:val="FF0000"/>
          <w:sz w:val="22"/>
          <w:szCs w:val="26"/>
          <w:lang w:val="ro-RO"/>
        </w:rPr>
      </w:pPr>
      <w:r w:rsidRPr="00980254">
        <w:rPr>
          <w:i/>
          <w:color w:val="FF0000"/>
          <w:sz w:val="22"/>
          <w:szCs w:val="26"/>
          <w:lang w:val="ro-RO"/>
        </w:rPr>
        <w:t xml:space="preserve">Utilizarea materialelor </w:t>
      </w:r>
      <w:r w:rsidRPr="00980254">
        <w:rPr>
          <w:i/>
          <w:color w:val="FF0000"/>
          <w:sz w:val="22"/>
          <w:szCs w:val="26"/>
          <w:lang w:val="ro-RO"/>
        </w:rPr>
        <w:tab/>
      </w:r>
      <w:r w:rsidR="00546FB6" w:rsidRPr="00980254">
        <w:rPr>
          <w:i/>
          <w:color w:val="FF0000"/>
          <w:sz w:val="22"/>
          <w:szCs w:val="26"/>
          <w:lang w:val="ro-RO"/>
        </w:rPr>
        <w:t xml:space="preserve"> </w:t>
      </w:r>
    </w:p>
    <w:p w:rsidR="00755794" w:rsidRPr="00980254" w:rsidRDefault="00755794" w:rsidP="007816A7">
      <w:pPr>
        <w:numPr>
          <w:ilvl w:val="1"/>
          <w:numId w:val="3"/>
        </w:numPr>
        <w:shd w:val="clear" w:color="auto" w:fill="D9D9D9" w:themeFill="background1" w:themeFillShade="D9"/>
        <w:tabs>
          <w:tab w:val="left" w:leader="dot" w:pos="9356"/>
        </w:tabs>
        <w:ind w:left="851" w:hanging="482"/>
        <w:rPr>
          <w:b/>
          <w:color w:val="FF0000"/>
          <w:szCs w:val="26"/>
          <w:lang w:val="ro-RO"/>
        </w:rPr>
      </w:pPr>
      <w:r w:rsidRPr="00980254">
        <w:rPr>
          <w:b/>
          <w:color w:val="FF0000"/>
          <w:szCs w:val="26"/>
          <w:lang w:val="ro-RO"/>
        </w:rPr>
        <w:t xml:space="preserve">Prognoze, politici şi măsuri privind consumul şi mediul  </w:t>
      </w:r>
      <w:r w:rsidRPr="00980254">
        <w:rPr>
          <w:b/>
          <w:color w:val="FF0000"/>
          <w:szCs w:val="26"/>
          <w:lang w:val="ro-RO"/>
        </w:rPr>
        <w:tab/>
      </w:r>
      <w:r w:rsidR="00546FB6" w:rsidRPr="00980254">
        <w:rPr>
          <w:b/>
          <w:color w:val="FF0000"/>
          <w:szCs w:val="26"/>
          <w:lang w:val="ro-RO"/>
        </w:rPr>
        <w:t xml:space="preserve"> </w:t>
      </w:r>
    </w:p>
    <w:p w:rsidR="004F7693" w:rsidRPr="00980254" w:rsidRDefault="004F7693" w:rsidP="00755794">
      <w:pPr>
        <w:rPr>
          <w:color w:val="FF0000"/>
          <w:sz w:val="26"/>
          <w:szCs w:val="26"/>
          <w:lang w:val="ro-RO"/>
        </w:rPr>
      </w:pPr>
    </w:p>
    <w:p w:rsidR="00252A79" w:rsidRPr="00980254" w:rsidRDefault="00252A79" w:rsidP="00252A79">
      <w:pPr>
        <w:ind w:left="720"/>
        <w:rPr>
          <w:b/>
          <w:color w:val="FF0000"/>
          <w:sz w:val="28"/>
          <w:szCs w:val="28"/>
          <w:lang w:val="ro-RO"/>
        </w:rPr>
      </w:pPr>
    </w:p>
    <w:p w:rsidR="00695BBF" w:rsidRPr="00980254" w:rsidRDefault="00695BBF" w:rsidP="00252A79">
      <w:pPr>
        <w:tabs>
          <w:tab w:val="left" w:leader="dot" w:pos="8789"/>
        </w:tabs>
        <w:rPr>
          <w:color w:val="FF0000"/>
          <w:sz w:val="26"/>
          <w:szCs w:val="26"/>
          <w:lang w:val="ro-RO"/>
        </w:rPr>
      </w:pPr>
    </w:p>
    <w:p w:rsidR="00695BBF" w:rsidRPr="00980254" w:rsidRDefault="00695BBF" w:rsidP="00252A79">
      <w:pPr>
        <w:tabs>
          <w:tab w:val="left" w:leader="dot" w:pos="8789"/>
        </w:tabs>
        <w:rPr>
          <w:color w:val="FF0000"/>
          <w:sz w:val="26"/>
          <w:szCs w:val="26"/>
          <w:lang w:val="ro-RO"/>
        </w:rPr>
      </w:pPr>
    </w:p>
    <w:p w:rsidR="00695BBF" w:rsidRPr="00980254" w:rsidRDefault="00695BBF" w:rsidP="00252A79">
      <w:pPr>
        <w:tabs>
          <w:tab w:val="left" w:leader="dot" w:pos="8789"/>
        </w:tabs>
        <w:rPr>
          <w:color w:val="FF0000"/>
          <w:sz w:val="26"/>
          <w:szCs w:val="26"/>
          <w:lang w:val="ro-RO"/>
        </w:rPr>
      </w:pPr>
    </w:p>
    <w:p w:rsidR="00695BBF" w:rsidRPr="00980254" w:rsidRDefault="00695BBF" w:rsidP="00252A79">
      <w:pPr>
        <w:tabs>
          <w:tab w:val="left" w:leader="dot" w:pos="8789"/>
        </w:tabs>
        <w:rPr>
          <w:color w:val="FF0000"/>
          <w:sz w:val="26"/>
          <w:szCs w:val="26"/>
          <w:lang w:val="ro-RO"/>
        </w:rPr>
      </w:pPr>
    </w:p>
    <w:p w:rsidR="00695BBF" w:rsidRPr="00980254" w:rsidRDefault="00695BBF" w:rsidP="00252A79">
      <w:pPr>
        <w:tabs>
          <w:tab w:val="left" w:leader="dot" w:pos="8789"/>
        </w:tabs>
        <w:rPr>
          <w:color w:val="FF0000"/>
          <w:sz w:val="26"/>
          <w:szCs w:val="26"/>
          <w:lang w:val="ro-RO"/>
        </w:rPr>
      </w:pPr>
    </w:p>
    <w:p w:rsidR="00695BBF" w:rsidRPr="00980254" w:rsidRDefault="00695BBF" w:rsidP="00252A79">
      <w:pPr>
        <w:tabs>
          <w:tab w:val="left" w:leader="dot" w:pos="8789"/>
        </w:tabs>
        <w:rPr>
          <w:color w:val="FF0000"/>
          <w:sz w:val="26"/>
          <w:szCs w:val="26"/>
          <w:lang w:val="ro-RO"/>
        </w:rPr>
      </w:pPr>
    </w:p>
    <w:p w:rsidR="00695BBF" w:rsidRPr="00980254" w:rsidRDefault="00695BBF" w:rsidP="00252A79">
      <w:pPr>
        <w:tabs>
          <w:tab w:val="left" w:leader="dot" w:pos="8789"/>
        </w:tabs>
        <w:rPr>
          <w:color w:val="FF0000"/>
          <w:sz w:val="26"/>
          <w:szCs w:val="26"/>
          <w:lang w:val="ro-RO"/>
        </w:rPr>
      </w:pPr>
    </w:p>
    <w:p w:rsidR="00695BBF" w:rsidRPr="00980254" w:rsidRDefault="00695BBF" w:rsidP="00252A79">
      <w:pPr>
        <w:tabs>
          <w:tab w:val="left" w:leader="dot" w:pos="8789"/>
        </w:tabs>
        <w:rPr>
          <w:color w:val="FF0000"/>
          <w:sz w:val="26"/>
          <w:szCs w:val="26"/>
          <w:lang w:val="ro-RO"/>
        </w:rPr>
      </w:pPr>
    </w:p>
    <w:p w:rsidR="00695BBF" w:rsidRPr="00980254" w:rsidRDefault="00695BBF" w:rsidP="00252A79">
      <w:pPr>
        <w:tabs>
          <w:tab w:val="left" w:leader="dot" w:pos="8789"/>
        </w:tabs>
        <w:rPr>
          <w:color w:val="FF0000"/>
          <w:sz w:val="26"/>
          <w:szCs w:val="26"/>
          <w:lang w:val="ro-RO"/>
        </w:rPr>
      </w:pPr>
    </w:p>
    <w:p w:rsidR="00695BBF" w:rsidRPr="00980254" w:rsidRDefault="00695BBF" w:rsidP="00252A79">
      <w:pPr>
        <w:tabs>
          <w:tab w:val="left" w:leader="dot" w:pos="8789"/>
        </w:tabs>
        <w:rPr>
          <w:color w:val="FF0000"/>
          <w:sz w:val="26"/>
          <w:szCs w:val="26"/>
          <w:lang w:val="ro-RO"/>
        </w:rPr>
      </w:pPr>
    </w:p>
    <w:p w:rsidR="00695BBF" w:rsidRPr="00980254" w:rsidRDefault="00695BBF" w:rsidP="00252A79">
      <w:pPr>
        <w:tabs>
          <w:tab w:val="left" w:leader="dot" w:pos="8789"/>
        </w:tabs>
        <w:rPr>
          <w:color w:val="FF0000"/>
          <w:sz w:val="26"/>
          <w:szCs w:val="26"/>
          <w:lang w:val="ro-RO"/>
        </w:rPr>
      </w:pPr>
    </w:p>
    <w:p w:rsidR="00695BBF" w:rsidRPr="00980254" w:rsidRDefault="00695BBF" w:rsidP="00252A79">
      <w:pPr>
        <w:tabs>
          <w:tab w:val="left" w:leader="dot" w:pos="8789"/>
        </w:tabs>
        <w:rPr>
          <w:color w:val="FF0000"/>
          <w:sz w:val="26"/>
          <w:szCs w:val="26"/>
          <w:lang w:val="ro-RO"/>
        </w:rPr>
      </w:pPr>
    </w:p>
    <w:p w:rsidR="00695BBF" w:rsidRPr="00980254" w:rsidRDefault="00695BBF" w:rsidP="00252A79">
      <w:pPr>
        <w:tabs>
          <w:tab w:val="left" w:leader="dot" w:pos="8789"/>
        </w:tabs>
        <w:rPr>
          <w:color w:val="FF0000"/>
          <w:sz w:val="26"/>
          <w:szCs w:val="26"/>
          <w:lang w:val="ro-RO"/>
        </w:rPr>
      </w:pPr>
    </w:p>
    <w:p w:rsidR="00695BBF" w:rsidRPr="00980254" w:rsidRDefault="00695BBF" w:rsidP="00252A79">
      <w:pPr>
        <w:tabs>
          <w:tab w:val="left" w:leader="dot" w:pos="8789"/>
        </w:tabs>
        <w:rPr>
          <w:color w:val="FF0000"/>
          <w:sz w:val="26"/>
          <w:szCs w:val="26"/>
          <w:lang w:val="ro-RO"/>
        </w:rPr>
      </w:pPr>
    </w:p>
    <w:p w:rsidR="00695BBF" w:rsidRPr="00980254" w:rsidRDefault="00695BBF" w:rsidP="00252A79">
      <w:pPr>
        <w:tabs>
          <w:tab w:val="left" w:leader="dot" w:pos="8789"/>
        </w:tabs>
        <w:rPr>
          <w:color w:val="FF0000"/>
          <w:sz w:val="26"/>
          <w:szCs w:val="26"/>
          <w:lang w:val="ro-RO"/>
        </w:rPr>
      </w:pPr>
    </w:p>
    <w:p w:rsidR="00695BBF" w:rsidRPr="00980254" w:rsidRDefault="00695BBF" w:rsidP="00252A79">
      <w:pPr>
        <w:tabs>
          <w:tab w:val="left" w:leader="dot" w:pos="8789"/>
        </w:tabs>
        <w:rPr>
          <w:color w:val="FF0000"/>
          <w:sz w:val="26"/>
          <w:szCs w:val="26"/>
          <w:lang w:val="ro-RO"/>
        </w:rPr>
      </w:pPr>
    </w:p>
    <w:p w:rsidR="00695BBF" w:rsidRPr="00980254" w:rsidRDefault="00695BBF" w:rsidP="00252A79">
      <w:pPr>
        <w:tabs>
          <w:tab w:val="left" w:leader="dot" w:pos="8789"/>
        </w:tabs>
        <w:rPr>
          <w:color w:val="FF0000"/>
          <w:sz w:val="26"/>
          <w:szCs w:val="26"/>
          <w:lang w:val="ro-RO"/>
        </w:rPr>
      </w:pPr>
    </w:p>
    <w:p w:rsidR="00695BBF" w:rsidRPr="00980254" w:rsidRDefault="00695BBF" w:rsidP="00252A79">
      <w:pPr>
        <w:tabs>
          <w:tab w:val="left" w:leader="dot" w:pos="8789"/>
        </w:tabs>
        <w:rPr>
          <w:color w:val="FF0000"/>
          <w:sz w:val="26"/>
          <w:szCs w:val="26"/>
          <w:lang w:val="ro-RO"/>
        </w:rPr>
      </w:pPr>
    </w:p>
    <w:p w:rsidR="00695BBF" w:rsidRPr="00980254" w:rsidRDefault="00695BBF" w:rsidP="00252A79">
      <w:pPr>
        <w:tabs>
          <w:tab w:val="left" w:leader="dot" w:pos="8789"/>
        </w:tabs>
        <w:rPr>
          <w:color w:val="FF0000"/>
          <w:sz w:val="26"/>
          <w:szCs w:val="26"/>
          <w:lang w:val="ro-RO"/>
        </w:rPr>
      </w:pPr>
    </w:p>
    <w:p w:rsidR="00695BBF" w:rsidRPr="00980254" w:rsidRDefault="00695BBF" w:rsidP="00252A79">
      <w:pPr>
        <w:tabs>
          <w:tab w:val="left" w:leader="dot" w:pos="8789"/>
        </w:tabs>
        <w:rPr>
          <w:color w:val="FF0000"/>
          <w:sz w:val="26"/>
          <w:szCs w:val="26"/>
          <w:lang w:val="ro-RO"/>
        </w:rPr>
      </w:pPr>
    </w:p>
    <w:p w:rsidR="00695BBF" w:rsidRPr="00980254" w:rsidRDefault="00695BBF" w:rsidP="00252A79">
      <w:pPr>
        <w:tabs>
          <w:tab w:val="left" w:leader="dot" w:pos="8789"/>
        </w:tabs>
        <w:rPr>
          <w:color w:val="FF0000"/>
          <w:sz w:val="26"/>
          <w:szCs w:val="26"/>
          <w:lang w:val="ro-RO"/>
        </w:rPr>
      </w:pPr>
    </w:p>
    <w:sectPr w:rsidR="00695BBF" w:rsidRPr="00980254" w:rsidSect="00083517">
      <w:headerReference w:type="even" r:id="rId65"/>
      <w:headerReference w:type="default" r:id="rId66"/>
      <w:pgSz w:w="12240" w:h="15840"/>
      <w:pgMar w:top="851" w:right="907" w:bottom="992" w:left="1140" w:header="56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15B" w:rsidRDefault="00BA415B" w:rsidP="003A506A">
      <w:r>
        <w:separator/>
      </w:r>
    </w:p>
  </w:endnote>
  <w:endnote w:type="continuationSeparator" w:id="0">
    <w:p w:rsidR="00BA415B" w:rsidRDefault="00BA415B" w:rsidP="003A5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15B" w:rsidRDefault="00BA415B" w:rsidP="003A506A">
      <w:r>
        <w:separator/>
      </w:r>
    </w:p>
  </w:footnote>
  <w:footnote w:type="continuationSeparator" w:id="0">
    <w:p w:rsidR="00BA415B" w:rsidRDefault="00BA415B" w:rsidP="003A50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3CC" w:rsidRPr="00A32826" w:rsidRDefault="00A723CC" w:rsidP="00A32826">
    <w:pPr>
      <w:pBdr>
        <w:bottom w:val="single" w:sz="4" w:space="1" w:color="auto"/>
      </w:pBdr>
      <w:jc w:val="right"/>
      <w:rPr>
        <w:rFonts w:ascii="Cambria" w:hAnsi="Cambria" w:cs="Arial"/>
        <w:b/>
        <w:i/>
        <w:color w:val="002060"/>
        <w:sz w:val="22"/>
        <w:szCs w:val="28"/>
        <w:lang w:val="ro-RO"/>
      </w:rPr>
    </w:pPr>
    <w:r w:rsidRPr="00A32826">
      <w:rPr>
        <w:rFonts w:ascii="Cambria" w:hAnsi="Cambria" w:cs="Arial"/>
        <w:b/>
        <w:i/>
        <w:color w:val="002060"/>
        <w:sz w:val="22"/>
        <w:szCs w:val="28"/>
        <w:lang w:val="ro-RO"/>
      </w:rPr>
      <w:t>RAPORT NAȚIONAL PRIVIND STAREA MEDIULUI, ANUL 2013</w:t>
    </w:r>
  </w:p>
  <w:p w:rsidR="00A723CC" w:rsidRDefault="00A723CC">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3CC" w:rsidRPr="00A32826" w:rsidRDefault="00A723CC" w:rsidP="00367745">
    <w:pPr>
      <w:pBdr>
        <w:bottom w:val="single" w:sz="4" w:space="1" w:color="auto"/>
      </w:pBdr>
      <w:jc w:val="right"/>
      <w:rPr>
        <w:rFonts w:ascii="Cambria" w:hAnsi="Cambria" w:cs="Arial"/>
        <w:b/>
        <w:i/>
        <w:color w:val="002060"/>
        <w:sz w:val="22"/>
        <w:szCs w:val="28"/>
        <w:lang w:val="ro-RO"/>
      </w:rPr>
    </w:pPr>
    <w:r w:rsidRPr="00A32826">
      <w:rPr>
        <w:rFonts w:ascii="Cambria" w:hAnsi="Cambria" w:cs="Arial"/>
        <w:b/>
        <w:i/>
        <w:color w:val="002060"/>
        <w:sz w:val="22"/>
        <w:szCs w:val="28"/>
        <w:lang w:val="ro-RO"/>
      </w:rPr>
      <w:t xml:space="preserve">RAPORT </w:t>
    </w:r>
    <w:r>
      <w:rPr>
        <w:rFonts w:ascii="Cambria" w:hAnsi="Cambria" w:cs="Arial"/>
        <w:b/>
        <w:i/>
        <w:color w:val="002060"/>
        <w:sz w:val="22"/>
        <w:szCs w:val="28"/>
        <w:lang w:val="ro-RO"/>
      </w:rPr>
      <w:t xml:space="preserve">JUDETEAN PRIVIND STAREA MEDIULUI, </w:t>
    </w:r>
    <w:r w:rsidRPr="00A32826">
      <w:rPr>
        <w:rFonts w:ascii="Cambria" w:hAnsi="Cambria" w:cs="Arial"/>
        <w:b/>
        <w:i/>
        <w:color w:val="002060"/>
        <w:sz w:val="22"/>
        <w:szCs w:val="28"/>
        <w:lang w:val="ro-RO"/>
      </w:rPr>
      <w:t xml:space="preserve"> ANUL 201</w:t>
    </w:r>
    <w:r>
      <w:rPr>
        <w:rFonts w:ascii="Cambria" w:hAnsi="Cambria" w:cs="Arial"/>
        <w:b/>
        <w:i/>
        <w:color w:val="002060"/>
        <w:sz w:val="22"/>
        <w:szCs w:val="28"/>
        <w:lang w:val="ro-RO"/>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bullet"/>
      <w:lvlText w:val="¨"/>
      <w:lvlJc w:val="left"/>
      <w:pPr>
        <w:tabs>
          <w:tab w:val="num" w:pos="1080"/>
        </w:tabs>
        <w:ind w:left="1080" w:hanging="360"/>
      </w:pPr>
      <w:rPr>
        <w:rFonts w:ascii="Symbol" w:hAnsi="Symbol"/>
        <w:color w:val="auto"/>
      </w:rPr>
    </w:lvl>
  </w:abstractNum>
  <w:abstractNum w:abstractNumId="1">
    <w:nsid w:val="008471BB"/>
    <w:multiLevelType w:val="hybridMultilevel"/>
    <w:tmpl w:val="A3B841AA"/>
    <w:lvl w:ilvl="0" w:tplc="CF1E5EA0">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0BB317F"/>
    <w:multiLevelType w:val="hybridMultilevel"/>
    <w:tmpl w:val="A9722D26"/>
    <w:lvl w:ilvl="0" w:tplc="04090001">
      <w:start w:val="1"/>
      <w:numFmt w:val="bullet"/>
      <w:lvlText w:val=""/>
      <w:lvlJc w:val="left"/>
      <w:pPr>
        <w:tabs>
          <w:tab w:val="num" w:pos="780"/>
        </w:tabs>
        <w:ind w:left="780" w:hanging="360"/>
      </w:pPr>
      <w:rPr>
        <w:rFonts w:ascii="Symbol" w:hAnsi="Symbol" w:hint="default"/>
      </w:rPr>
    </w:lvl>
    <w:lvl w:ilvl="1" w:tplc="C1288D40">
      <w:numFmt w:val="bullet"/>
      <w:lvlText w:val="-"/>
      <w:lvlJc w:val="left"/>
      <w:pPr>
        <w:tabs>
          <w:tab w:val="num" w:pos="1500"/>
        </w:tabs>
        <w:ind w:left="1500" w:hanging="360"/>
      </w:pPr>
      <w:rPr>
        <w:rFonts w:ascii="Arial" w:eastAsia="Times New Roman" w:hAnsi="Arial" w:cs="Aria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00D51E8B"/>
    <w:multiLevelType w:val="hybridMultilevel"/>
    <w:tmpl w:val="744AC59E"/>
    <w:lvl w:ilvl="0" w:tplc="54C2E6D8">
      <w:start w:val="6"/>
      <w:numFmt w:val="bullet"/>
      <w:lvlText w:val="-"/>
      <w:lvlJc w:val="left"/>
      <w:pPr>
        <w:ind w:left="1080" w:hanging="360"/>
      </w:pPr>
      <w:rPr>
        <w:rFonts w:ascii="Arial" w:eastAsia="Times New Roman" w:hAnsi="Arial" w:hint="default"/>
        <w:sz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2843C41"/>
    <w:multiLevelType w:val="hybridMultilevel"/>
    <w:tmpl w:val="B4964DE6"/>
    <w:lvl w:ilvl="0" w:tplc="319C7C82">
      <w:start w:val="2"/>
      <w:numFmt w:val="bullet"/>
      <w:lvlText w:val="-"/>
      <w:lvlJc w:val="left"/>
      <w:pPr>
        <w:tabs>
          <w:tab w:val="num" w:pos="1004"/>
        </w:tabs>
        <w:ind w:left="1004" w:hanging="360"/>
      </w:pPr>
      <w:rPr>
        <w:rFonts w:ascii="Arial" w:eastAsia="Times New Roman" w:hAnsi="Arial" w:cs="Aria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5">
    <w:nsid w:val="084747B7"/>
    <w:multiLevelType w:val="hybridMultilevel"/>
    <w:tmpl w:val="0CA6AAD0"/>
    <w:lvl w:ilvl="0" w:tplc="4B185A0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A7620E"/>
    <w:multiLevelType w:val="multilevel"/>
    <w:tmpl w:val="6D56D3D0"/>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7">
    <w:nsid w:val="0D202B9C"/>
    <w:multiLevelType w:val="hybridMultilevel"/>
    <w:tmpl w:val="5A980496"/>
    <w:lvl w:ilvl="0" w:tplc="8C367E0C">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F612CAE"/>
    <w:multiLevelType w:val="hybridMultilevel"/>
    <w:tmpl w:val="7E90011A"/>
    <w:lvl w:ilvl="0" w:tplc="50346D7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D61974"/>
    <w:multiLevelType w:val="hybridMultilevel"/>
    <w:tmpl w:val="4A028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1D413FA"/>
    <w:multiLevelType w:val="hybridMultilevel"/>
    <w:tmpl w:val="84F0537E"/>
    <w:lvl w:ilvl="0" w:tplc="9D6237A0">
      <w:numFmt w:val="bullet"/>
      <w:lvlText w:val="-"/>
      <w:lvlJc w:val="left"/>
      <w:pPr>
        <w:ind w:left="1080" w:hanging="360"/>
      </w:pPr>
      <w:rPr>
        <w:rFonts w:ascii="Times New Roman" w:eastAsia="Batang"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137B7DBF"/>
    <w:multiLevelType w:val="hybridMultilevel"/>
    <w:tmpl w:val="7B061E50"/>
    <w:lvl w:ilvl="0" w:tplc="CB285A08">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57D21E0"/>
    <w:multiLevelType w:val="hybridMultilevel"/>
    <w:tmpl w:val="8A068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0324C3"/>
    <w:multiLevelType w:val="hybridMultilevel"/>
    <w:tmpl w:val="F2241646"/>
    <w:lvl w:ilvl="0" w:tplc="8C367E0C">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64A427B"/>
    <w:multiLevelType w:val="hybridMultilevel"/>
    <w:tmpl w:val="534CEF22"/>
    <w:lvl w:ilvl="0" w:tplc="6D00160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741782"/>
    <w:multiLevelType w:val="hybridMultilevel"/>
    <w:tmpl w:val="FB4AD1D4"/>
    <w:lvl w:ilvl="0" w:tplc="8DE87AC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51345B"/>
    <w:multiLevelType w:val="hybridMultilevel"/>
    <w:tmpl w:val="AC908512"/>
    <w:lvl w:ilvl="0" w:tplc="0418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17F9566B"/>
    <w:multiLevelType w:val="hybridMultilevel"/>
    <w:tmpl w:val="698EE61C"/>
    <w:lvl w:ilvl="0" w:tplc="A7365F7A">
      <w:start w:val="5"/>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8483577"/>
    <w:multiLevelType w:val="hybridMultilevel"/>
    <w:tmpl w:val="CE621054"/>
    <w:lvl w:ilvl="0" w:tplc="BBC6186E">
      <w:start w:val="1"/>
      <w:numFmt w:val="upperLetter"/>
      <w:lvlText w:val="%1."/>
      <w:lvlJc w:val="left"/>
      <w:pPr>
        <w:ind w:left="360" w:hanging="360"/>
      </w:pPr>
      <w:rPr>
        <w:rFonts w:hint="default"/>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94A6034"/>
    <w:multiLevelType w:val="hybridMultilevel"/>
    <w:tmpl w:val="089ED4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1D340AAD"/>
    <w:multiLevelType w:val="multilevel"/>
    <w:tmpl w:val="D9C62128"/>
    <w:lvl w:ilvl="0">
      <w:start w:val="9"/>
      <w:numFmt w:val="upperRoman"/>
      <w:lvlText w:val=" %1. "/>
      <w:lvlJc w:val="left"/>
      <w:pPr>
        <w:tabs>
          <w:tab w:val="num" w:pos="0"/>
        </w:tabs>
        <w:ind w:left="735" w:hanging="735"/>
      </w:pPr>
      <w:rPr>
        <w:rFonts w:hint="default"/>
        <w:b/>
        <w:i w:val="0"/>
        <w:caps w:val="0"/>
        <w:strike w:val="0"/>
        <w:dstrike w:val="0"/>
        <w:vanish w:val="0"/>
        <w:color w:val="000000"/>
        <w:sz w:val="26"/>
        <w:szCs w:val="26"/>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lvl>
    <w:lvl w:ilvl="1">
      <w:start w:val="1"/>
      <w:numFmt w:val="decimal"/>
      <w:suff w:val="space"/>
      <w:lvlText w:val="%1.%2."/>
      <w:lvlJc w:val="left"/>
      <w:pPr>
        <w:ind w:left="737" w:hanging="624"/>
      </w:pPr>
      <w:rPr>
        <w:rFonts w:hint="default"/>
        <w:sz w:val="22"/>
      </w:rPr>
    </w:lvl>
    <w:lvl w:ilvl="2">
      <w:start w:val="1"/>
      <w:numFmt w:val="decimal"/>
      <w:lvlText w:val="%1.%2.%3."/>
      <w:lvlJc w:val="left"/>
      <w:pPr>
        <w:tabs>
          <w:tab w:val="num" w:pos="398"/>
        </w:tabs>
        <w:ind w:left="965" w:hanging="397"/>
      </w:pPr>
      <w:rPr>
        <w:rFonts w:hint="default"/>
        <w:b/>
        <w:sz w:val="20"/>
      </w:rPr>
    </w:lvl>
    <w:lvl w:ilvl="3">
      <w:start w:val="1"/>
      <w:numFmt w:val="decimal"/>
      <w:lvlText w:val="%1.%2.%3.%4."/>
      <w:lvlJc w:val="left"/>
      <w:pPr>
        <w:tabs>
          <w:tab w:val="num" w:pos="2215"/>
        </w:tabs>
        <w:ind w:left="2215" w:hanging="1080"/>
      </w:pPr>
      <w:rPr>
        <w:rFonts w:hint="default"/>
        <w:b w:val="0"/>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440"/>
        </w:tabs>
        <w:ind w:left="1440" w:hanging="1440"/>
      </w:pPr>
      <w:rPr>
        <w:rFonts w:hint="default"/>
        <w:sz w:val="20"/>
      </w:rPr>
    </w:lvl>
    <w:lvl w:ilvl="6">
      <w:start w:val="1"/>
      <w:numFmt w:val="decimal"/>
      <w:lvlText w:val="%1.%2.%3.%4.%5.%6.%7."/>
      <w:lvlJc w:val="left"/>
      <w:pPr>
        <w:tabs>
          <w:tab w:val="num" w:pos="1800"/>
        </w:tabs>
        <w:ind w:left="1800" w:hanging="1800"/>
      </w:pPr>
      <w:rPr>
        <w:rFonts w:hint="default"/>
        <w:sz w:val="20"/>
      </w:rPr>
    </w:lvl>
    <w:lvl w:ilvl="7">
      <w:start w:val="1"/>
      <w:numFmt w:val="decimal"/>
      <w:lvlText w:val="%1.%2.%3.%4.%5.%6.%7.%8."/>
      <w:lvlJc w:val="left"/>
      <w:pPr>
        <w:tabs>
          <w:tab w:val="num" w:pos="1800"/>
        </w:tabs>
        <w:ind w:left="1800" w:hanging="1800"/>
      </w:pPr>
      <w:rPr>
        <w:rFonts w:hint="default"/>
        <w:sz w:val="20"/>
      </w:rPr>
    </w:lvl>
    <w:lvl w:ilvl="8">
      <w:start w:val="1"/>
      <w:numFmt w:val="decimal"/>
      <w:lvlText w:val="%1.%2.%3.%4.%5.%6.%7.%8.%9."/>
      <w:lvlJc w:val="left"/>
      <w:pPr>
        <w:tabs>
          <w:tab w:val="num" w:pos="2160"/>
        </w:tabs>
        <w:ind w:left="2160" w:hanging="2160"/>
      </w:pPr>
      <w:rPr>
        <w:rFonts w:hint="default"/>
        <w:sz w:val="20"/>
      </w:rPr>
    </w:lvl>
  </w:abstractNum>
  <w:abstractNum w:abstractNumId="21">
    <w:nsid w:val="225604E8"/>
    <w:multiLevelType w:val="hybridMultilevel"/>
    <w:tmpl w:val="63CAC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49116E5"/>
    <w:multiLevelType w:val="hybridMultilevel"/>
    <w:tmpl w:val="2586EA4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3">
    <w:nsid w:val="251C5406"/>
    <w:multiLevelType w:val="hybridMultilevel"/>
    <w:tmpl w:val="6BAAB5D8"/>
    <w:lvl w:ilvl="0" w:tplc="EF7AC6F0">
      <w:start w:val="5"/>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2677571B"/>
    <w:multiLevelType w:val="hybridMultilevel"/>
    <w:tmpl w:val="47C835A8"/>
    <w:lvl w:ilvl="0" w:tplc="FC446802">
      <w:start w:val="8"/>
      <w:numFmt w:val="bullet"/>
      <w:lvlText w:val="-"/>
      <w:lvlJc w:val="left"/>
      <w:pPr>
        <w:tabs>
          <w:tab w:val="num" w:pos="360"/>
        </w:tabs>
        <w:ind w:left="360" w:hanging="360"/>
      </w:pPr>
      <w:rPr>
        <w:rFonts w:ascii="Arial" w:eastAsia="Times New Roman" w:hAnsi="Arial" w:cs="Arial" w:hint="default"/>
      </w:rPr>
    </w:lvl>
    <w:lvl w:ilvl="1" w:tplc="076ABC26">
      <w:start w:val="1"/>
      <w:numFmt w:val="lowerLetter"/>
      <w:lvlText w:val="%2)"/>
      <w:lvlJc w:val="left"/>
      <w:pPr>
        <w:tabs>
          <w:tab w:val="num" w:pos="1201"/>
        </w:tabs>
        <w:ind w:left="1201" w:hanging="405"/>
      </w:pPr>
      <w:rPr>
        <w:rFonts w:ascii="Times New Roman" w:eastAsia="Times New Roman" w:hAnsi="Times New Roman" w:cs="Times New Roman"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25">
    <w:nsid w:val="280F70B0"/>
    <w:multiLevelType w:val="hybridMultilevel"/>
    <w:tmpl w:val="B8449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B5D53B2"/>
    <w:multiLevelType w:val="hybridMultilevel"/>
    <w:tmpl w:val="E362B568"/>
    <w:lvl w:ilvl="0" w:tplc="B338DF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D803C12"/>
    <w:multiLevelType w:val="hybridMultilevel"/>
    <w:tmpl w:val="A1C6AC16"/>
    <w:lvl w:ilvl="0" w:tplc="E1E6EED2">
      <w:start w:val="1"/>
      <w:numFmt w:val="lowerLetter"/>
      <w:lvlText w:val="(%1)"/>
      <w:lvlJc w:val="left"/>
      <w:pPr>
        <w:ind w:left="2487" w:hanging="360"/>
      </w:pPr>
      <w:rPr>
        <w:rFonts w:hint="default"/>
      </w:rPr>
    </w:lvl>
    <w:lvl w:ilvl="1" w:tplc="04090019" w:tentative="1">
      <w:start w:val="1"/>
      <w:numFmt w:val="lowerLetter"/>
      <w:lvlText w:val="%2."/>
      <w:lvlJc w:val="left"/>
      <w:pPr>
        <w:ind w:left="5617" w:hanging="360"/>
      </w:pPr>
    </w:lvl>
    <w:lvl w:ilvl="2" w:tplc="0409001B" w:tentative="1">
      <w:start w:val="1"/>
      <w:numFmt w:val="lowerRoman"/>
      <w:lvlText w:val="%3."/>
      <w:lvlJc w:val="right"/>
      <w:pPr>
        <w:ind w:left="6337" w:hanging="180"/>
      </w:pPr>
    </w:lvl>
    <w:lvl w:ilvl="3" w:tplc="0409000F" w:tentative="1">
      <w:start w:val="1"/>
      <w:numFmt w:val="decimal"/>
      <w:lvlText w:val="%4."/>
      <w:lvlJc w:val="left"/>
      <w:pPr>
        <w:ind w:left="7057" w:hanging="360"/>
      </w:pPr>
    </w:lvl>
    <w:lvl w:ilvl="4" w:tplc="04090019" w:tentative="1">
      <w:start w:val="1"/>
      <w:numFmt w:val="lowerLetter"/>
      <w:lvlText w:val="%5."/>
      <w:lvlJc w:val="left"/>
      <w:pPr>
        <w:ind w:left="7777" w:hanging="360"/>
      </w:pPr>
    </w:lvl>
    <w:lvl w:ilvl="5" w:tplc="0409001B" w:tentative="1">
      <w:start w:val="1"/>
      <w:numFmt w:val="lowerRoman"/>
      <w:lvlText w:val="%6."/>
      <w:lvlJc w:val="right"/>
      <w:pPr>
        <w:ind w:left="8497" w:hanging="180"/>
      </w:pPr>
    </w:lvl>
    <w:lvl w:ilvl="6" w:tplc="0409000F" w:tentative="1">
      <w:start w:val="1"/>
      <w:numFmt w:val="decimal"/>
      <w:lvlText w:val="%7."/>
      <w:lvlJc w:val="left"/>
      <w:pPr>
        <w:ind w:left="9217" w:hanging="360"/>
      </w:pPr>
    </w:lvl>
    <w:lvl w:ilvl="7" w:tplc="04090019" w:tentative="1">
      <w:start w:val="1"/>
      <w:numFmt w:val="lowerLetter"/>
      <w:lvlText w:val="%8."/>
      <w:lvlJc w:val="left"/>
      <w:pPr>
        <w:ind w:left="9937" w:hanging="360"/>
      </w:pPr>
    </w:lvl>
    <w:lvl w:ilvl="8" w:tplc="0409001B" w:tentative="1">
      <w:start w:val="1"/>
      <w:numFmt w:val="lowerRoman"/>
      <w:lvlText w:val="%9."/>
      <w:lvlJc w:val="right"/>
      <w:pPr>
        <w:ind w:left="10657" w:hanging="180"/>
      </w:pPr>
    </w:lvl>
  </w:abstractNum>
  <w:abstractNum w:abstractNumId="28">
    <w:nsid w:val="2E1516D6"/>
    <w:multiLevelType w:val="hybridMultilevel"/>
    <w:tmpl w:val="91C6F7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2E484B8C"/>
    <w:multiLevelType w:val="hybridMultilevel"/>
    <w:tmpl w:val="B7548E58"/>
    <w:lvl w:ilvl="0" w:tplc="00BA413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FE5101C"/>
    <w:multiLevelType w:val="hybridMultilevel"/>
    <w:tmpl w:val="F3E4FDDE"/>
    <w:lvl w:ilvl="0" w:tplc="759A0B9E">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nsid w:val="30C35575"/>
    <w:multiLevelType w:val="hybridMultilevel"/>
    <w:tmpl w:val="6DD8610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31F25DF5"/>
    <w:multiLevelType w:val="hybridMultilevel"/>
    <w:tmpl w:val="E362B568"/>
    <w:lvl w:ilvl="0" w:tplc="B338DF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27F6E90"/>
    <w:multiLevelType w:val="hybridMultilevel"/>
    <w:tmpl w:val="DF18191E"/>
    <w:lvl w:ilvl="0" w:tplc="0409000F">
      <w:start w:val="1"/>
      <w:numFmt w:val="decimal"/>
      <w:lvlText w:val="%1."/>
      <w:lvlJc w:val="left"/>
      <w:pPr>
        <w:ind w:left="1778" w:hanging="360"/>
      </w:pPr>
      <w:rPr>
        <w:rFonts w:cs="Times New Roman"/>
      </w:rPr>
    </w:lvl>
    <w:lvl w:ilvl="1" w:tplc="04090019" w:tentative="1">
      <w:start w:val="1"/>
      <w:numFmt w:val="lowerLetter"/>
      <w:lvlText w:val="%2."/>
      <w:lvlJc w:val="left"/>
      <w:pPr>
        <w:ind w:left="2498" w:hanging="360"/>
      </w:pPr>
      <w:rPr>
        <w:rFonts w:cs="Times New Roman"/>
      </w:rPr>
    </w:lvl>
    <w:lvl w:ilvl="2" w:tplc="0409001B" w:tentative="1">
      <w:start w:val="1"/>
      <w:numFmt w:val="lowerRoman"/>
      <w:lvlText w:val="%3."/>
      <w:lvlJc w:val="right"/>
      <w:pPr>
        <w:ind w:left="3218" w:hanging="180"/>
      </w:pPr>
      <w:rPr>
        <w:rFonts w:cs="Times New Roman"/>
      </w:rPr>
    </w:lvl>
    <w:lvl w:ilvl="3" w:tplc="0409000F" w:tentative="1">
      <w:start w:val="1"/>
      <w:numFmt w:val="decimal"/>
      <w:lvlText w:val="%4."/>
      <w:lvlJc w:val="left"/>
      <w:pPr>
        <w:ind w:left="3938" w:hanging="360"/>
      </w:pPr>
      <w:rPr>
        <w:rFonts w:cs="Times New Roman"/>
      </w:rPr>
    </w:lvl>
    <w:lvl w:ilvl="4" w:tplc="04090019" w:tentative="1">
      <w:start w:val="1"/>
      <w:numFmt w:val="lowerLetter"/>
      <w:lvlText w:val="%5."/>
      <w:lvlJc w:val="left"/>
      <w:pPr>
        <w:ind w:left="4658" w:hanging="360"/>
      </w:pPr>
      <w:rPr>
        <w:rFonts w:cs="Times New Roman"/>
      </w:rPr>
    </w:lvl>
    <w:lvl w:ilvl="5" w:tplc="0409001B" w:tentative="1">
      <w:start w:val="1"/>
      <w:numFmt w:val="lowerRoman"/>
      <w:lvlText w:val="%6."/>
      <w:lvlJc w:val="right"/>
      <w:pPr>
        <w:ind w:left="5378" w:hanging="180"/>
      </w:pPr>
      <w:rPr>
        <w:rFonts w:cs="Times New Roman"/>
      </w:rPr>
    </w:lvl>
    <w:lvl w:ilvl="6" w:tplc="0409000F" w:tentative="1">
      <w:start w:val="1"/>
      <w:numFmt w:val="decimal"/>
      <w:lvlText w:val="%7."/>
      <w:lvlJc w:val="left"/>
      <w:pPr>
        <w:ind w:left="6098" w:hanging="360"/>
      </w:pPr>
      <w:rPr>
        <w:rFonts w:cs="Times New Roman"/>
      </w:rPr>
    </w:lvl>
    <w:lvl w:ilvl="7" w:tplc="04090019" w:tentative="1">
      <w:start w:val="1"/>
      <w:numFmt w:val="lowerLetter"/>
      <w:lvlText w:val="%8."/>
      <w:lvlJc w:val="left"/>
      <w:pPr>
        <w:ind w:left="6818" w:hanging="360"/>
      </w:pPr>
      <w:rPr>
        <w:rFonts w:cs="Times New Roman"/>
      </w:rPr>
    </w:lvl>
    <w:lvl w:ilvl="8" w:tplc="0409001B" w:tentative="1">
      <w:start w:val="1"/>
      <w:numFmt w:val="lowerRoman"/>
      <w:lvlText w:val="%9."/>
      <w:lvlJc w:val="right"/>
      <w:pPr>
        <w:ind w:left="7538" w:hanging="180"/>
      </w:pPr>
      <w:rPr>
        <w:rFonts w:cs="Times New Roman"/>
      </w:rPr>
    </w:lvl>
  </w:abstractNum>
  <w:abstractNum w:abstractNumId="34">
    <w:nsid w:val="33D06807"/>
    <w:multiLevelType w:val="hybridMultilevel"/>
    <w:tmpl w:val="A238E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6A47B22"/>
    <w:multiLevelType w:val="hybridMultilevel"/>
    <w:tmpl w:val="4BC2A2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6">
    <w:nsid w:val="37E216EF"/>
    <w:multiLevelType w:val="hybridMultilevel"/>
    <w:tmpl w:val="0F78D39C"/>
    <w:lvl w:ilvl="0" w:tplc="6BB463F4">
      <w:numFmt w:val="bullet"/>
      <w:lvlText w:val="-"/>
      <w:lvlJc w:val="left"/>
      <w:pPr>
        <w:tabs>
          <w:tab w:val="num" w:pos="1635"/>
        </w:tabs>
        <w:ind w:left="1635" w:hanging="91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38001FD5"/>
    <w:multiLevelType w:val="hybridMultilevel"/>
    <w:tmpl w:val="C22CB0A8"/>
    <w:lvl w:ilvl="0" w:tplc="BD364F44">
      <w:start w:val="1"/>
      <w:numFmt w:val="bullet"/>
      <w:lvlText w:val="-"/>
      <w:lvlJc w:val="left"/>
      <w:pPr>
        <w:tabs>
          <w:tab w:val="num" w:pos="720"/>
        </w:tabs>
        <w:ind w:left="720" w:hanging="360"/>
      </w:pPr>
      <w:rPr>
        <w:rFonts w:ascii="Times New Roman" w:hAnsi="Times New Roman" w:cs="Times New Roman" w:hint="default"/>
      </w:rPr>
    </w:lvl>
    <w:lvl w:ilvl="1" w:tplc="4480332E">
      <w:start w:val="1"/>
      <w:numFmt w:val="bullet"/>
      <w:lvlText w:val="-"/>
      <w:lvlJc w:val="left"/>
      <w:pPr>
        <w:tabs>
          <w:tab w:val="num" w:pos="1440"/>
        </w:tabs>
        <w:ind w:left="1440" w:hanging="360"/>
      </w:pPr>
      <w:rPr>
        <w:rFonts w:ascii="Times New Roman" w:hAnsi="Times New Roman" w:cs="Times New Roman" w:hint="default"/>
      </w:rPr>
    </w:lvl>
    <w:lvl w:ilvl="2" w:tplc="D78CBAA6">
      <w:start w:val="1"/>
      <w:numFmt w:val="bullet"/>
      <w:lvlText w:val="-"/>
      <w:lvlJc w:val="left"/>
      <w:pPr>
        <w:tabs>
          <w:tab w:val="num" w:pos="2160"/>
        </w:tabs>
        <w:ind w:left="2160" w:hanging="360"/>
      </w:pPr>
      <w:rPr>
        <w:rFonts w:ascii="Times New Roman" w:hAnsi="Times New Roman" w:cs="Times New Roman" w:hint="default"/>
      </w:rPr>
    </w:lvl>
    <w:lvl w:ilvl="3" w:tplc="2CE6C4F0">
      <w:start w:val="1"/>
      <w:numFmt w:val="bullet"/>
      <w:lvlText w:val="-"/>
      <w:lvlJc w:val="left"/>
      <w:pPr>
        <w:tabs>
          <w:tab w:val="num" w:pos="2880"/>
        </w:tabs>
        <w:ind w:left="2880" w:hanging="360"/>
      </w:pPr>
      <w:rPr>
        <w:rFonts w:ascii="Times New Roman" w:hAnsi="Times New Roman" w:cs="Times New Roman" w:hint="default"/>
      </w:rPr>
    </w:lvl>
    <w:lvl w:ilvl="4" w:tplc="DB9C7720">
      <w:start w:val="1"/>
      <w:numFmt w:val="bullet"/>
      <w:lvlText w:val="-"/>
      <w:lvlJc w:val="left"/>
      <w:pPr>
        <w:tabs>
          <w:tab w:val="num" w:pos="3600"/>
        </w:tabs>
        <w:ind w:left="3600" w:hanging="360"/>
      </w:pPr>
      <w:rPr>
        <w:rFonts w:ascii="Times New Roman" w:hAnsi="Times New Roman" w:cs="Times New Roman" w:hint="default"/>
      </w:rPr>
    </w:lvl>
    <w:lvl w:ilvl="5" w:tplc="A6221576">
      <w:start w:val="1"/>
      <w:numFmt w:val="bullet"/>
      <w:lvlText w:val="-"/>
      <w:lvlJc w:val="left"/>
      <w:pPr>
        <w:tabs>
          <w:tab w:val="num" w:pos="4320"/>
        </w:tabs>
        <w:ind w:left="4320" w:hanging="360"/>
      </w:pPr>
      <w:rPr>
        <w:rFonts w:ascii="Times New Roman" w:hAnsi="Times New Roman" w:cs="Times New Roman" w:hint="default"/>
      </w:rPr>
    </w:lvl>
    <w:lvl w:ilvl="6" w:tplc="D396E1B2">
      <w:start w:val="1"/>
      <w:numFmt w:val="bullet"/>
      <w:lvlText w:val="-"/>
      <w:lvlJc w:val="left"/>
      <w:pPr>
        <w:tabs>
          <w:tab w:val="num" w:pos="5040"/>
        </w:tabs>
        <w:ind w:left="5040" w:hanging="360"/>
      </w:pPr>
      <w:rPr>
        <w:rFonts w:ascii="Times New Roman" w:hAnsi="Times New Roman" w:cs="Times New Roman" w:hint="default"/>
      </w:rPr>
    </w:lvl>
    <w:lvl w:ilvl="7" w:tplc="2574477A">
      <w:start w:val="1"/>
      <w:numFmt w:val="bullet"/>
      <w:lvlText w:val="-"/>
      <w:lvlJc w:val="left"/>
      <w:pPr>
        <w:tabs>
          <w:tab w:val="num" w:pos="5760"/>
        </w:tabs>
        <w:ind w:left="5760" w:hanging="360"/>
      </w:pPr>
      <w:rPr>
        <w:rFonts w:ascii="Times New Roman" w:hAnsi="Times New Roman" w:cs="Times New Roman" w:hint="default"/>
      </w:rPr>
    </w:lvl>
    <w:lvl w:ilvl="8" w:tplc="8184407E">
      <w:start w:val="1"/>
      <w:numFmt w:val="bullet"/>
      <w:lvlText w:val="-"/>
      <w:lvlJc w:val="left"/>
      <w:pPr>
        <w:tabs>
          <w:tab w:val="num" w:pos="6480"/>
        </w:tabs>
        <w:ind w:left="6480" w:hanging="360"/>
      </w:pPr>
      <w:rPr>
        <w:rFonts w:ascii="Times New Roman" w:hAnsi="Times New Roman" w:cs="Times New Roman" w:hint="default"/>
      </w:rPr>
    </w:lvl>
  </w:abstractNum>
  <w:abstractNum w:abstractNumId="38">
    <w:nsid w:val="38E02E4E"/>
    <w:multiLevelType w:val="hybridMultilevel"/>
    <w:tmpl w:val="3F586DDA"/>
    <w:lvl w:ilvl="0" w:tplc="8C367E0C">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3A631BC9"/>
    <w:multiLevelType w:val="hybridMultilevel"/>
    <w:tmpl w:val="2836EC56"/>
    <w:lvl w:ilvl="0" w:tplc="8C367E0C">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4231038D"/>
    <w:multiLevelType w:val="multilevel"/>
    <w:tmpl w:val="DB38A97E"/>
    <w:lvl w:ilvl="0">
      <w:start w:val="1"/>
      <w:numFmt w:val="bullet"/>
      <w:pStyle w:val="bul1"/>
      <w:lvlText w:val=""/>
      <w:lvlJc w:val="left"/>
      <w:pPr>
        <w:tabs>
          <w:tab w:val="num" w:pos="680"/>
        </w:tabs>
        <w:ind w:left="680" w:hanging="396"/>
      </w:pPr>
      <w:rPr>
        <w:rFonts w:ascii="Symbol" w:hAnsi="Symbol" w:hint="default"/>
      </w:rPr>
    </w:lvl>
    <w:lvl w:ilvl="1">
      <w:start w:val="1"/>
      <w:numFmt w:val="bullet"/>
      <w:pStyle w:val="bul1"/>
      <w:lvlText w:val="-"/>
      <w:lvlJc w:val="left"/>
      <w:pPr>
        <w:tabs>
          <w:tab w:val="num" w:pos="1440"/>
        </w:tabs>
        <w:ind w:left="1421" w:hanging="341"/>
      </w:pPr>
      <w:rPr>
        <w:rFonts w:hint="default"/>
        <w:b w:val="0"/>
        <w:i w:val="0"/>
        <w:sz w:val="19"/>
      </w:rPr>
    </w:lvl>
    <w:lvl w:ilvl="2">
      <w:start w:val="1"/>
      <w:numFmt w:val="bullet"/>
      <w:lvlText w:val=""/>
      <w:lvlJc w:val="left"/>
      <w:pPr>
        <w:tabs>
          <w:tab w:val="num" w:pos="2160"/>
        </w:tabs>
        <w:ind w:left="2027" w:hanging="227"/>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47B9522E"/>
    <w:multiLevelType w:val="hybridMultilevel"/>
    <w:tmpl w:val="CFE043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9A04F14"/>
    <w:multiLevelType w:val="hybridMultilevel"/>
    <w:tmpl w:val="FD86B8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49EA5EE8"/>
    <w:multiLevelType w:val="hybridMultilevel"/>
    <w:tmpl w:val="1DA4611A"/>
    <w:lvl w:ilvl="0" w:tplc="742AF184">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4">
    <w:nsid w:val="534F3DB4"/>
    <w:multiLevelType w:val="hybridMultilevel"/>
    <w:tmpl w:val="C232AB5A"/>
    <w:lvl w:ilvl="0" w:tplc="3F16A8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5055D82"/>
    <w:multiLevelType w:val="hybridMultilevel"/>
    <w:tmpl w:val="3294DE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554F6CBB"/>
    <w:multiLevelType w:val="hybridMultilevel"/>
    <w:tmpl w:val="EA4A953C"/>
    <w:lvl w:ilvl="0" w:tplc="04090017">
      <w:start w:val="1"/>
      <w:numFmt w:val="lowerLetter"/>
      <w:lvlText w:val="%1)"/>
      <w:lvlJc w:val="left"/>
      <w:pPr>
        <w:tabs>
          <w:tab w:val="num" w:pos="720"/>
        </w:tabs>
        <w:ind w:left="720" w:hanging="360"/>
      </w:pPr>
      <w:rPr>
        <w:rFonts w:hint="default"/>
      </w:rPr>
    </w:lvl>
    <w:lvl w:ilvl="1" w:tplc="FC446802">
      <w:start w:val="8"/>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59F0FC0"/>
    <w:multiLevelType w:val="multilevel"/>
    <w:tmpl w:val="99ECA264"/>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8">
    <w:nsid w:val="567C2D07"/>
    <w:multiLevelType w:val="hybridMultilevel"/>
    <w:tmpl w:val="921C9F40"/>
    <w:lvl w:ilvl="0" w:tplc="8C367E0C">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5A58397C"/>
    <w:multiLevelType w:val="hybridMultilevel"/>
    <w:tmpl w:val="C306335C"/>
    <w:name w:val="WW8Num31022"/>
    <w:lvl w:ilvl="0" w:tplc="E12A94B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5AF94A7A"/>
    <w:multiLevelType w:val="hybridMultilevel"/>
    <w:tmpl w:val="CEA676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1">
    <w:nsid w:val="5EC503DA"/>
    <w:multiLevelType w:val="hybridMultilevel"/>
    <w:tmpl w:val="A832287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5EEB3A98"/>
    <w:multiLevelType w:val="multilevel"/>
    <w:tmpl w:val="0418001F"/>
    <w:styleLink w:val="111111"/>
    <w:lvl w:ilvl="0">
      <w:start w:val="3"/>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609217A7"/>
    <w:multiLevelType w:val="hybridMultilevel"/>
    <w:tmpl w:val="0E3C7724"/>
    <w:lvl w:ilvl="0" w:tplc="A7C8423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22F7F3F"/>
    <w:multiLevelType w:val="hybridMultilevel"/>
    <w:tmpl w:val="981A8368"/>
    <w:lvl w:ilvl="0" w:tplc="839A50EA">
      <w:start w:val="5"/>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33E7C9F"/>
    <w:multiLevelType w:val="hybridMultilevel"/>
    <w:tmpl w:val="E4367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4F138AC"/>
    <w:multiLevelType w:val="hybridMultilevel"/>
    <w:tmpl w:val="A3BC134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6598377D"/>
    <w:multiLevelType w:val="hybridMultilevel"/>
    <w:tmpl w:val="C02CCF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CA37785"/>
    <w:multiLevelType w:val="hybridMultilevel"/>
    <w:tmpl w:val="0E5A15E2"/>
    <w:lvl w:ilvl="0" w:tplc="109A3D2A">
      <w:start w:val="1"/>
      <w:numFmt w:val="lowerLetter"/>
      <w:lvlText w:val="%1)"/>
      <w:lvlJc w:val="left"/>
      <w:pPr>
        <w:tabs>
          <w:tab w:val="num" w:pos="765"/>
        </w:tabs>
        <w:ind w:left="765" w:hanging="405"/>
      </w:pPr>
      <w:rPr>
        <w:rFonts w:ascii="Arial" w:eastAsia="Times New Roman" w:hAnsi="Arial" w:cs="Arial" w:hint="default"/>
      </w:rPr>
    </w:lvl>
    <w:lvl w:ilvl="1" w:tplc="076ABC26">
      <w:start w:val="1"/>
      <w:numFmt w:val="lowerLetter"/>
      <w:lvlText w:val="%2)"/>
      <w:lvlJc w:val="left"/>
      <w:pPr>
        <w:tabs>
          <w:tab w:val="num" w:pos="1485"/>
        </w:tabs>
        <w:ind w:left="1485" w:hanging="405"/>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6D343A98"/>
    <w:multiLevelType w:val="hybridMultilevel"/>
    <w:tmpl w:val="FD72AE20"/>
    <w:lvl w:ilvl="0" w:tplc="72721C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6EBB5900"/>
    <w:multiLevelType w:val="hybridMultilevel"/>
    <w:tmpl w:val="194CBE20"/>
    <w:lvl w:ilvl="0" w:tplc="4D60F074">
      <w:start w:val="1"/>
      <w:numFmt w:val="upperLetter"/>
      <w:lvlText w:val="%1."/>
      <w:lvlJc w:val="left"/>
      <w:pPr>
        <w:ind w:left="360" w:hanging="360"/>
      </w:pPr>
      <w:rPr>
        <w:rFonts w:hint="default"/>
        <w:b/>
        <w:i w:val="0"/>
        <w:sz w:val="36"/>
        <w:szCs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6FB666BD"/>
    <w:multiLevelType w:val="hybridMultilevel"/>
    <w:tmpl w:val="6B984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nsid w:val="714B0DB9"/>
    <w:multiLevelType w:val="hybridMultilevel"/>
    <w:tmpl w:val="CB74DD1E"/>
    <w:lvl w:ilvl="0" w:tplc="58BECFE2">
      <w:start w:val="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7472098C"/>
    <w:multiLevelType w:val="hybridMultilevel"/>
    <w:tmpl w:val="D1400AD0"/>
    <w:lvl w:ilvl="0" w:tplc="C61CCC8E">
      <w:start w:val="1"/>
      <w:numFmt w:val="decimal"/>
      <w:pStyle w:val="Paragraf"/>
      <w:lvlText w:val="5.2.%1."/>
      <w:lvlJc w:val="right"/>
      <w:pPr>
        <w:tabs>
          <w:tab w:val="num" w:pos="2160"/>
        </w:tabs>
        <w:ind w:left="2160" w:hanging="18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76031F66"/>
    <w:multiLevelType w:val="hybridMultilevel"/>
    <w:tmpl w:val="8D9E8058"/>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5">
    <w:nsid w:val="760A3946"/>
    <w:multiLevelType w:val="hybridMultilevel"/>
    <w:tmpl w:val="D19CE796"/>
    <w:lvl w:ilvl="0" w:tplc="04090001">
      <w:start w:val="1"/>
      <w:numFmt w:val="bullet"/>
      <w:lvlText w:val=""/>
      <w:lvlJc w:val="left"/>
      <w:pPr>
        <w:tabs>
          <w:tab w:val="num" w:pos="1840"/>
        </w:tabs>
        <w:ind w:left="1840" w:hanging="360"/>
      </w:pPr>
      <w:rPr>
        <w:rFonts w:ascii="Symbol" w:hAnsi="Symbol" w:hint="default"/>
      </w:rPr>
    </w:lvl>
    <w:lvl w:ilvl="1" w:tplc="04090003" w:tentative="1">
      <w:start w:val="1"/>
      <w:numFmt w:val="bullet"/>
      <w:lvlText w:val="o"/>
      <w:lvlJc w:val="left"/>
      <w:pPr>
        <w:tabs>
          <w:tab w:val="num" w:pos="2560"/>
        </w:tabs>
        <w:ind w:left="2560" w:hanging="360"/>
      </w:pPr>
      <w:rPr>
        <w:rFonts w:ascii="Courier New" w:hAnsi="Courier New" w:cs="Courier New" w:hint="default"/>
      </w:rPr>
    </w:lvl>
    <w:lvl w:ilvl="2" w:tplc="04090005" w:tentative="1">
      <w:start w:val="1"/>
      <w:numFmt w:val="bullet"/>
      <w:lvlText w:val=""/>
      <w:lvlJc w:val="left"/>
      <w:pPr>
        <w:tabs>
          <w:tab w:val="num" w:pos="3280"/>
        </w:tabs>
        <w:ind w:left="3280" w:hanging="360"/>
      </w:pPr>
      <w:rPr>
        <w:rFonts w:ascii="Wingdings" w:hAnsi="Wingdings" w:hint="default"/>
      </w:rPr>
    </w:lvl>
    <w:lvl w:ilvl="3" w:tplc="04090001" w:tentative="1">
      <w:start w:val="1"/>
      <w:numFmt w:val="bullet"/>
      <w:lvlText w:val=""/>
      <w:lvlJc w:val="left"/>
      <w:pPr>
        <w:tabs>
          <w:tab w:val="num" w:pos="4000"/>
        </w:tabs>
        <w:ind w:left="4000" w:hanging="360"/>
      </w:pPr>
      <w:rPr>
        <w:rFonts w:ascii="Symbol" w:hAnsi="Symbol" w:hint="default"/>
      </w:rPr>
    </w:lvl>
    <w:lvl w:ilvl="4" w:tplc="04090003" w:tentative="1">
      <w:start w:val="1"/>
      <w:numFmt w:val="bullet"/>
      <w:lvlText w:val="o"/>
      <w:lvlJc w:val="left"/>
      <w:pPr>
        <w:tabs>
          <w:tab w:val="num" w:pos="4720"/>
        </w:tabs>
        <w:ind w:left="4720" w:hanging="360"/>
      </w:pPr>
      <w:rPr>
        <w:rFonts w:ascii="Courier New" w:hAnsi="Courier New" w:cs="Courier New" w:hint="default"/>
      </w:rPr>
    </w:lvl>
    <w:lvl w:ilvl="5" w:tplc="04090005" w:tentative="1">
      <w:start w:val="1"/>
      <w:numFmt w:val="bullet"/>
      <w:lvlText w:val=""/>
      <w:lvlJc w:val="left"/>
      <w:pPr>
        <w:tabs>
          <w:tab w:val="num" w:pos="5440"/>
        </w:tabs>
        <w:ind w:left="5440" w:hanging="360"/>
      </w:pPr>
      <w:rPr>
        <w:rFonts w:ascii="Wingdings" w:hAnsi="Wingdings" w:hint="default"/>
      </w:rPr>
    </w:lvl>
    <w:lvl w:ilvl="6" w:tplc="04090001" w:tentative="1">
      <w:start w:val="1"/>
      <w:numFmt w:val="bullet"/>
      <w:lvlText w:val=""/>
      <w:lvlJc w:val="left"/>
      <w:pPr>
        <w:tabs>
          <w:tab w:val="num" w:pos="6160"/>
        </w:tabs>
        <w:ind w:left="6160" w:hanging="360"/>
      </w:pPr>
      <w:rPr>
        <w:rFonts w:ascii="Symbol" w:hAnsi="Symbol" w:hint="default"/>
      </w:rPr>
    </w:lvl>
    <w:lvl w:ilvl="7" w:tplc="04090003" w:tentative="1">
      <w:start w:val="1"/>
      <w:numFmt w:val="bullet"/>
      <w:lvlText w:val="o"/>
      <w:lvlJc w:val="left"/>
      <w:pPr>
        <w:tabs>
          <w:tab w:val="num" w:pos="6880"/>
        </w:tabs>
        <w:ind w:left="6880" w:hanging="360"/>
      </w:pPr>
      <w:rPr>
        <w:rFonts w:ascii="Courier New" w:hAnsi="Courier New" w:cs="Courier New" w:hint="default"/>
      </w:rPr>
    </w:lvl>
    <w:lvl w:ilvl="8" w:tplc="04090005" w:tentative="1">
      <w:start w:val="1"/>
      <w:numFmt w:val="bullet"/>
      <w:lvlText w:val=""/>
      <w:lvlJc w:val="left"/>
      <w:pPr>
        <w:tabs>
          <w:tab w:val="num" w:pos="7600"/>
        </w:tabs>
        <w:ind w:left="7600" w:hanging="360"/>
      </w:pPr>
      <w:rPr>
        <w:rFonts w:ascii="Wingdings" w:hAnsi="Wingdings" w:hint="default"/>
      </w:rPr>
    </w:lvl>
  </w:abstractNum>
  <w:abstractNum w:abstractNumId="66">
    <w:nsid w:val="7A3A457C"/>
    <w:multiLevelType w:val="hybridMultilevel"/>
    <w:tmpl w:val="3B84B566"/>
    <w:lvl w:ilvl="0" w:tplc="D4C8A9B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BB475FD"/>
    <w:multiLevelType w:val="multilevel"/>
    <w:tmpl w:val="6D4A3084"/>
    <w:styleLink w:val="Listacurent1"/>
    <w:lvl w:ilvl="0">
      <w:start w:val="1"/>
      <w:numFmt w:val="decimal"/>
      <w:lvlText w:val="3.%1."/>
      <w:lvlJc w:val="left"/>
      <w:pPr>
        <w:tabs>
          <w:tab w:val="num" w:pos="720"/>
        </w:tabs>
        <w:ind w:left="720" w:firstLine="0"/>
      </w:pPr>
      <w:rPr>
        <w:rFonts w:hint="default"/>
        <w:b/>
        <w:i w:val="0"/>
        <w:caps w:val="0"/>
        <w:strike w:val="0"/>
        <w:dstrike w:val="0"/>
        <w:vanish w:val="0"/>
        <w:color w:val="0033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3.3.%2."/>
      <w:lvlJc w:val="right"/>
      <w:pPr>
        <w:tabs>
          <w:tab w:val="num" w:pos="1260"/>
        </w:tabs>
        <w:ind w:left="1260" w:hanging="18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nsid w:val="7DFD38B6"/>
    <w:multiLevelType w:val="hybridMultilevel"/>
    <w:tmpl w:val="0BD8E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FC466B7"/>
    <w:multiLevelType w:val="hybridMultilevel"/>
    <w:tmpl w:val="8D3CBC60"/>
    <w:lvl w:ilvl="0" w:tplc="30F692E0">
      <w:start w:val="1"/>
      <w:numFmt w:val="lowerLetter"/>
      <w:lvlText w:val="%1)"/>
      <w:lvlJc w:val="left"/>
      <w:pPr>
        <w:tabs>
          <w:tab w:val="num" w:pos="720"/>
        </w:tabs>
        <w:ind w:left="720" w:hanging="360"/>
      </w:pPr>
      <w:rPr>
        <w:rFonts w:hint="default"/>
        <w:b w:val="0"/>
      </w:rPr>
    </w:lvl>
    <w:lvl w:ilvl="1" w:tplc="0D7458FA" w:tentative="1">
      <w:start w:val="1"/>
      <w:numFmt w:val="lowerLetter"/>
      <w:lvlText w:val="%2."/>
      <w:lvlJc w:val="left"/>
      <w:pPr>
        <w:tabs>
          <w:tab w:val="num" w:pos="1440"/>
        </w:tabs>
        <w:ind w:left="1440" w:hanging="360"/>
      </w:pPr>
    </w:lvl>
    <w:lvl w:ilvl="2" w:tplc="F922220C" w:tentative="1">
      <w:start w:val="1"/>
      <w:numFmt w:val="lowerRoman"/>
      <w:lvlText w:val="%3."/>
      <w:lvlJc w:val="right"/>
      <w:pPr>
        <w:tabs>
          <w:tab w:val="num" w:pos="2160"/>
        </w:tabs>
        <w:ind w:left="2160" w:hanging="180"/>
      </w:pPr>
    </w:lvl>
    <w:lvl w:ilvl="3" w:tplc="9E28D6C6" w:tentative="1">
      <w:start w:val="1"/>
      <w:numFmt w:val="decimal"/>
      <w:lvlText w:val="%4."/>
      <w:lvlJc w:val="left"/>
      <w:pPr>
        <w:tabs>
          <w:tab w:val="num" w:pos="2880"/>
        </w:tabs>
        <w:ind w:left="2880" w:hanging="360"/>
      </w:pPr>
    </w:lvl>
    <w:lvl w:ilvl="4" w:tplc="E2685B76" w:tentative="1">
      <w:start w:val="1"/>
      <w:numFmt w:val="lowerLetter"/>
      <w:lvlText w:val="%5."/>
      <w:lvlJc w:val="left"/>
      <w:pPr>
        <w:tabs>
          <w:tab w:val="num" w:pos="3600"/>
        </w:tabs>
        <w:ind w:left="3600" w:hanging="360"/>
      </w:pPr>
    </w:lvl>
    <w:lvl w:ilvl="5" w:tplc="4D1A6B1E" w:tentative="1">
      <w:start w:val="1"/>
      <w:numFmt w:val="lowerRoman"/>
      <w:lvlText w:val="%6."/>
      <w:lvlJc w:val="right"/>
      <w:pPr>
        <w:tabs>
          <w:tab w:val="num" w:pos="4320"/>
        </w:tabs>
        <w:ind w:left="4320" w:hanging="180"/>
      </w:pPr>
    </w:lvl>
    <w:lvl w:ilvl="6" w:tplc="E362A56C" w:tentative="1">
      <w:start w:val="1"/>
      <w:numFmt w:val="decimal"/>
      <w:lvlText w:val="%7."/>
      <w:lvlJc w:val="left"/>
      <w:pPr>
        <w:tabs>
          <w:tab w:val="num" w:pos="5040"/>
        </w:tabs>
        <w:ind w:left="5040" w:hanging="360"/>
      </w:pPr>
    </w:lvl>
    <w:lvl w:ilvl="7" w:tplc="ADAE58B6" w:tentative="1">
      <w:start w:val="1"/>
      <w:numFmt w:val="lowerLetter"/>
      <w:lvlText w:val="%8."/>
      <w:lvlJc w:val="left"/>
      <w:pPr>
        <w:tabs>
          <w:tab w:val="num" w:pos="5760"/>
        </w:tabs>
        <w:ind w:left="5760" w:hanging="360"/>
      </w:pPr>
    </w:lvl>
    <w:lvl w:ilvl="8" w:tplc="D4FC6D50" w:tentative="1">
      <w:start w:val="1"/>
      <w:numFmt w:val="lowerRoman"/>
      <w:lvlText w:val="%9."/>
      <w:lvlJc w:val="right"/>
      <w:pPr>
        <w:tabs>
          <w:tab w:val="num" w:pos="6480"/>
        </w:tabs>
        <w:ind w:left="6480" w:hanging="180"/>
      </w:pPr>
    </w:lvl>
  </w:abstractNum>
  <w:abstractNum w:abstractNumId="70">
    <w:nsid w:val="7FE019A6"/>
    <w:multiLevelType w:val="hybridMultilevel"/>
    <w:tmpl w:val="3ECA285A"/>
    <w:lvl w:ilvl="0" w:tplc="EA2E699E">
      <w:start w:val="6"/>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2"/>
  </w:num>
  <w:num w:numId="2">
    <w:abstractNumId w:val="67"/>
  </w:num>
  <w:num w:numId="3">
    <w:abstractNumId w:val="20"/>
  </w:num>
  <w:num w:numId="4">
    <w:abstractNumId w:val="63"/>
  </w:num>
  <w:num w:numId="5">
    <w:abstractNumId w:val="11"/>
  </w:num>
  <w:num w:numId="6">
    <w:abstractNumId w:val="61"/>
  </w:num>
  <w:num w:numId="7">
    <w:abstractNumId w:val="21"/>
  </w:num>
  <w:num w:numId="8">
    <w:abstractNumId w:val="59"/>
  </w:num>
  <w:num w:numId="9">
    <w:abstractNumId w:val="27"/>
  </w:num>
  <w:num w:numId="10">
    <w:abstractNumId w:val="45"/>
  </w:num>
  <w:num w:numId="11">
    <w:abstractNumId w:val="8"/>
  </w:num>
  <w:num w:numId="12">
    <w:abstractNumId w:val="7"/>
  </w:num>
  <w:num w:numId="13">
    <w:abstractNumId w:val="48"/>
  </w:num>
  <w:num w:numId="14">
    <w:abstractNumId w:val="13"/>
  </w:num>
  <w:num w:numId="15">
    <w:abstractNumId w:val="39"/>
  </w:num>
  <w:num w:numId="16">
    <w:abstractNumId w:val="38"/>
  </w:num>
  <w:num w:numId="17">
    <w:abstractNumId w:val="10"/>
  </w:num>
  <w:num w:numId="18">
    <w:abstractNumId w:val="50"/>
  </w:num>
  <w:num w:numId="19">
    <w:abstractNumId w:val="35"/>
  </w:num>
  <w:num w:numId="20">
    <w:abstractNumId w:val="37"/>
  </w:num>
  <w:num w:numId="21">
    <w:abstractNumId w:val="12"/>
  </w:num>
  <w:num w:numId="22">
    <w:abstractNumId w:val="25"/>
  </w:num>
  <w:num w:numId="23">
    <w:abstractNumId w:val="16"/>
  </w:num>
  <w:num w:numId="24">
    <w:abstractNumId w:val="28"/>
  </w:num>
  <w:num w:numId="25">
    <w:abstractNumId w:val="19"/>
  </w:num>
  <w:num w:numId="26">
    <w:abstractNumId w:val="30"/>
  </w:num>
  <w:num w:numId="27">
    <w:abstractNumId w:val="47"/>
  </w:num>
  <w:num w:numId="28">
    <w:abstractNumId w:val="6"/>
  </w:num>
  <w:num w:numId="29">
    <w:abstractNumId w:val="33"/>
  </w:num>
  <w:num w:numId="30">
    <w:abstractNumId w:val="22"/>
  </w:num>
  <w:num w:numId="31">
    <w:abstractNumId w:val="56"/>
  </w:num>
  <w:num w:numId="32">
    <w:abstractNumId w:val="64"/>
  </w:num>
  <w:num w:numId="33">
    <w:abstractNumId w:val="40"/>
  </w:num>
  <w:num w:numId="34">
    <w:abstractNumId w:val="24"/>
  </w:num>
  <w:num w:numId="35">
    <w:abstractNumId w:val="69"/>
  </w:num>
  <w:num w:numId="36">
    <w:abstractNumId w:val="58"/>
  </w:num>
  <w:num w:numId="37">
    <w:abstractNumId w:val="31"/>
  </w:num>
  <w:num w:numId="38">
    <w:abstractNumId w:val="60"/>
  </w:num>
  <w:num w:numId="39">
    <w:abstractNumId w:val="18"/>
  </w:num>
  <w:num w:numId="40">
    <w:abstractNumId w:val="57"/>
  </w:num>
  <w:num w:numId="41">
    <w:abstractNumId w:val="14"/>
  </w:num>
  <w:num w:numId="42">
    <w:abstractNumId w:val="9"/>
  </w:num>
  <w:num w:numId="43">
    <w:abstractNumId w:val="2"/>
  </w:num>
  <w:num w:numId="44">
    <w:abstractNumId w:val="65"/>
  </w:num>
  <w:num w:numId="45">
    <w:abstractNumId w:val="42"/>
  </w:num>
  <w:num w:numId="46">
    <w:abstractNumId w:val="23"/>
  </w:num>
  <w:num w:numId="47">
    <w:abstractNumId w:val="66"/>
  </w:num>
  <w:num w:numId="48">
    <w:abstractNumId w:val="53"/>
  </w:num>
  <w:num w:numId="49">
    <w:abstractNumId w:val="15"/>
  </w:num>
  <w:num w:numId="50">
    <w:abstractNumId w:val="29"/>
  </w:num>
  <w:num w:numId="51">
    <w:abstractNumId w:val="17"/>
  </w:num>
  <w:num w:numId="52">
    <w:abstractNumId w:val="5"/>
  </w:num>
  <w:num w:numId="53">
    <w:abstractNumId w:val="54"/>
  </w:num>
  <w:num w:numId="54">
    <w:abstractNumId w:val="36"/>
  </w:num>
  <w:num w:numId="55">
    <w:abstractNumId w:val="34"/>
  </w:num>
  <w:num w:numId="56">
    <w:abstractNumId w:val="1"/>
  </w:num>
  <w:num w:numId="57">
    <w:abstractNumId w:val="44"/>
  </w:num>
  <w:num w:numId="58">
    <w:abstractNumId w:val="62"/>
  </w:num>
  <w:num w:numId="59">
    <w:abstractNumId w:val="70"/>
  </w:num>
  <w:num w:numId="60">
    <w:abstractNumId w:val="3"/>
  </w:num>
  <w:num w:numId="61">
    <w:abstractNumId w:val="51"/>
  </w:num>
  <w:num w:numId="62">
    <w:abstractNumId w:val="43"/>
  </w:num>
  <w:num w:numId="63">
    <w:abstractNumId w:val="4"/>
  </w:num>
  <w:num w:numId="64">
    <w:abstractNumId w:val="26"/>
  </w:num>
  <w:num w:numId="65">
    <w:abstractNumId w:val="41"/>
  </w:num>
  <w:num w:numId="66">
    <w:abstractNumId w:val="68"/>
  </w:num>
  <w:num w:numId="67">
    <w:abstractNumId w:val="55"/>
  </w:num>
  <w:num w:numId="68">
    <w:abstractNumId w:val="32"/>
  </w:num>
  <w:num w:numId="69">
    <w:abstractNumId w:val="4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01A"/>
    <w:rsid w:val="00001C91"/>
    <w:rsid w:val="00010A12"/>
    <w:rsid w:val="00011228"/>
    <w:rsid w:val="000120AA"/>
    <w:rsid w:val="00021165"/>
    <w:rsid w:val="00026D3C"/>
    <w:rsid w:val="00034AE2"/>
    <w:rsid w:val="00040997"/>
    <w:rsid w:val="000418D0"/>
    <w:rsid w:val="00045723"/>
    <w:rsid w:val="00052576"/>
    <w:rsid w:val="000530B0"/>
    <w:rsid w:val="00053789"/>
    <w:rsid w:val="00054D40"/>
    <w:rsid w:val="0006145A"/>
    <w:rsid w:val="000630AE"/>
    <w:rsid w:val="000664B1"/>
    <w:rsid w:val="0006726B"/>
    <w:rsid w:val="000711C5"/>
    <w:rsid w:val="00073CD4"/>
    <w:rsid w:val="00077B4B"/>
    <w:rsid w:val="00081FD5"/>
    <w:rsid w:val="00083517"/>
    <w:rsid w:val="00084C54"/>
    <w:rsid w:val="00084DEF"/>
    <w:rsid w:val="00095540"/>
    <w:rsid w:val="000A045A"/>
    <w:rsid w:val="000A43DC"/>
    <w:rsid w:val="000A4C56"/>
    <w:rsid w:val="000B1F92"/>
    <w:rsid w:val="000B2FE7"/>
    <w:rsid w:val="000D1171"/>
    <w:rsid w:val="000D18F1"/>
    <w:rsid w:val="000D2874"/>
    <w:rsid w:val="000D5167"/>
    <w:rsid w:val="000E20AB"/>
    <w:rsid w:val="000E37D0"/>
    <w:rsid w:val="000E6DDB"/>
    <w:rsid w:val="000F5898"/>
    <w:rsid w:val="00104C18"/>
    <w:rsid w:val="001056DA"/>
    <w:rsid w:val="00110F73"/>
    <w:rsid w:val="00112344"/>
    <w:rsid w:val="001130FB"/>
    <w:rsid w:val="001140D1"/>
    <w:rsid w:val="0011551C"/>
    <w:rsid w:val="00115E17"/>
    <w:rsid w:val="001169F6"/>
    <w:rsid w:val="001250F5"/>
    <w:rsid w:val="001254A8"/>
    <w:rsid w:val="001275CC"/>
    <w:rsid w:val="0013390F"/>
    <w:rsid w:val="00136B8C"/>
    <w:rsid w:val="00143FA1"/>
    <w:rsid w:val="00151F90"/>
    <w:rsid w:val="0015217A"/>
    <w:rsid w:val="001541C3"/>
    <w:rsid w:val="00155493"/>
    <w:rsid w:val="00156B1E"/>
    <w:rsid w:val="00157716"/>
    <w:rsid w:val="001679BA"/>
    <w:rsid w:val="00167A70"/>
    <w:rsid w:val="001728A2"/>
    <w:rsid w:val="00177382"/>
    <w:rsid w:val="00177EE5"/>
    <w:rsid w:val="0018775C"/>
    <w:rsid w:val="00190847"/>
    <w:rsid w:val="00191C4D"/>
    <w:rsid w:val="00195C09"/>
    <w:rsid w:val="0019791E"/>
    <w:rsid w:val="001A06EF"/>
    <w:rsid w:val="001A226A"/>
    <w:rsid w:val="001A2301"/>
    <w:rsid w:val="001A2FC9"/>
    <w:rsid w:val="001A7B63"/>
    <w:rsid w:val="001A7B7C"/>
    <w:rsid w:val="001B2672"/>
    <w:rsid w:val="001C50BD"/>
    <w:rsid w:val="001E1E89"/>
    <w:rsid w:val="001E3293"/>
    <w:rsid w:val="001E4705"/>
    <w:rsid w:val="001E703E"/>
    <w:rsid w:val="001F2174"/>
    <w:rsid w:val="001F6871"/>
    <w:rsid w:val="002024E7"/>
    <w:rsid w:val="002031F4"/>
    <w:rsid w:val="002052C4"/>
    <w:rsid w:val="00206B81"/>
    <w:rsid w:val="0020704C"/>
    <w:rsid w:val="002118D9"/>
    <w:rsid w:val="002123A1"/>
    <w:rsid w:val="00213AB8"/>
    <w:rsid w:val="00216769"/>
    <w:rsid w:val="00216950"/>
    <w:rsid w:val="002223BB"/>
    <w:rsid w:val="00230C1E"/>
    <w:rsid w:val="00232245"/>
    <w:rsid w:val="002422CF"/>
    <w:rsid w:val="00242E7A"/>
    <w:rsid w:val="002512C1"/>
    <w:rsid w:val="00252A79"/>
    <w:rsid w:val="00252EAA"/>
    <w:rsid w:val="00253BE1"/>
    <w:rsid w:val="002602C7"/>
    <w:rsid w:val="002763EF"/>
    <w:rsid w:val="0028749B"/>
    <w:rsid w:val="00292166"/>
    <w:rsid w:val="00292347"/>
    <w:rsid w:val="002946DA"/>
    <w:rsid w:val="002A2080"/>
    <w:rsid w:val="002A5085"/>
    <w:rsid w:val="002B774E"/>
    <w:rsid w:val="002C3B46"/>
    <w:rsid w:val="002C7A3E"/>
    <w:rsid w:val="002D6EF5"/>
    <w:rsid w:val="002E40DF"/>
    <w:rsid w:val="00300D54"/>
    <w:rsid w:val="0030163B"/>
    <w:rsid w:val="00302A84"/>
    <w:rsid w:val="003120DD"/>
    <w:rsid w:val="00314E4E"/>
    <w:rsid w:val="003227B8"/>
    <w:rsid w:val="00322D01"/>
    <w:rsid w:val="0032642C"/>
    <w:rsid w:val="0032676C"/>
    <w:rsid w:val="00330F8C"/>
    <w:rsid w:val="00331682"/>
    <w:rsid w:val="00332871"/>
    <w:rsid w:val="00350677"/>
    <w:rsid w:val="00351214"/>
    <w:rsid w:val="0035322D"/>
    <w:rsid w:val="00353AFC"/>
    <w:rsid w:val="00355403"/>
    <w:rsid w:val="00363D05"/>
    <w:rsid w:val="00367486"/>
    <w:rsid w:val="00367745"/>
    <w:rsid w:val="00367A56"/>
    <w:rsid w:val="003746C8"/>
    <w:rsid w:val="003766D7"/>
    <w:rsid w:val="00377973"/>
    <w:rsid w:val="0038047F"/>
    <w:rsid w:val="003810E2"/>
    <w:rsid w:val="00386FAD"/>
    <w:rsid w:val="00387834"/>
    <w:rsid w:val="00393455"/>
    <w:rsid w:val="003A2992"/>
    <w:rsid w:val="003A506A"/>
    <w:rsid w:val="003A5644"/>
    <w:rsid w:val="003A64F8"/>
    <w:rsid w:val="003A73EC"/>
    <w:rsid w:val="003A7CF6"/>
    <w:rsid w:val="003B26FF"/>
    <w:rsid w:val="003B6DE3"/>
    <w:rsid w:val="003C1378"/>
    <w:rsid w:val="003C2B29"/>
    <w:rsid w:val="003C4E24"/>
    <w:rsid w:val="003D5B05"/>
    <w:rsid w:val="003E4CD2"/>
    <w:rsid w:val="003E4F6A"/>
    <w:rsid w:val="003F3088"/>
    <w:rsid w:val="00406322"/>
    <w:rsid w:val="004136DB"/>
    <w:rsid w:val="00417368"/>
    <w:rsid w:val="00424F42"/>
    <w:rsid w:val="00431409"/>
    <w:rsid w:val="0043203C"/>
    <w:rsid w:val="0043244B"/>
    <w:rsid w:val="004324CE"/>
    <w:rsid w:val="004328D3"/>
    <w:rsid w:val="00434A63"/>
    <w:rsid w:val="00435E29"/>
    <w:rsid w:val="00436CB7"/>
    <w:rsid w:val="0044063C"/>
    <w:rsid w:val="004441DF"/>
    <w:rsid w:val="0044767A"/>
    <w:rsid w:val="00450485"/>
    <w:rsid w:val="00473EEC"/>
    <w:rsid w:val="00475EE0"/>
    <w:rsid w:val="0049413C"/>
    <w:rsid w:val="004A2CFD"/>
    <w:rsid w:val="004A3F2F"/>
    <w:rsid w:val="004B027C"/>
    <w:rsid w:val="004B0BAA"/>
    <w:rsid w:val="004B6AFC"/>
    <w:rsid w:val="004C312A"/>
    <w:rsid w:val="004C3F02"/>
    <w:rsid w:val="004D3C14"/>
    <w:rsid w:val="004D409E"/>
    <w:rsid w:val="004F48E9"/>
    <w:rsid w:val="004F7693"/>
    <w:rsid w:val="004F7DDF"/>
    <w:rsid w:val="0050126A"/>
    <w:rsid w:val="0050251D"/>
    <w:rsid w:val="00511A79"/>
    <w:rsid w:val="00513E56"/>
    <w:rsid w:val="00514E55"/>
    <w:rsid w:val="00516DF0"/>
    <w:rsid w:val="0051734C"/>
    <w:rsid w:val="00526FDF"/>
    <w:rsid w:val="00533C02"/>
    <w:rsid w:val="005425B5"/>
    <w:rsid w:val="00546FB6"/>
    <w:rsid w:val="00554942"/>
    <w:rsid w:val="00557BD1"/>
    <w:rsid w:val="005614BC"/>
    <w:rsid w:val="00565011"/>
    <w:rsid w:val="00567258"/>
    <w:rsid w:val="00575BF2"/>
    <w:rsid w:val="005801C0"/>
    <w:rsid w:val="00582399"/>
    <w:rsid w:val="00585274"/>
    <w:rsid w:val="00586FE2"/>
    <w:rsid w:val="00591AB9"/>
    <w:rsid w:val="005931F5"/>
    <w:rsid w:val="00596A93"/>
    <w:rsid w:val="005A17D6"/>
    <w:rsid w:val="005A17D8"/>
    <w:rsid w:val="005A2C6B"/>
    <w:rsid w:val="005A2E26"/>
    <w:rsid w:val="005B2EA5"/>
    <w:rsid w:val="005C2326"/>
    <w:rsid w:val="005C24B2"/>
    <w:rsid w:val="005C425E"/>
    <w:rsid w:val="005C4F94"/>
    <w:rsid w:val="005C58E0"/>
    <w:rsid w:val="005E2E34"/>
    <w:rsid w:val="005E3070"/>
    <w:rsid w:val="005E6C53"/>
    <w:rsid w:val="005F199D"/>
    <w:rsid w:val="005F34B8"/>
    <w:rsid w:val="00600E44"/>
    <w:rsid w:val="006048EA"/>
    <w:rsid w:val="00605F65"/>
    <w:rsid w:val="00607A62"/>
    <w:rsid w:val="00612740"/>
    <w:rsid w:val="006133FB"/>
    <w:rsid w:val="00614445"/>
    <w:rsid w:val="00614C64"/>
    <w:rsid w:val="006209E4"/>
    <w:rsid w:val="00625C4A"/>
    <w:rsid w:val="00630B41"/>
    <w:rsid w:val="006336DA"/>
    <w:rsid w:val="00640400"/>
    <w:rsid w:val="00641E8D"/>
    <w:rsid w:val="0065205E"/>
    <w:rsid w:val="00654BB2"/>
    <w:rsid w:val="00663AEE"/>
    <w:rsid w:val="00663DDF"/>
    <w:rsid w:val="00667D54"/>
    <w:rsid w:val="00671028"/>
    <w:rsid w:val="00673BC3"/>
    <w:rsid w:val="00674B63"/>
    <w:rsid w:val="006808F3"/>
    <w:rsid w:val="0068297E"/>
    <w:rsid w:val="00683E11"/>
    <w:rsid w:val="0068715D"/>
    <w:rsid w:val="00687F0E"/>
    <w:rsid w:val="006941F5"/>
    <w:rsid w:val="00695BBF"/>
    <w:rsid w:val="006A2CF6"/>
    <w:rsid w:val="006A3CE2"/>
    <w:rsid w:val="006A5C27"/>
    <w:rsid w:val="006B392C"/>
    <w:rsid w:val="006B7C04"/>
    <w:rsid w:val="006C38A8"/>
    <w:rsid w:val="006D1054"/>
    <w:rsid w:val="006D2790"/>
    <w:rsid w:val="006D54EE"/>
    <w:rsid w:val="006D7808"/>
    <w:rsid w:val="006D7854"/>
    <w:rsid w:val="006D7A39"/>
    <w:rsid w:val="006D7FF2"/>
    <w:rsid w:val="006E1751"/>
    <w:rsid w:val="006E5AC9"/>
    <w:rsid w:val="006F1503"/>
    <w:rsid w:val="006F63E7"/>
    <w:rsid w:val="00700CB7"/>
    <w:rsid w:val="007026D9"/>
    <w:rsid w:val="00712B00"/>
    <w:rsid w:val="0071364C"/>
    <w:rsid w:val="00713E58"/>
    <w:rsid w:val="00720A11"/>
    <w:rsid w:val="00723692"/>
    <w:rsid w:val="00723BC9"/>
    <w:rsid w:val="00726D1D"/>
    <w:rsid w:val="0074721E"/>
    <w:rsid w:val="00753D06"/>
    <w:rsid w:val="00755794"/>
    <w:rsid w:val="00755C4A"/>
    <w:rsid w:val="00760E18"/>
    <w:rsid w:val="007611AB"/>
    <w:rsid w:val="0076186D"/>
    <w:rsid w:val="00764523"/>
    <w:rsid w:val="00765213"/>
    <w:rsid w:val="007671FE"/>
    <w:rsid w:val="007714C3"/>
    <w:rsid w:val="00772D31"/>
    <w:rsid w:val="00772E75"/>
    <w:rsid w:val="00773D1D"/>
    <w:rsid w:val="00776E51"/>
    <w:rsid w:val="007816A7"/>
    <w:rsid w:val="00791BC4"/>
    <w:rsid w:val="00797178"/>
    <w:rsid w:val="007A14C5"/>
    <w:rsid w:val="007B7B9D"/>
    <w:rsid w:val="007B7D16"/>
    <w:rsid w:val="007C112C"/>
    <w:rsid w:val="007C13B9"/>
    <w:rsid w:val="007C2AE3"/>
    <w:rsid w:val="007C2ECE"/>
    <w:rsid w:val="007D016B"/>
    <w:rsid w:val="007E1665"/>
    <w:rsid w:val="007E2636"/>
    <w:rsid w:val="007E5EDC"/>
    <w:rsid w:val="007E6D4D"/>
    <w:rsid w:val="007F21AA"/>
    <w:rsid w:val="00801C18"/>
    <w:rsid w:val="008036F5"/>
    <w:rsid w:val="008061EE"/>
    <w:rsid w:val="00806AE9"/>
    <w:rsid w:val="00806CC2"/>
    <w:rsid w:val="00807226"/>
    <w:rsid w:val="008170CC"/>
    <w:rsid w:val="008207E2"/>
    <w:rsid w:val="00822DDC"/>
    <w:rsid w:val="0083157E"/>
    <w:rsid w:val="00831D54"/>
    <w:rsid w:val="00834009"/>
    <w:rsid w:val="008472E6"/>
    <w:rsid w:val="0085133C"/>
    <w:rsid w:val="0085135E"/>
    <w:rsid w:val="008576A1"/>
    <w:rsid w:val="00863F0D"/>
    <w:rsid w:val="00867683"/>
    <w:rsid w:val="008677F0"/>
    <w:rsid w:val="00873160"/>
    <w:rsid w:val="008737F4"/>
    <w:rsid w:val="00874FAB"/>
    <w:rsid w:val="00881ADF"/>
    <w:rsid w:val="00882B92"/>
    <w:rsid w:val="00882CF4"/>
    <w:rsid w:val="00890359"/>
    <w:rsid w:val="00893908"/>
    <w:rsid w:val="00893F7E"/>
    <w:rsid w:val="00897C52"/>
    <w:rsid w:val="008A1D25"/>
    <w:rsid w:val="008A365D"/>
    <w:rsid w:val="008B2641"/>
    <w:rsid w:val="008C5A71"/>
    <w:rsid w:val="008D0E46"/>
    <w:rsid w:val="008D1CE2"/>
    <w:rsid w:val="008D23B9"/>
    <w:rsid w:val="008D426D"/>
    <w:rsid w:val="008E2F2F"/>
    <w:rsid w:val="008E647B"/>
    <w:rsid w:val="008F0E79"/>
    <w:rsid w:val="008F3402"/>
    <w:rsid w:val="008F7E5F"/>
    <w:rsid w:val="009067AD"/>
    <w:rsid w:val="00914061"/>
    <w:rsid w:val="009156EA"/>
    <w:rsid w:val="009202BD"/>
    <w:rsid w:val="00933D5F"/>
    <w:rsid w:val="00934AE6"/>
    <w:rsid w:val="00936101"/>
    <w:rsid w:val="009379AF"/>
    <w:rsid w:val="00941F59"/>
    <w:rsid w:val="00942957"/>
    <w:rsid w:val="00943DB9"/>
    <w:rsid w:val="0094619F"/>
    <w:rsid w:val="00955F99"/>
    <w:rsid w:val="0096021C"/>
    <w:rsid w:val="00961614"/>
    <w:rsid w:val="00962A54"/>
    <w:rsid w:val="00970B92"/>
    <w:rsid w:val="00971687"/>
    <w:rsid w:val="00972338"/>
    <w:rsid w:val="00974595"/>
    <w:rsid w:val="00980254"/>
    <w:rsid w:val="00981A07"/>
    <w:rsid w:val="00982F66"/>
    <w:rsid w:val="00984A74"/>
    <w:rsid w:val="00985F7D"/>
    <w:rsid w:val="00990ACA"/>
    <w:rsid w:val="00996D49"/>
    <w:rsid w:val="00997FDF"/>
    <w:rsid w:val="009B06E4"/>
    <w:rsid w:val="009B1F06"/>
    <w:rsid w:val="009B6765"/>
    <w:rsid w:val="009C010E"/>
    <w:rsid w:val="009C5E48"/>
    <w:rsid w:val="009C7D52"/>
    <w:rsid w:val="009D22EE"/>
    <w:rsid w:val="009D4FBD"/>
    <w:rsid w:val="009D7706"/>
    <w:rsid w:val="009E47C2"/>
    <w:rsid w:val="009E4C37"/>
    <w:rsid w:val="009F3807"/>
    <w:rsid w:val="00A03526"/>
    <w:rsid w:val="00A04613"/>
    <w:rsid w:val="00A10920"/>
    <w:rsid w:val="00A15C45"/>
    <w:rsid w:val="00A32826"/>
    <w:rsid w:val="00A36679"/>
    <w:rsid w:val="00A36DE7"/>
    <w:rsid w:val="00A40E28"/>
    <w:rsid w:val="00A443A8"/>
    <w:rsid w:val="00A465F5"/>
    <w:rsid w:val="00A50206"/>
    <w:rsid w:val="00A52544"/>
    <w:rsid w:val="00A57F77"/>
    <w:rsid w:val="00A602E0"/>
    <w:rsid w:val="00A65FE3"/>
    <w:rsid w:val="00A7139B"/>
    <w:rsid w:val="00A723CC"/>
    <w:rsid w:val="00A747B3"/>
    <w:rsid w:val="00A76897"/>
    <w:rsid w:val="00A8073B"/>
    <w:rsid w:val="00A80C73"/>
    <w:rsid w:val="00A92EC7"/>
    <w:rsid w:val="00A9334C"/>
    <w:rsid w:val="00A933CD"/>
    <w:rsid w:val="00AA0B8A"/>
    <w:rsid w:val="00AA492A"/>
    <w:rsid w:val="00AA6160"/>
    <w:rsid w:val="00AA687B"/>
    <w:rsid w:val="00AA759F"/>
    <w:rsid w:val="00AB3FA5"/>
    <w:rsid w:val="00AB7195"/>
    <w:rsid w:val="00AC3E36"/>
    <w:rsid w:val="00AC6800"/>
    <w:rsid w:val="00AD11C1"/>
    <w:rsid w:val="00AD1333"/>
    <w:rsid w:val="00AD3BC1"/>
    <w:rsid w:val="00AD4B48"/>
    <w:rsid w:val="00AE02DB"/>
    <w:rsid w:val="00AE0974"/>
    <w:rsid w:val="00AE32D0"/>
    <w:rsid w:val="00AE439A"/>
    <w:rsid w:val="00AF1460"/>
    <w:rsid w:val="00AF28DD"/>
    <w:rsid w:val="00B0120E"/>
    <w:rsid w:val="00B0520C"/>
    <w:rsid w:val="00B06928"/>
    <w:rsid w:val="00B20D77"/>
    <w:rsid w:val="00B30E16"/>
    <w:rsid w:val="00B3162E"/>
    <w:rsid w:val="00B377A5"/>
    <w:rsid w:val="00B400D9"/>
    <w:rsid w:val="00B417A3"/>
    <w:rsid w:val="00B42306"/>
    <w:rsid w:val="00B4387E"/>
    <w:rsid w:val="00B47B6C"/>
    <w:rsid w:val="00B5406C"/>
    <w:rsid w:val="00B54240"/>
    <w:rsid w:val="00B55AE8"/>
    <w:rsid w:val="00B5748B"/>
    <w:rsid w:val="00B6401A"/>
    <w:rsid w:val="00B641C3"/>
    <w:rsid w:val="00B7401C"/>
    <w:rsid w:val="00B8214D"/>
    <w:rsid w:val="00B84559"/>
    <w:rsid w:val="00B877DF"/>
    <w:rsid w:val="00BA242B"/>
    <w:rsid w:val="00BA415B"/>
    <w:rsid w:val="00BA6D22"/>
    <w:rsid w:val="00BA70D0"/>
    <w:rsid w:val="00BB47D6"/>
    <w:rsid w:val="00BB709A"/>
    <w:rsid w:val="00BC21D5"/>
    <w:rsid w:val="00BC3B4E"/>
    <w:rsid w:val="00BC5BFF"/>
    <w:rsid w:val="00BC7AB3"/>
    <w:rsid w:val="00BD4E76"/>
    <w:rsid w:val="00BD74BE"/>
    <w:rsid w:val="00BE3A2A"/>
    <w:rsid w:val="00BE758F"/>
    <w:rsid w:val="00BE7DA0"/>
    <w:rsid w:val="00BF222B"/>
    <w:rsid w:val="00BF30A5"/>
    <w:rsid w:val="00BF5DD6"/>
    <w:rsid w:val="00BF5F3F"/>
    <w:rsid w:val="00BF7756"/>
    <w:rsid w:val="00C11D69"/>
    <w:rsid w:val="00C13ACD"/>
    <w:rsid w:val="00C20239"/>
    <w:rsid w:val="00C20D9E"/>
    <w:rsid w:val="00C21263"/>
    <w:rsid w:val="00C23E09"/>
    <w:rsid w:val="00C27067"/>
    <w:rsid w:val="00C27378"/>
    <w:rsid w:val="00C33CA7"/>
    <w:rsid w:val="00C34429"/>
    <w:rsid w:val="00C4082A"/>
    <w:rsid w:val="00C52EFC"/>
    <w:rsid w:val="00C627F8"/>
    <w:rsid w:val="00C6525E"/>
    <w:rsid w:val="00C70EF5"/>
    <w:rsid w:val="00C72E45"/>
    <w:rsid w:val="00C73B85"/>
    <w:rsid w:val="00C83C35"/>
    <w:rsid w:val="00C86C0A"/>
    <w:rsid w:val="00C86D5A"/>
    <w:rsid w:val="00C9083E"/>
    <w:rsid w:val="00C91B89"/>
    <w:rsid w:val="00C91C82"/>
    <w:rsid w:val="00CA4666"/>
    <w:rsid w:val="00CA50FC"/>
    <w:rsid w:val="00CA7542"/>
    <w:rsid w:val="00CB0211"/>
    <w:rsid w:val="00CB21B0"/>
    <w:rsid w:val="00CB31DF"/>
    <w:rsid w:val="00CB42CD"/>
    <w:rsid w:val="00CB5F4B"/>
    <w:rsid w:val="00CB79A3"/>
    <w:rsid w:val="00CC061E"/>
    <w:rsid w:val="00CC57E0"/>
    <w:rsid w:val="00CC79AE"/>
    <w:rsid w:val="00CD274B"/>
    <w:rsid w:val="00CD2E3A"/>
    <w:rsid w:val="00CD4473"/>
    <w:rsid w:val="00CD4876"/>
    <w:rsid w:val="00CD60F9"/>
    <w:rsid w:val="00CD76D9"/>
    <w:rsid w:val="00CD7BF7"/>
    <w:rsid w:val="00CE18FE"/>
    <w:rsid w:val="00CE317F"/>
    <w:rsid w:val="00CE47CD"/>
    <w:rsid w:val="00CE4DCD"/>
    <w:rsid w:val="00CF02C7"/>
    <w:rsid w:val="00CF2301"/>
    <w:rsid w:val="00CF39D4"/>
    <w:rsid w:val="00D05434"/>
    <w:rsid w:val="00D0559E"/>
    <w:rsid w:val="00D15D22"/>
    <w:rsid w:val="00D2503F"/>
    <w:rsid w:val="00D27370"/>
    <w:rsid w:val="00D328FB"/>
    <w:rsid w:val="00D43F49"/>
    <w:rsid w:val="00D46FEA"/>
    <w:rsid w:val="00D613EE"/>
    <w:rsid w:val="00D7408E"/>
    <w:rsid w:val="00D7435F"/>
    <w:rsid w:val="00D85EB7"/>
    <w:rsid w:val="00D94AC7"/>
    <w:rsid w:val="00DA083C"/>
    <w:rsid w:val="00DA3FFA"/>
    <w:rsid w:val="00DB2F6D"/>
    <w:rsid w:val="00DC03E9"/>
    <w:rsid w:val="00DC5129"/>
    <w:rsid w:val="00DE5A21"/>
    <w:rsid w:val="00DE5A64"/>
    <w:rsid w:val="00DE66E8"/>
    <w:rsid w:val="00DE7E65"/>
    <w:rsid w:val="00E11BF9"/>
    <w:rsid w:val="00E13B0F"/>
    <w:rsid w:val="00E144A7"/>
    <w:rsid w:val="00E15B62"/>
    <w:rsid w:val="00E15D8A"/>
    <w:rsid w:val="00E2185C"/>
    <w:rsid w:val="00E24653"/>
    <w:rsid w:val="00E24F25"/>
    <w:rsid w:val="00E254D4"/>
    <w:rsid w:val="00E2584D"/>
    <w:rsid w:val="00E434C8"/>
    <w:rsid w:val="00E51406"/>
    <w:rsid w:val="00E57967"/>
    <w:rsid w:val="00E57EC7"/>
    <w:rsid w:val="00E65C5C"/>
    <w:rsid w:val="00E74977"/>
    <w:rsid w:val="00E75472"/>
    <w:rsid w:val="00E82F39"/>
    <w:rsid w:val="00E84AB1"/>
    <w:rsid w:val="00E864EC"/>
    <w:rsid w:val="00E9050C"/>
    <w:rsid w:val="00E9059B"/>
    <w:rsid w:val="00E953F5"/>
    <w:rsid w:val="00EB62FE"/>
    <w:rsid w:val="00EC2AB1"/>
    <w:rsid w:val="00ED208D"/>
    <w:rsid w:val="00ED40C2"/>
    <w:rsid w:val="00ED4137"/>
    <w:rsid w:val="00ED58FA"/>
    <w:rsid w:val="00ED73E7"/>
    <w:rsid w:val="00EE1E49"/>
    <w:rsid w:val="00EE2F4E"/>
    <w:rsid w:val="00EE4D7D"/>
    <w:rsid w:val="00EF6E2A"/>
    <w:rsid w:val="00EF723B"/>
    <w:rsid w:val="00EF7C0A"/>
    <w:rsid w:val="00F00C80"/>
    <w:rsid w:val="00F072B1"/>
    <w:rsid w:val="00F07A67"/>
    <w:rsid w:val="00F16676"/>
    <w:rsid w:val="00F17135"/>
    <w:rsid w:val="00F20566"/>
    <w:rsid w:val="00F30412"/>
    <w:rsid w:val="00F46909"/>
    <w:rsid w:val="00F50BCC"/>
    <w:rsid w:val="00F559EE"/>
    <w:rsid w:val="00F7015C"/>
    <w:rsid w:val="00F7434A"/>
    <w:rsid w:val="00F8015F"/>
    <w:rsid w:val="00F843BB"/>
    <w:rsid w:val="00F92C0A"/>
    <w:rsid w:val="00F93560"/>
    <w:rsid w:val="00F93EB4"/>
    <w:rsid w:val="00F957CC"/>
    <w:rsid w:val="00FA2B0A"/>
    <w:rsid w:val="00FA2F89"/>
    <w:rsid w:val="00FA3052"/>
    <w:rsid w:val="00FB2D9E"/>
    <w:rsid w:val="00FB4ECA"/>
    <w:rsid w:val="00FB6C55"/>
    <w:rsid w:val="00FC1B28"/>
    <w:rsid w:val="00FC335D"/>
    <w:rsid w:val="00FC3EF9"/>
    <w:rsid w:val="00FD0952"/>
    <w:rsid w:val="00FD443D"/>
    <w:rsid w:val="00FD50F4"/>
    <w:rsid w:val="00FE3935"/>
    <w:rsid w:val="00FF04F9"/>
    <w:rsid w:val="00FF29E6"/>
    <w:rsid w:val="00FF5C96"/>
    <w:rsid w:val="00FF6068"/>
    <w:rsid w:val="00FF63C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lock Text" w:uiPriority="99"/>
    <w:lsdException w:name="Followed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401A"/>
    <w:rPr>
      <w:rFonts w:eastAsia="SimSun"/>
      <w:sz w:val="24"/>
      <w:szCs w:val="24"/>
      <w:lang w:val="en-GB" w:eastAsia="en-US"/>
    </w:rPr>
  </w:style>
  <w:style w:type="paragraph" w:styleId="Titlu1">
    <w:name w:val="heading 1"/>
    <w:basedOn w:val="Normal"/>
    <w:next w:val="Normal"/>
    <w:link w:val="Titlu1Caracter"/>
    <w:qFormat/>
    <w:rsid w:val="00434A63"/>
    <w:pPr>
      <w:keepNext/>
      <w:spacing w:before="240" w:after="60"/>
      <w:outlineLvl w:val="0"/>
    </w:pPr>
    <w:rPr>
      <w:rFonts w:ascii="Arial" w:hAnsi="Arial" w:cs="Arial"/>
      <w:b/>
      <w:bCs/>
      <w:kern w:val="32"/>
      <w:sz w:val="32"/>
      <w:szCs w:val="32"/>
    </w:rPr>
  </w:style>
  <w:style w:type="paragraph" w:styleId="Titlu2">
    <w:name w:val="heading 2"/>
    <w:aliases w:val="a Titlu 2"/>
    <w:basedOn w:val="Normal"/>
    <w:next w:val="Normal"/>
    <w:link w:val="Titlu2Caracter"/>
    <w:qFormat/>
    <w:rsid w:val="00330F8C"/>
    <w:pPr>
      <w:keepNext/>
      <w:spacing w:before="240" w:after="60"/>
      <w:outlineLvl w:val="1"/>
    </w:pPr>
    <w:rPr>
      <w:rFonts w:ascii="Arial" w:eastAsia="Times New Roman" w:hAnsi="Arial" w:cs="Arial"/>
      <w:b/>
      <w:bCs/>
      <w:i/>
      <w:iCs/>
      <w:sz w:val="28"/>
      <w:szCs w:val="28"/>
      <w:lang w:val="en-US"/>
    </w:rPr>
  </w:style>
  <w:style w:type="paragraph" w:styleId="Titlu3">
    <w:name w:val="heading 3"/>
    <w:basedOn w:val="Normal"/>
    <w:next w:val="Normal"/>
    <w:link w:val="Titlu3Caracter"/>
    <w:qFormat/>
    <w:rsid w:val="00330F8C"/>
    <w:pPr>
      <w:keepNext/>
      <w:ind w:firstLine="851"/>
      <w:jc w:val="both"/>
      <w:outlineLvl w:val="2"/>
    </w:pPr>
    <w:rPr>
      <w:rFonts w:eastAsia="Times New Roman"/>
      <w:b/>
      <w:color w:val="0000FF"/>
      <w:sz w:val="28"/>
      <w:szCs w:val="20"/>
      <w:lang w:val="ro-RO"/>
    </w:rPr>
  </w:style>
  <w:style w:type="paragraph" w:styleId="Titlu4">
    <w:name w:val="heading 4"/>
    <w:basedOn w:val="Normal"/>
    <w:next w:val="Normal"/>
    <w:link w:val="Titlu4Caracter"/>
    <w:qFormat/>
    <w:rsid w:val="00330F8C"/>
    <w:pPr>
      <w:keepNext/>
      <w:spacing w:before="240" w:after="60"/>
      <w:outlineLvl w:val="3"/>
    </w:pPr>
    <w:rPr>
      <w:rFonts w:eastAsia="Times New Roman"/>
      <w:b/>
      <w:bCs/>
      <w:sz w:val="28"/>
      <w:szCs w:val="28"/>
      <w:lang w:val="en-US"/>
    </w:rPr>
  </w:style>
  <w:style w:type="paragraph" w:styleId="Titlu5">
    <w:name w:val="heading 5"/>
    <w:basedOn w:val="Normal"/>
    <w:next w:val="Normal"/>
    <w:link w:val="Titlu5Caracter"/>
    <w:qFormat/>
    <w:rsid w:val="00330F8C"/>
    <w:pPr>
      <w:spacing w:before="240" w:after="60"/>
      <w:outlineLvl w:val="4"/>
    </w:pPr>
    <w:rPr>
      <w:rFonts w:eastAsia="Times New Roman"/>
      <w:b/>
      <w:bCs/>
      <w:i/>
      <w:iCs/>
      <w:sz w:val="26"/>
      <w:szCs w:val="26"/>
      <w:lang w:val="en-US"/>
    </w:rPr>
  </w:style>
  <w:style w:type="paragraph" w:styleId="Titlu6">
    <w:name w:val="heading 6"/>
    <w:basedOn w:val="Normal"/>
    <w:next w:val="Normal"/>
    <w:link w:val="Titlu6Caracter"/>
    <w:qFormat/>
    <w:rsid w:val="00582399"/>
    <w:pPr>
      <w:keepNext/>
      <w:ind w:firstLine="708"/>
      <w:jc w:val="both"/>
      <w:outlineLvl w:val="5"/>
    </w:pPr>
    <w:rPr>
      <w:rFonts w:ascii="Arial" w:eastAsia="Times New Roman" w:hAnsi="Arial" w:cs="Arial"/>
      <w:b/>
      <w:bCs/>
      <w:i/>
      <w:iCs/>
      <w:lang w:val="ro-RO" w:eastAsia="ro-RO"/>
    </w:rPr>
  </w:style>
  <w:style w:type="paragraph" w:styleId="Titlu7">
    <w:name w:val="heading 7"/>
    <w:basedOn w:val="Normal"/>
    <w:next w:val="Normal"/>
    <w:link w:val="Titlu7Caracter"/>
    <w:unhideWhenUsed/>
    <w:qFormat/>
    <w:rsid w:val="00605F65"/>
    <w:pPr>
      <w:keepNext/>
      <w:keepLines/>
      <w:spacing w:before="200"/>
      <w:outlineLvl w:val="6"/>
    </w:pPr>
    <w:rPr>
      <w:rFonts w:asciiTheme="majorHAnsi" w:eastAsiaTheme="majorEastAsia" w:hAnsiTheme="majorHAnsi" w:cstheme="majorBidi"/>
      <w:i/>
      <w:iCs/>
      <w:color w:val="404040" w:themeColor="text1" w:themeTint="BF"/>
    </w:rPr>
  </w:style>
  <w:style w:type="paragraph" w:styleId="Titlu8">
    <w:name w:val="heading 8"/>
    <w:basedOn w:val="Normal"/>
    <w:next w:val="Normal"/>
    <w:link w:val="Titlu8Caracter"/>
    <w:unhideWhenUsed/>
    <w:qFormat/>
    <w:rsid w:val="00605F6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lu9">
    <w:name w:val="heading 9"/>
    <w:basedOn w:val="Normal"/>
    <w:next w:val="Normal"/>
    <w:link w:val="Titlu9Caracter"/>
    <w:qFormat/>
    <w:rsid w:val="00582399"/>
    <w:pPr>
      <w:keepNext/>
      <w:shd w:val="clear" w:color="auto" w:fill="FFFFFF"/>
      <w:ind w:left="7"/>
      <w:jc w:val="center"/>
      <w:outlineLvl w:val="8"/>
    </w:pPr>
    <w:rPr>
      <w:rFonts w:ascii="Arial" w:eastAsia="Times New Roman" w:hAnsi="Arial" w:cs="Arial"/>
      <w:b/>
      <w:bCs/>
      <w:i/>
      <w:iCs/>
      <w:color w:val="000000"/>
      <w:spacing w:val="-3"/>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obust">
    <w:name w:val="Strong"/>
    <w:qFormat/>
    <w:rsid w:val="00B6401A"/>
    <w:rPr>
      <w:b/>
      <w:bCs/>
    </w:rPr>
  </w:style>
  <w:style w:type="paragraph" w:styleId="Antet">
    <w:name w:val="header"/>
    <w:basedOn w:val="Normal"/>
    <w:link w:val="AntetCaracter"/>
    <w:unhideWhenUsed/>
    <w:rsid w:val="00585274"/>
    <w:pPr>
      <w:tabs>
        <w:tab w:val="center" w:pos="4680"/>
        <w:tab w:val="right" w:pos="9360"/>
      </w:tabs>
    </w:pPr>
    <w:rPr>
      <w:rFonts w:ascii="Calibri" w:eastAsia="Calibri" w:hAnsi="Calibri"/>
      <w:sz w:val="22"/>
      <w:szCs w:val="22"/>
      <w:lang w:val="en-US"/>
    </w:rPr>
  </w:style>
  <w:style w:type="character" w:customStyle="1" w:styleId="AntetCaracter">
    <w:name w:val="Antet Caracter"/>
    <w:link w:val="Antet"/>
    <w:uiPriority w:val="99"/>
    <w:rsid w:val="00585274"/>
    <w:rPr>
      <w:rFonts w:ascii="Calibri" w:eastAsia="Calibri" w:hAnsi="Calibri"/>
      <w:sz w:val="22"/>
      <w:szCs w:val="22"/>
      <w:lang w:val="en-US" w:eastAsia="en-US" w:bidi="ar-SA"/>
    </w:rPr>
  </w:style>
  <w:style w:type="character" w:customStyle="1" w:styleId="Titlu1Caracter">
    <w:name w:val="Titlu 1 Caracter"/>
    <w:link w:val="Titlu1"/>
    <w:uiPriority w:val="99"/>
    <w:rsid w:val="00434A63"/>
    <w:rPr>
      <w:rFonts w:ascii="Arial" w:eastAsia="SimSun" w:hAnsi="Arial" w:cs="Arial"/>
      <w:b/>
      <w:bCs/>
      <w:kern w:val="32"/>
      <w:sz w:val="32"/>
      <w:szCs w:val="32"/>
      <w:lang w:val="en-GB" w:eastAsia="en-US" w:bidi="ar-SA"/>
    </w:rPr>
  </w:style>
  <w:style w:type="paragraph" w:styleId="Listparagraf">
    <w:name w:val="List Paragraph"/>
    <w:basedOn w:val="Normal"/>
    <w:link w:val="ListparagrafCaracter"/>
    <w:uiPriority w:val="34"/>
    <w:qFormat/>
    <w:rsid w:val="00434A63"/>
    <w:pPr>
      <w:spacing w:after="200" w:line="276" w:lineRule="auto"/>
      <w:ind w:left="720"/>
      <w:contextualSpacing/>
    </w:pPr>
    <w:rPr>
      <w:rFonts w:ascii="Calibri" w:eastAsia="Calibri" w:hAnsi="Calibri"/>
      <w:sz w:val="22"/>
      <w:szCs w:val="22"/>
      <w:lang w:val="ro-RO"/>
    </w:rPr>
  </w:style>
  <w:style w:type="character" w:customStyle="1" w:styleId="ListparagrafCaracter">
    <w:name w:val="Listă paragraf Caracter"/>
    <w:link w:val="Listparagraf"/>
    <w:rsid w:val="00434A63"/>
    <w:rPr>
      <w:rFonts w:ascii="Calibri" w:eastAsia="Calibri" w:hAnsi="Calibri"/>
      <w:sz w:val="22"/>
      <w:szCs w:val="22"/>
      <w:lang w:val="ro-RO" w:eastAsia="en-US" w:bidi="ar-SA"/>
    </w:rPr>
  </w:style>
  <w:style w:type="paragraph" w:styleId="TextnBalon">
    <w:name w:val="Balloon Text"/>
    <w:basedOn w:val="Normal"/>
    <w:link w:val="TextnBalonCaracter"/>
    <w:rsid w:val="00B0120E"/>
    <w:rPr>
      <w:rFonts w:ascii="Tahoma" w:hAnsi="Tahoma" w:cs="Tahoma"/>
      <w:sz w:val="16"/>
      <w:szCs w:val="16"/>
    </w:rPr>
  </w:style>
  <w:style w:type="numbering" w:styleId="111111">
    <w:name w:val="Outline List 2"/>
    <w:basedOn w:val="FrListare"/>
    <w:rsid w:val="007F21AA"/>
    <w:pPr>
      <w:numPr>
        <w:numId w:val="1"/>
      </w:numPr>
    </w:pPr>
  </w:style>
  <w:style w:type="numbering" w:customStyle="1" w:styleId="Listacurent1">
    <w:name w:val="Lista curentă1"/>
    <w:rsid w:val="00FD50F4"/>
    <w:pPr>
      <w:numPr>
        <w:numId w:val="2"/>
      </w:numPr>
    </w:pPr>
  </w:style>
  <w:style w:type="paragraph" w:styleId="Titlucuprins">
    <w:name w:val="TOC Heading"/>
    <w:basedOn w:val="Titlu1"/>
    <w:next w:val="Normal"/>
    <w:uiPriority w:val="39"/>
    <w:semiHidden/>
    <w:unhideWhenUsed/>
    <w:qFormat/>
    <w:rsid w:val="006D7808"/>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ro-RO" w:eastAsia="ro-RO"/>
    </w:rPr>
  </w:style>
  <w:style w:type="paragraph" w:customStyle="1" w:styleId="Paragraf">
    <w:name w:val="Paragraf"/>
    <w:basedOn w:val="Normal"/>
    <w:rsid w:val="00E24F25"/>
    <w:pPr>
      <w:numPr>
        <w:numId w:val="4"/>
      </w:numPr>
      <w:tabs>
        <w:tab w:val="left" w:pos="851"/>
        <w:tab w:val="left" w:pos="1418"/>
      </w:tabs>
      <w:spacing w:before="40" w:after="40"/>
      <w:jc w:val="both"/>
    </w:pPr>
    <w:rPr>
      <w:rFonts w:ascii="Arial" w:eastAsia="Times New Roman" w:hAnsi="Arial"/>
      <w:szCs w:val="20"/>
      <w:lang w:val="ro-RO"/>
    </w:rPr>
  </w:style>
  <w:style w:type="paragraph" w:styleId="Subsol">
    <w:name w:val="footer"/>
    <w:basedOn w:val="Normal"/>
    <w:link w:val="SubsolCaracter"/>
    <w:uiPriority w:val="99"/>
    <w:rsid w:val="003A506A"/>
    <w:pPr>
      <w:tabs>
        <w:tab w:val="center" w:pos="4513"/>
        <w:tab w:val="right" w:pos="9026"/>
      </w:tabs>
    </w:pPr>
  </w:style>
  <w:style w:type="character" w:customStyle="1" w:styleId="SubsolCaracter">
    <w:name w:val="Subsol Caracter"/>
    <w:basedOn w:val="Fontdeparagrafimplicit"/>
    <w:link w:val="Subsol"/>
    <w:uiPriority w:val="99"/>
    <w:rsid w:val="003A506A"/>
    <w:rPr>
      <w:rFonts w:eastAsia="SimSun"/>
      <w:sz w:val="24"/>
      <w:szCs w:val="24"/>
      <w:lang w:val="en-GB" w:eastAsia="en-US"/>
    </w:rPr>
  </w:style>
  <w:style w:type="paragraph" w:styleId="Cuprins1">
    <w:name w:val="toc 1"/>
    <w:basedOn w:val="Normal"/>
    <w:next w:val="Normal"/>
    <w:autoRedefine/>
    <w:rsid w:val="00755794"/>
    <w:pPr>
      <w:spacing w:after="100"/>
    </w:pPr>
  </w:style>
  <w:style w:type="paragraph" w:styleId="Cuprins2">
    <w:name w:val="toc 2"/>
    <w:basedOn w:val="Normal"/>
    <w:next w:val="Normal"/>
    <w:autoRedefine/>
    <w:rsid w:val="00755794"/>
    <w:pPr>
      <w:spacing w:after="100"/>
      <w:ind w:left="240"/>
    </w:pPr>
  </w:style>
  <w:style w:type="paragraph" w:styleId="Cuprins3">
    <w:name w:val="toc 3"/>
    <w:basedOn w:val="Normal"/>
    <w:next w:val="Normal"/>
    <w:autoRedefine/>
    <w:rsid w:val="00755794"/>
    <w:pPr>
      <w:spacing w:after="100"/>
      <w:ind w:left="480"/>
    </w:pPr>
  </w:style>
  <w:style w:type="paragraph" w:styleId="Cuprins4">
    <w:name w:val="toc 4"/>
    <w:basedOn w:val="Normal"/>
    <w:next w:val="Normal"/>
    <w:autoRedefine/>
    <w:rsid w:val="00755794"/>
    <w:pPr>
      <w:spacing w:after="100"/>
      <w:ind w:left="720"/>
    </w:pPr>
  </w:style>
  <w:style w:type="paragraph" w:styleId="Cuprins5">
    <w:name w:val="toc 5"/>
    <w:basedOn w:val="Normal"/>
    <w:next w:val="Normal"/>
    <w:autoRedefine/>
    <w:rsid w:val="00755794"/>
    <w:pPr>
      <w:spacing w:after="100"/>
      <w:ind w:left="960"/>
    </w:pPr>
  </w:style>
  <w:style w:type="paragraph" w:styleId="Cuprins6">
    <w:name w:val="toc 6"/>
    <w:basedOn w:val="Normal"/>
    <w:next w:val="Normal"/>
    <w:autoRedefine/>
    <w:rsid w:val="00755794"/>
    <w:pPr>
      <w:spacing w:after="100"/>
      <w:ind w:left="1200"/>
    </w:pPr>
  </w:style>
  <w:style w:type="paragraph" w:styleId="Cuprins7">
    <w:name w:val="toc 7"/>
    <w:basedOn w:val="Normal"/>
    <w:next w:val="Normal"/>
    <w:autoRedefine/>
    <w:rsid w:val="00755794"/>
    <w:pPr>
      <w:spacing w:after="100"/>
      <w:ind w:left="1440"/>
    </w:pPr>
  </w:style>
  <w:style w:type="paragraph" w:styleId="Corptext2">
    <w:name w:val="Body Text 2"/>
    <w:basedOn w:val="Normal"/>
    <w:link w:val="Corptext2Caracter"/>
    <w:rsid w:val="00695BBF"/>
    <w:pPr>
      <w:jc w:val="both"/>
    </w:pPr>
    <w:rPr>
      <w:rFonts w:eastAsia="Times New Roman"/>
      <w:lang w:val="en-US" w:eastAsia="zh-CN"/>
    </w:rPr>
  </w:style>
  <w:style w:type="character" w:customStyle="1" w:styleId="Corptext2Caracter">
    <w:name w:val="Corp text 2 Caracter"/>
    <w:basedOn w:val="Fontdeparagrafimplicit"/>
    <w:link w:val="Corptext2"/>
    <w:uiPriority w:val="99"/>
    <w:rsid w:val="00695BBF"/>
    <w:rPr>
      <w:sz w:val="24"/>
      <w:szCs w:val="24"/>
      <w:lang w:val="en-US" w:eastAsia="zh-CN"/>
    </w:rPr>
  </w:style>
  <w:style w:type="paragraph" w:styleId="Corptext">
    <w:name w:val="Body Text"/>
    <w:aliases w:val="Body Text Char"/>
    <w:basedOn w:val="Normal"/>
    <w:link w:val="CorptextCaracter"/>
    <w:rsid w:val="00695BBF"/>
    <w:pPr>
      <w:spacing w:after="120"/>
    </w:pPr>
    <w:rPr>
      <w:rFonts w:eastAsia="Times New Roman"/>
      <w:sz w:val="28"/>
      <w:szCs w:val="28"/>
      <w:lang w:val="x-none" w:eastAsia="x-none"/>
    </w:rPr>
  </w:style>
  <w:style w:type="character" w:customStyle="1" w:styleId="CorptextCaracter">
    <w:name w:val="Corp text Caracter"/>
    <w:aliases w:val="Body Text Char Caracter"/>
    <w:basedOn w:val="Fontdeparagrafimplicit"/>
    <w:link w:val="Corptext"/>
    <w:uiPriority w:val="99"/>
    <w:rsid w:val="00695BBF"/>
    <w:rPr>
      <w:sz w:val="28"/>
      <w:szCs w:val="28"/>
      <w:lang w:val="x-none" w:eastAsia="x-none"/>
    </w:rPr>
  </w:style>
  <w:style w:type="character" w:styleId="Hyperlink">
    <w:name w:val="Hyperlink"/>
    <w:rsid w:val="00695BBF"/>
    <w:rPr>
      <w:color w:val="0000FF"/>
      <w:u w:val="single"/>
    </w:rPr>
  </w:style>
  <w:style w:type="character" w:customStyle="1" w:styleId="longtext">
    <w:name w:val="long_text"/>
    <w:basedOn w:val="Fontdeparagrafimplicit"/>
    <w:rsid w:val="00695BBF"/>
  </w:style>
  <w:style w:type="character" w:styleId="Accentuat">
    <w:name w:val="Emphasis"/>
    <w:qFormat/>
    <w:rsid w:val="00695BBF"/>
    <w:rPr>
      <w:i/>
      <w:iCs/>
    </w:rPr>
  </w:style>
  <w:style w:type="paragraph" w:customStyle="1" w:styleId="CaracterCaracterCharCaracterCaracter">
    <w:name w:val="Caracter Caracter Char Caracter Caracter"/>
    <w:basedOn w:val="Normal"/>
    <w:rsid w:val="00695BBF"/>
    <w:rPr>
      <w:rFonts w:eastAsia="Times New Roman"/>
      <w:lang w:val="pl-PL" w:eastAsia="pl-PL"/>
    </w:rPr>
  </w:style>
  <w:style w:type="character" w:styleId="Numrdepagin">
    <w:name w:val="page number"/>
    <w:basedOn w:val="Fontdeparagrafimplicit"/>
    <w:rsid w:val="00695BBF"/>
  </w:style>
  <w:style w:type="paragraph" w:styleId="Indentcorptext">
    <w:name w:val="Body Text Indent"/>
    <w:basedOn w:val="Normal"/>
    <w:link w:val="IndentcorptextCaracter"/>
    <w:rsid w:val="00695BBF"/>
    <w:pPr>
      <w:ind w:firstLine="720"/>
      <w:jc w:val="both"/>
    </w:pPr>
    <w:rPr>
      <w:rFonts w:eastAsia="Times New Roman"/>
      <w:szCs w:val="20"/>
      <w:lang w:val="x-none" w:eastAsia="x-none"/>
    </w:rPr>
  </w:style>
  <w:style w:type="character" w:customStyle="1" w:styleId="IndentcorptextCaracter">
    <w:name w:val="Indent corp text Caracter"/>
    <w:basedOn w:val="Fontdeparagrafimplicit"/>
    <w:link w:val="Indentcorptext"/>
    <w:uiPriority w:val="99"/>
    <w:rsid w:val="00695BBF"/>
    <w:rPr>
      <w:sz w:val="24"/>
      <w:lang w:val="x-none" w:eastAsia="x-none"/>
    </w:rPr>
  </w:style>
  <w:style w:type="paragraph" w:styleId="Textcomentariu">
    <w:name w:val="annotation text"/>
    <w:basedOn w:val="Normal"/>
    <w:link w:val="TextcomentariuCaracter"/>
    <w:rsid w:val="00695BBF"/>
    <w:rPr>
      <w:rFonts w:eastAsia="Times New Roman"/>
      <w:sz w:val="20"/>
      <w:szCs w:val="20"/>
      <w:lang w:val="en-US"/>
    </w:rPr>
  </w:style>
  <w:style w:type="character" w:customStyle="1" w:styleId="TextcomentariuCaracter">
    <w:name w:val="Text comentariu Caracter"/>
    <w:basedOn w:val="Fontdeparagrafimplicit"/>
    <w:link w:val="Textcomentariu"/>
    <w:rsid w:val="00695BBF"/>
    <w:rPr>
      <w:lang w:val="en-US" w:eastAsia="en-US"/>
    </w:rPr>
  </w:style>
  <w:style w:type="character" w:customStyle="1" w:styleId="apple-style-span">
    <w:name w:val="apple-style-span"/>
    <w:basedOn w:val="Fontdeparagrafimplicit"/>
    <w:rsid w:val="00695BBF"/>
  </w:style>
  <w:style w:type="character" w:customStyle="1" w:styleId="apple-converted-space">
    <w:name w:val="apple-converted-space"/>
    <w:basedOn w:val="Fontdeparagrafimplicit"/>
    <w:rsid w:val="00695BBF"/>
  </w:style>
  <w:style w:type="paragraph" w:customStyle="1" w:styleId="CaracterCaracterCaracterCharCharCaracterCharCharCaracterCharCharCaracterCarCarCharCharCaracter">
    <w:name w:val="Caracter Caracter Caracter Char Char Caracter Char Char Caracter Char Char Caracter Car Car Char Char Caracter"/>
    <w:basedOn w:val="Normal"/>
    <w:rsid w:val="00695BBF"/>
    <w:rPr>
      <w:rFonts w:eastAsia="Times New Roman"/>
      <w:lang w:val="pl-PL" w:eastAsia="pl-PL"/>
    </w:rPr>
  </w:style>
  <w:style w:type="paragraph" w:styleId="Indentcorptext2">
    <w:name w:val="Body Text Indent 2"/>
    <w:basedOn w:val="Normal"/>
    <w:link w:val="Indentcorptext2Caracter"/>
    <w:rsid w:val="00695BBF"/>
    <w:pPr>
      <w:spacing w:after="120" w:line="480" w:lineRule="auto"/>
      <w:ind w:left="360"/>
    </w:pPr>
    <w:rPr>
      <w:rFonts w:eastAsia="Times New Roman"/>
      <w:sz w:val="28"/>
      <w:szCs w:val="28"/>
      <w:lang w:val="x-none" w:eastAsia="x-none"/>
    </w:rPr>
  </w:style>
  <w:style w:type="character" w:customStyle="1" w:styleId="Indentcorptext2Caracter">
    <w:name w:val="Indent corp text 2 Caracter"/>
    <w:basedOn w:val="Fontdeparagrafimplicit"/>
    <w:link w:val="Indentcorptext2"/>
    <w:uiPriority w:val="99"/>
    <w:rsid w:val="00695BBF"/>
    <w:rPr>
      <w:sz w:val="28"/>
      <w:szCs w:val="28"/>
      <w:lang w:val="x-none" w:eastAsia="x-none"/>
    </w:rPr>
  </w:style>
  <w:style w:type="character" w:customStyle="1" w:styleId="longtext1">
    <w:name w:val="long_text1"/>
    <w:rsid w:val="00695BBF"/>
    <w:rPr>
      <w:sz w:val="20"/>
      <w:szCs w:val="20"/>
    </w:rPr>
  </w:style>
  <w:style w:type="paragraph" w:customStyle="1" w:styleId="paragraf0">
    <w:name w:val="paragraf"/>
    <w:basedOn w:val="Normal"/>
    <w:rsid w:val="00695BBF"/>
    <w:pPr>
      <w:suppressAutoHyphens/>
      <w:spacing w:before="200" w:after="200" w:line="360" w:lineRule="auto"/>
      <w:ind w:firstLine="567"/>
    </w:pPr>
    <w:rPr>
      <w:rFonts w:ascii="Arial" w:eastAsia="Calibri" w:hAnsi="Arial"/>
      <w:lang w:val="ro-RO" w:bidi="en-US"/>
    </w:rPr>
  </w:style>
  <w:style w:type="table" w:styleId="GrilTabel">
    <w:name w:val="Table Grid"/>
    <w:basedOn w:val="TabelNormal"/>
    <w:rsid w:val="00695BBF"/>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CharChar">
    <w:name w:val="Caracter Caracter Char Char"/>
    <w:basedOn w:val="Normal"/>
    <w:rsid w:val="00695BBF"/>
    <w:rPr>
      <w:rFonts w:eastAsia="Times New Roman"/>
      <w:noProof/>
      <w:lang w:val="pl-PL" w:eastAsia="pl-PL"/>
    </w:rPr>
  </w:style>
  <w:style w:type="character" w:customStyle="1" w:styleId="hps">
    <w:name w:val="hps"/>
    <w:basedOn w:val="Fontdeparagrafimplicit"/>
    <w:rsid w:val="00695BBF"/>
  </w:style>
  <w:style w:type="character" w:customStyle="1" w:styleId="shorttext">
    <w:name w:val="short_text"/>
    <w:basedOn w:val="Fontdeparagrafimplicit"/>
    <w:rsid w:val="00695BBF"/>
  </w:style>
  <w:style w:type="character" w:customStyle="1" w:styleId="hpsatn">
    <w:name w:val="hps atn"/>
    <w:basedOn w:val="Fontdeparagrafimplicit"/>
    <w:rsid w:val="00695BBF"/>
  </w:style>
  <w:style w:type="character" w:customStyle="1" w:styleId="atn">
    <w:name w:val="atn"/>
    <w:basedOn w:val="Fontdeparagrafimplicit"/>
    <w:rsid w:val="00695BBF"/>
  </w:style>
  <w:style w:type="paragraph" w:styleId="NormalWeb">
    <w:name w:val="Normal (Web)"/>
    <w:basedOn w:val="Normal"/>
    <w:unhideWhenUsed/>
    <w:rsid w:val="00695BBF"/>
    <w:pPr>
      <w:spacing w:before="100" w:beforeAutospacing="1" w:after="100" w:afterAutospacing="1"/>
    </w:pPr>
    <w:rPr>
      <w:rFonts w:eastAsia="Times New Roman"/>
      <w:lang w:val="en-US"/>
    </w:rPr>
  </w:style>
  <w:style w:type="table" w:styleId="TabelWeb1">
    <w:name w:val="Table Web 1"/>
    <w:basedOn w:val="TabelNormal"/>
    <w:rsid w:val="00695BBF"/>
    <w:rPr>
      <w:lang w:val="en-US"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Indent21">
    <w:name w:val="Body Text Indent 21"/>
    <w:basedOn w:val="Normal"/>
    <w:rsid w:val="00695BBF"/>
    <w:pPr>
      <w:widowControl w:val="0"/>
      <w:suppressAutoHyphens/>
      <w:spacing w:after="120" w:line="480" w:lineRule="auto"/>
      <w:ind w:left="360"/>
    </w:pPr>
    <w:rPr>
      <w:rFonts w:cs="Mangal"/>
      <w:kern w:val="1"/>
      <w:lang w:val="en-US" w:eastAsia="hi-IN" w:bidi="hi-IN"/>
    </w:rPr>
  </w:style>
  <w:style w:type="paragraph" w:styleId="Frspaiere">
    <w:name w:val="No Spacing"/>
    <w:uiPriority w:val="99"/>
    <w:qFormat/>
    <w:rsid w:val="00695BBF"/>
    <w:rPr>
      <w:sz w:val="28"/>
      <w:szCs w:val="28"/>
      <w:lang w:val="en-US" w:eastAsia="en-US"/>
    </w:rPr>
  </w:style>
  <w:style w:type="character" w:customStyle="1" w:styleId="TextnBalonCaracter">
    <w:name w:val="Text în Balon Caracter"/>
    <w:link w:val="TextnBalon"/>
    <w:rsid w:val="00695BBF"/>
    <w:rPr>
      <w:rFonts w:ascii="Tahoma" w:eastAsia="SimSun" w:hAnsi="Tahoma" w:cs="Tahoma"/>
      <w:sz w:val="16"/>
      <w:szCs w:val="16"/>
      <w:lang w:val="en-GB" w:eastAsia="en-US"/>
    </w:rPr>
  </w:style>
  <w:style w:type="character" w:styleId="Accentuareintens">
    <w:name w:val="Intense Emphasis"/>
    <w:qFormat/>
    <w:rsid w:val="00695BBF"/>
    <w:rPr>
      <w:b/>
      <w:bCs/>
      <w:i/>
      <w:iCs/>
      <w:color w:val="4F81BD"/>
    </w:rPr>
  </w:style>
  <w:style w:type="paragraph" w:styleId="Legend">
    <w:name w:val="caption"/>
    <w:basedOn w:val="Normal"/>
    <w:qFormat/>
    <w:rsid w:val="00695BBF"/>
    <w:pPr>
      <w:widowControl w:val="0"/>
      <w:suppressLineNumbers/>
      <w:suppressAutoHyphens/>
      <w:spacing w:before="120" w:after="120"/>
    </w:pPr>
    <w:rPr>
      <w:rFonts w:cs="Mangal"/>
      <w:i/>
      <w:iCs/>
      <w:kern w:val="1"/>
      <w:lang w:val="en-US" w:eastAsia="hi-IN" w:bidi="hi-IN"/>
    </w:rPr>
  </w:style>
  <w:style w:type="character" w:styleId="HyperlinkParcurs">
    <w:name w:val="FollowedHyperlink"/>
    <w:uiPriority w:val="99"/>
    <w:unhideWhenUsed/>
    <w:rsid w:val="00695BBF"/>
    <w:rPr>
      <w:color w:val="800080"/>
      <w:u w:val="single"/>
    </w:rPr>
  </w:style>
  <w:style w:type="character" w:customStyle="1" w:styleId="CommentTextChar">
    <w:name w:val="Comment Text Char"/>
    <w:semiHidden/>
    <w:rsid w:val="00695BBF"/>
  </w:style>
  <w:style w:type="paragraph" w:styleId="SubiectComentariu">
    <w:name w:val="annotation subject"/>
    <w:basedOn w:val="Textcomentariu"/>
    <w:next w:val="Textcomentariu"/>
    <w:link w:val="SubiectComentariuCaracter"/>
    <w:unhideWhenUsed/>
    <w:rsid w:val="00695BBF"/>
    <w:rPr>
      <w:b/>
      <w:bCs/>
      <w:lang w:val="x-none" w:eastAsia="x-none"/>
    </w:rPr>
  </w:style>
  <w:style w:type="character" w:customStyle="1" w:styleId="SubiectComentariuCaracter">
    <w:name w:val="Subiect Comentariu Caracter"/>
    <w:basedOn w:val="TextcomentariuCaracter"/>
    <w:link w:val="SubiectComentariu"/>
    <w:rsid w:val="00695BBF"/>
    <w:rPr>
      <w:b/>
      <w:bCs/>
      <w:lang w:val="x-none" w:eastAsia="x-none"/>
    </w:rPr>
  </w:style>
  <w:style w:type="character" w:styleId="Referincomentariu">
    <w:name w:val="annotation reference"/>
    <w:unhideWhenUsed/>
    <w:rsid w:val="00695BBF"/>
    <w:rPr>
      <w:sz w:val="16"/>
      <w:szCs w:val="16"/>
    </w:rPr>
  </w:style>
  <w:style w:type="paragraph" w:customStyle="1" w:styleId="CharChar1CaracterCaracterChar">
    <w:name w:val="Char Char1 Caracter Caracter Char"/>
    <w:basedOn w:val="Normal"/>
    <w:rsid w:val="00695BBF"/>
    <w:rPr>
      <w:rFonts w:eastAsia="Times New Roman"/>
      <w:lang w:val="pl-PL" w:eastAsia="pl-PL"/>
    </w:rPr>
  </w:style>
  <w:style w:type="character" w:customStyle="1" w:styleId="def">
    <w:name w:val="def"/>
    <w:rsid w:val="00695BBF"/>
  </w:style>
  <w:style w:type="character" w:customStyle="1" w:styleId="ndesc1">
    <w:name w:val="ndesc1"/>
    <w:rsid w:val="00695BBF"/>
    <w:rPr>
      <w:rFonts w:ascii="Arial" w:hAnsi="Arial" w:cs="Arial" w:hint="default"/>
      <w:b w:val="0"/>
      <w:bCs w:val="0"/>
      <w:strike w:val="0"/>
      <w:dstrike w:val="0"/>
      <w:color w:val="000000"/>
      <w:sz w:val="24"/>
      <w:szCs w:val="24"/>
      <w:u w:val="none"/>
      <w:effect w:val="none"/>
    </w:rPr>
  </w:style>
  <w:style w:type="table" w:styleId="TabelSimplu1">
    <w:name w:val="Table Simple 1"/>
    <w:basedOn w:val="TabelNormal"/>
    <w:unhideWhenUsed/>
    <w:rsid w:val="00695BBF"/>
    <w:rPr>
      <w:lang w:val="en-US" w:eastAsia="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Clasic1">
    <w:name w:val="Table Classic 1"/>
    <w:basedOn w:val="TabelNormal"/>
    <w:unhideWhenUsed/>
    <w:rsid w:val="00695BBF"/>
    <w:rPr>
      <w:lang w:val="en-US"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ontemporan">
    <w:name w:val="Table Contemporary"/>
    <w:basedOn w:val="TabelNormal"/>
    <w:rsid w:val="00695BBF"/>
    <w:rPr>
      <w:lang w:val="en-US"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Default">
    <w:name w:val="Default"/>
    <w:rsid w:val="00695BBF"/>
    <w:pPr>
      <w:autoSpaceDE w:val="0"/>
      <w:autoSpaceDN w:val="0"/>
      <w:adjustRightInd w:val="0"/>
    </w:pPr>
    <w:rPr>
      <w:rFonts w:eastAsia="Calibri"/>
      <w:color w:val="000000"/>
      <w:sz w:val="24"/>
      <w:szCs w:val="24"/>
      <w:lang w:val="en-US" w:eastAsia="en-US"/>
    </w:rPr>
  </w:style>
  <w:style w:type="character" w:customStyle="1" w:styleId="sciname1">
    <w:name w:val="sciname1"/>
    <w:rsid w:val="00695BBF"/>
    <w:rPr>
      <w:i/>
      <w:iCs/>
    </w:rPr>
  </w:style>
  <w:style w:type="character" w:customStyle="1" w:styleId="sheader61">
    <w:name w:val="sheader61"/>
    <w:rsid w:val="00695BBF"/>
    <w:rPr>
      <w:rFonts w:ascii="Times New Roman" w:hAnsi="Times New Roman" w:cs="Times New Roman" w:hint="default"/>
      <w:sz w:val="34"/>
      <w:szCs w:val="34"/>
    </w:rPr>
  </w:style>
  <w:style w:type="paragraph" w:customStyle="1" w:styleId="CharChar1CaracterCaracterChar0">
    <w:name w:val="Char Char1 Caracter Caracter Char"/>
    <w:basedOn w:val="Normal"/>
    <w:rsid w:val="00695BBF"/>
    <w:rPr>
      <w:rFonts w:eastAsia="Times New Roman"/>
      <w:lang w:val="pl-PL" w:eastAsia="pl-PL"/>
    </w:rPr>
  </w:style>
  <w:style w:type="character" w:customStyle="1" w:styleId="mediumtext">
    <w:name w:val="medium_text"/>
    <w:rsid w:val="00695BBF"/>
  </w:style>
  <w:style w:type="numbering" w:customStyle="1" w:styleId="NoList1">
    <w:name w:val="No List1"/>
    <w:next w:val="FrListare"/>
    <w:semiHidden/>
    <w:rsid w:val="00695BBF"/>
  </w:style>
  <w:style w:type="numbering" w:customStyle="1" w:styleId="NoList2">
    <w:name w:val="No List2"/>
    <w:next w:val="FrListare"/>
    <w:semiHidden/>
    <w:rsid w:val="00695BBF"/>
  </w:style>
  <w:style w:type="paragraph" w:customStyle="1" w:styleId="Char">
    <w:name w:val="Char"/>
    <w:basedOn w:val="Normal"/>
    <w:rsid w:val="00990ACA"/>
    <w:rPr>
      <w:rFonts w:eastAsia="Times New Roman"/>
      <w:lang w:val="pl-PL" w:eastAsia="pl-PL"/>
    </w:rPr>
  </w:style>
  <w:style w:type="character" w:customStyle="1" w:styleId="Titlu7Caracter">
    <w:name w:val="Titlu 7 Caracter"/>
    <w:basedOn w:val="Fontdeparagrafimplicit"/>
    <w:link w:val="Titlu7"/>
    <w:uiPriority w:val="99"/>
    <w:rsid w:val="00605F65"/>
    <w:rPr>
      <w:rFonts w:asciiTheme="majorHAnsi" w:eastAsiaTheme="majorEastAsia" w:hAnsiTheme="majorHAnsi" w:cstheme="majorBidi"/>
      <w:i/>
      <w:iCs/>
      <w:color w:val="404040" w:themeColor="text1" w:themeTint="BF"/>
      <w:sz w:val="24"/>
      <w:szCs w:val="24"/>
      <w:lang w:val="en-GB" w:eastAsia="en-US"/>
    </w:rPr>
  </w:style>
  <w:style w:type="character" w:customStyle="1" w:styleId="Titlu8Caracter">
    <w:name w:val="Titlu 8 Caracter"/>
    <w:basedOn w:val="Fontdeparagrafimplicit"/>
    <w:link w:val="Titlu8"/>
    <w:uiPriority w:val="99"/>
    <w:rsid w:val="00605F65"/>
    <w:rPr>
      <w:rFonts w:asciiTheme="majorHAnsi" w:eastAsiaTheme="majorEastAsia" w:hAnsiTheme="majorHAnsi" w:cstheme="majorBidi"/>
      <w:color w:val="404040" w:themeColor="text1" w:themeTint="BF"/>
      <w:lang w:val="en-GB" w:eastAsia="en-US"/>
    </w:rPr>
  </w:style>
  <w:style w:type="character" w:customStyle="1" w:styleId="Titlu2Caracter">
    <w:name w:val="Titlu 2 Caracter"/>
    <w:aliases w:val="a Titlu 2 Caracter"/>
    <w:basedOn w:val="Fontdeparagrafimplicit"/>
    <w:link w:val="Titlu2"/>
    <w:uiPriority w:val="99"/>
    <w:rsid w:val="00330F8C"/>
    <w:rPr>
      <w:rFonts w:ascii="Arial" w:hAnsi="Arial" w:cs="Arial"/>
      <w:b/>
      <w:bCs/>
      <w:i/>
      <w:iCs/>
      <w:sz w:val="28"/>
      <w:szCs w:val="28"/>
      <w:lang w:val="en-US" w:eastAsia="en-US"/>
    </w:rPr>
  </w:style>
  <w:style w:type="character" w:customStyle="1" w:styleId="Titlu3Caracter">
    <w:name w:val="Titlu 3 Caracter"/>
    <w:basedOn w:val="Fontdeparagrafimplicit"/>
    <w:link w:val="Titlu3"/>
    <w:uiPriority w:val="99"/>
    <w:rsid w:val="00330F8C"/>
    <w:rPr>
      <w:b/>
      <w:color w:val="0000FF"/>
      <w:sz w:val="28"/>
      <w:lang w:eastAsia="en-US"/>
    </w:rPr>
  </w:style>
  <w:style w:type="character" w:customStyle="1" w:styleId="Titlu4Caracter">
    <w:name w:val="Titlu 4 Caracter"/>
    <w:basedOn w:val="Fontdeparagrafimplicit"/>
    <w:link w:val="Titlu4"/>
    <w:uiPriority w:val="99"/>
    <w:rsid w:val="00330F8C"/>
    <w:rPr>
      <w:b/>
      <w:bCs/>
      <w:sz w:val="28"/>
      <w:szCs w:val="28"/>
      <w:lang w:val="en-US" w:eastAsia="en-US"/>
    </w:rPr>
  </w:style>
  <w:style w:type="character" w:customStyle="1" w:styleId="Titlu5Caracter">
    <w:name w:val="Titlu 5 Caracter"/>
    <w:basedOn w:val="Fontdeparagrafimplicit"/>
    <w:link w:val="Titlu5"/>
    <w:uiPriority w:val="99"/>
    <w:rsid w:val="00330F8C"/>
    <w:rPr>
      <w:b/>
      <w:bCs/>
      <w:i/>
      <w:iCs/>
      <w:sz w:val="26"/>
      <w:szCs w:val="26"/>
      <w:lang w:val="en-US" w:eastAsia="en-US"/>
    </w:rPr>
  </w:style>
  <w:style w:type="paragraph" w:styleId="Corptext3">
    <w:name w:val="Body Text 3"/>
    <w:basedOn w:val="Normal"/>
    <w:link w:val="Corptext3Caracter"/>
    <w:rsid w:val="00330F8C"/>
    <w:pPr>
      <w:spacing w:after="120"/>
    </w:pPr>
    <w:rPr>
      <w:rFonts w:eastAsia="Times New Roman"/>
      <w:sz w:val="16"/>
      <w:szCs w:val="16"/>
      <w:lang w:val="en-US"/>
    </w:rPr>
  </w:style>
  <w:style w:type="character" w:customStyle="1" w:styleId="Corptext3Caracter">
    <w:name w:val="Corp text 3 Caracter"/>
    <w:basedOn w:val="Fontdeparagrafimplicit"/>
    <w:link w:val="Corptext3"/>
    <w:uiPriority w:val="99"/>
    <w:rsid w:val="00330F8C"/>
    <w:rPr>
      <w:sz w:val="16"/>
      <w:szCs w:val="16"/>
      <w:lang w:val="en-US" w:eastAsia="en-US"/>
    </w:rPr>
  </w:style>
  <w:style w:type="paragraph" w:styleId="Textsimplu">
    <w:name w:val="Plain Text"/>
    <w:basedOn w:val="Normal"/>
    <w:link w:val="TextsimpluCaracter"/>
    <w:uiPriority w:val="99"/>
    <w:rsid w:val="00330F8C"/>
    <w:rPr>
      <w:rFonts w:ascii="Courier New" w:eastAsia="Times New Roman" w:hAnsi="Courier New" w:cs="Courier New"/>
      <w:sz w:val="20"/>
      <w:szCs w:val="20"/>
      <w:lang w:val="en-US"/>
    </w:rPr>
  </w:style>
  <w:style w:type="character" w:customStyle="1" w:styleId="TextsimpluCaracter">
    <w:name w:val="Text simplu Caracter"/>
    <w:basedOn w:val="Fontdeparagrafimplicit"/>
    <w:link w:val="Textsimplu"/>
    <w:uiPriority w:val="99"/>
    <w:rsid w:val="00330F8C"/>
    <w:rPr>
      <w:rFonts w:ascii="Courier New" w:hAnsi="Courier New" w:cs="Courier New"/>
      <w:lang w:val="en-US" w:eastAsia="en-US"/>
    </w:rPr>
  </w:style>
  <w:style w:type="paragraph" w:styleId="Plandocument">
    <w:name w:val="Document Map"/>
    <w:basedOn w:val="Normal"/>
    <w:link w:val="PlandocumentCaracter"/>
    <w:rsid w:val="00330F8C"/>
    <w:rPr>
      <w:rFonts w:ascii="Tahoma" w:eastAsia="Times New Roman" w:hAnsi="Tahoma" w:cs="Tahoma"/>
      <w:sz w:val="16"/>
      <w:szCs w:val="16"/>
      <w:lang w:val="en-US"/>
    </w:rPr>
  </w:style>
  <w:style w:type="character" w:customStyle="1" w:styleId="PlandocumentCaracter">
    <w:name w:val="Plan document Caracter"/>
    <w:basedOn w:val="Fontdeparagrafimplicit"/>
    <w:link w:val="Plandocument"/>
    <w:uiPriority w:val="99"/>
    <w:rsid w:val="00330F8C"/>
    <w:rPr>
      <w:rFonts w:ascii="Tahoma" w:hAnsi="Tahoma" w:cs="Tahoma"/>
      <w:sz w:val="16"/>
      <w:szCs w:val="16"/>
      <w:lang w:val="en-US" w:eastAsia="en-US"/>
    </w:rPr>
  </w:style>
  <w:style w:type="paragraph" w:styleId="Titlu">
    <w:name w:val="Title"/>
    <w:basedOn w:val="Normal"/>
    <w:link w:val="TitluCaracter"/>
    <w:qFormat/>
    <w:rsid w:val="00330F8C"/>
    <w:pPr>
      <w:jc w:val="center"/>
    </w:pPr>
    <w:rPr>
      <w:rFonts w:ascii="Arial" w:eastAsia="Times New Roman" w:hAnsi="Arial"/>
      <w:b/>
      <w:szCs w:val="20"/>
      <w:lang w:val="en-US"/>
    </w:rPr>
  </w:style>
  <w:style w:type="character" w:customStyle="1" w:styleId="TitluCaracter">
    <w:name w:val="Titlu Caracter"/>
    <w:basedOn w:val="Fontdeparagrafimplicit"/>
    <w:link w:val="Titlu"/>
    <w:uiPriority w:val="99"/>
    <w:rsid w:val="00330F8C"/>
    <w:rPr>
      <w:rFonts w:ascii="Arial" w:hAnsi="Arial"/>
      <w:b/>
      <w:sz w:val="24"/>
      <w:lang w:val="en-US" w:eastAsia="en-US"/>
    </w:rPr>
  </w:style>
  <w:style w:type="paragraph" w:styleId="Indentcorptext3">
    <w:name w:val="Body Text Indent 3"/>
    <w:basedOn w:val="Normal"/>
    <w:link w:val="Indentcorptext3Caracter"/>
    <w:rsid w:val="00330F8C"/>
    <w:pPr>
      <w:spacing w:after="120"/>
      <w:ind w:left="283"/>
    </w:pPr>
    <w:rPr>
      <w:rFonts w:eastAsia="Times New Roman"/>
      <w:sz w:val="16"/>
      <w:szCs w:val="16"/>
      <w:lang w:val="en-US"/>
    </w:rPr>
  </w:style>
  <w:style w:type="character" w:customStyle="1" w:styleId="Indentcorptext3Caracter">
    <w:name w:val="Indent corp text 3 Caracter"/>
    <w:basedOn w:val="Fontdeparagrafimplicit"/>
    <w:link w:val="Indentcorptext3"/>
    <w:uiPriority w:val="99"/>
    <w:rsid w:val="00330F8C"/>
    <w:rPr>
      <w:sz w:val="16"/>
      <w:szCs w:val="16"/>
      <w:lang w:val="en-US" w:eastAsia="en-US"/>
    </w:rPr>
  </w:style>
  <w:style w:type="character" w:customStyle="1" w:styleId="CaracterCaracter2">
    <w:name w:val="Caracter Caracter2"/>
    <w:basedOn w:val="Fontdeparagrafimplicit"/>
    <w:uiPriority w:val="99"/>
    <w:rsid w:val="00330F8C"/>
    <w:rPr>
      <w:rFonts w:cs="Times New Roman"/>
      <w:lang w:val="en-GB" w:eastAsia="en-US" w:bidi="ar-SA"/>
    </w:rPr>
  </w:style>
  <w:style w:type="paragraph" w:customStyle="1" w:styleId="xl32">
    <w:name w:val="xl32"/>
    <w:basedOn w:val="Normal"/>
    <w:uiPriority w:val="99"/>
    <w:rsid w:val="00330F8C"/>
    <w:pPr>
      <w:spacing w:before="100" w:after="100"/>
      <w:jc w:val="center"/>
    </w:pPr>
    <w:rPr>
      <w:rFonts w:ascii="Arial" w:eastAsia="Times New Roman" w:hAnsi="Arial"/>
    </w:rPr>
  </w:style>
  <w:style w:type="character" w:customStyle="1" w:styleId="description">
    <w:name w:val="description"/>
    <w:basedOn w:val="Fontdeparagrafimplicit"/>
    <w:uiPriority w:val="99"/>
    <w:rsid w:val="00330F8C"/>
    <w:rPr>
      <w:rFonts w:cs="Times New Roman"/>
    </w:rPr>
  </w:style>
  <w:style w:type="character" w:customStyle="1" w:styleId="ln2tlitera">
    <w:name w:val="ln2tlitera"/>
    <w:basedOn w:val="Fontdeparagrafimplicit"/>
    <w:rsid w:val="00330F8C"/>
    <w:rPr>
      <w:rFonts w:cs="Times New Roman"/>
    </w:rPr>
  </w:style>
  <w:style w:type="paragraph" w:customStyle="1" w:styleId="ListParagraph1">
    <w:name w:val="List Paragraph1"/>
    <w:basedOn w:val="Normal"/>
    <w:uiPriority w:val="99"/>
    <w:rsid w:val="00330F8C"/>
    <w:pPr>
      <w:ind w:left="720"/>
      <w:contextualSpacing/>
    </w:pPr>
    <w:rPr>
      <w:rFonts w:eastAsia="Times New Roman"/>
      <w:lang w:val="en-US"/>
    </w:rPr>
  </w:style>
  <w:style w:type="paragraph" w:customStyle="1" w:styleId="Style1">
    <w:name w:val="Style1"/>
    <w:basedOn w:val="Normal"/>
    <w:rsid w:val="00330F8C"/>
    <w:rPr>
      <w:rFonts w:ascii="Symbol" w:eastAsia="Times New Roman" w:hAnsi="Symbol"/>
      <w:szCs w:val="20"/>
      <w:vertAlign w:val="subscript"/>
      <w:lang w:val="ro-RO"/>
    </w:rPr>
  </w:style>
  <w:style w:type="paragraph" w:styleId="Textbloc">
    <w:name w:val="Block Text"/>
    <w:basedOn w:val="Normal"/>
    <w:uiPriority w:val="99"/>
    <w:rsid w:val="00330F8C"/>
    <w:pPr>
      <w:ind w:left="180" w:right="-655"/>
    </w:pPr>
    <w:rPr>
      <w:rFonts w:ascii="Arial" w:eastAsia="Times New Roman" w:hAnsi="Arial"/>
      <w:sz w:val="20"/>
      <w:szCs w:val="20"/>
      <w:lang w:val="ro-RO"/>
    </w:rPr>
  </w:style>
  <w:style w:type="paragraph" w:styleId="Revizuire">
    <w:name w:val="Revision"/>
    <w:hidden/>
    <w:uiPriority w:val="99"/>
    <w:semiHidden/>
    <w:rsid w:val="00330F8C"/>
    <w:rPr>
      <w:lang w:val="en-US" w:eastAsia="en-US"/>
    </w:rPr>
  </w:style>
  <w:style w:type="paragraph" w:styleId="Subtitlu">
    <w:name w:val="Subtitle"/>
    <w:basedOn w:val="Normal"/>
    <w:next w:val="Normal"/>
    <w:link w:val="SubtitluCaracter"/>
    <w:qFormat/>
    <w:rsid w:val="00330F8C"/>
    <w:pPr>
      <w:numPr>
        <w:ilvl w:val="1"/>
      </w:numPr>
      <w:spacing w:after="200" w:line="276" w:lineRule="auto"/>
    </w:pPr>
    <w:rPr>
      <w:rFonts w:ascii="Cambria" w:eastAsia="Times New Roman" w:hAnsi="Cambria"/>
      <w:i/>
      <w:iCs/>
      <w:color w:val="4F81BD"/>
      <w:spacing w:val="15"/>
      <w:lang w:val="ro-RO"/>
    </w:rPr>
  </w:style>
  <w:style w:type="character" w:customStyle="1" w:styleId="SubtitluCaracter">
    <w:name w:val="Subtitlu Caracter"/>
    <w:basedOn w:val="Fontdeparagrafimplicit"/>
    <w:link w:val="Subtitlu"/>
    <w:uiPriority w:val="99"/>
    <w:rsid w:val="00330F8C"/>
    <w:rPr>
      <w:rFonts w:ascii="Cambria" w:hAnsi="Cambria"/>
      <w:i/>
      <w:iCs/>
      <w:color w:val="4F81BD"/>
      <w:spacing w:val="15"/>
      <w:sz w:val="24"/>
      <w:szCs w:val="24"/>
      <w:lang w:eastAsia="en-US"/>
    </w:rPr>
  </w:style>
  <w:style w:type="character" w:customStyle="1" w:styleId="CaracterCaracter21">
    <w:name w:val="Caracter Caracter21"/>
    <w:basedOn w:val="Fontdeparagrafimplicit"/>
    <w:uiPriority w:val="99"/>
    <w:rsid w:val="00330F8C"/>
    <w:rPr>
      <w:rFonts w:cs="Times New Roman"/>
      <w:lang w:val="en-GB" w:eastAsia="en-US" w:bidi="ar-SA"/>
    </w:rPr>
  </w:style>
  <w:style w:type="paragraph" w:customStyle="1" w:styleId="Listparagraf1">
    <w:name w:val="Listă paragraf1"/>
    <w:basedOn w:val="Normal"/>
    <w:uiPriority w:val="99"/>
    <w:rsid w:val="00330F8C"/>
    <w:pPr>
      <w:spacing w:after="200" w:line="276" w:lineRule="auto"/>
      <w:ind w:left="720"/>
      <w:contextualSpacing/>
    </w:pPr>
    <w:rPr>
      <w:rFonts w:ascii="Calibri" w:eastAsia="Calibri" w:hAnsi="Calibri"/>
      <w:sz w:val="22"/>
      <w:szCs w:val="22"/>
      <w:lang w:val="ro-RO"/>
    </w:rPr>
  </w:style>
  <w:style w:type="paragraph" w:customStyle="1" w:styleId="bul1">
    <w:name w:val="bul1"/>
    <w:basedOn w:val="Normal"/>
    <w:rsid w:val="00897C52"/>
    <w:pPr>
      <w:numPr>
        <w:ilvl w:val="1"/>
        <w:numId w:val="33"/>
      </w:numPr>
      <w:tabs>
        <w:tab w:val="clear" w:pos="1440"/>
        <w:tab w:val="left" w:pos="567"/>
        <w:tab w:val="num" w:pos="680"/>
      </w:tabs>
      <w:spacing w:after="60"/>
      <w:ind w:left="680" w:hanging="396"/>
      <w:jc w:val="both"/>
    </w:pPr>
    <w:rPr>
      <w:rFonts w:ascii="Arial" w:eastAsia="Times New Roman" w:hAnsi="Arial"/>
      <w:sz w:val="19"/>
      <w:lang w:val="en-US"/>
    </w:rPr>
  </w:style>
  <w:style w:type="paragraph" w:customStyle="1" w:styleId="CharCaracterCharCharCharCaracter">
    <w:name w:val="Char Caracter Char Char Char Caracter"/>
    <w:basedOn w:val="Normal"/>
    <w:rsid w:val="00897C52"/>
    <w:rPr>
      <w:rFonts w:eastAsia="Times New Roman"/>
      <w:lang w:val="pl-PL" w:eastAsia="pl-PL"/>
    </w:rPr>
  </w:style>
  <w:style w:type="paragraph" w:customStyle="1" w:styleId="CharCharCaracterCaracterCharCharCaracterCharCharCaracter">
    <w:name w:val="Char Char Caracter Caracter Char Char Caracter Char Char Caracter"/>
    <w:basedOn w:val="Normal"/>
    <w:rsid w:val="00831D54"/>
    <w:rPr>
      <w:rFonts w:eastAsia="Times New Roman"/>
      <w:lang w:val="pl-PL" w:eastAsia="pl-PL"/>
    </w:rPr>
  </w:style>
  <w:style w:type="character" w:customStyle="1" w:styleId="i41">
    <w:name w:val="i41"/>
    <w:basedOn w:val="Fontdeparagrafimplicit"/>
    <w:rsid w:val="00764523"/>
    <w:rPr>
      <w:rFonts w:ascii="Arial" w:hAnsi="Arial" w:cs="Arial" w:hint="default"/>
      <w:strike w:val="0"/>
      <w:dstrike w:val="0"/>
      <w:color w:val="333399"/>
      <w:sz w:val="17"/>
      <w:szCs w:val="17"/>
      <w:u w:val="none"/>
      <w:effect w:val="none"/>
    </w:rPr>
  </w:style>
  <w:style w:type="paragraph" w:customStyle="1" w:styleId="BodyText21">
    <w:name w:val="Body Text 21"/>
    <w:basedOn w:val="Normal"/>
    <w:rsid w:val="001E1E89"/>
    <w:pPr>
      <w:widowControl w:val="0"/>
      <w:jc w:val="both"/>
    </w:pPr>
    <w:rPr>
      <w:rFonts w:eastAsia="Times New Roman"/>
      <w:lang w:val="en-US"/>
    </w:rPr>
  </w:style>
  <w:style w:type="character" w:customStyle="1" w:styleId="Titlu6Caracter">
    <w:name w:val="Titlu 6 Caracter"/>
    <w:basedOn w:val="Fontdeparagrafimplicit"/>
    <w:link w:val="Titlu6"/>
    <w:rsid w:val="00582399"/>
    <w:rPr>
      <w:rFonts w:ascii="Arial" w:hAnsi="Arial" w:cs="Arial"/>
      <w:b/>
      <w:bCs/>
      <w:i/>
      <w:iCs/>
      <w:sz w:val="24"/>
      <w:szCs w:val="24"/>
    </w:rPr>
  </w:style>
  <w:style w:type="character" w:customStyle="1" w:styleId="Titlu9Caracter">
    <w:name w:val="Titlu 9 Caracter"/>
    <w:basedOn w:val="Fontdeparagrafimplicit"/>
    <w:link w:val="Titlu9"/>
    <w:rsid w:val="00582399"/>
    <w:rPr>
      <w:rFonts w:ascii="Arial" w:hAnsi="Arial" w:cs="Arial"/>
      <w:b/>
      <w:bCs/>
      <w:i/>
      <w:iCs/>
      <w:color w:val="000000"/>
      <w:spacing w:val="-3"/>
      <w:sz w:val="24"/>
      <w:szCs w:val="24"/>
      <w:shd w:val="clear" w:color="auto" w:fill="FFFFFF"/>
      <w:lang w:eastAsia="en-US"/>
    </w:rPr>
  </w:style>
  <w:style w:type="paragraph" w:customStyle="1" w:styleId="CharCharCaracterCaracterCharCharCharCharCaracterCaracterCharCharCharCharCaracterCaracterCharChar">
    <w:name w:val="Char Char Caracter Caracter Char Char Char Char Caracter Caracter Char Char Char Char Caracter Caracter Char Char"/>
    <w:basedOn w:val="Normal"/>
    <w:rsid w:val="00582399"/>
    <w:rPr>
      <w:rFonts w:eastAsia="Times New Roman"/>
      <w:lang w:val="pl-PL" w:eastAsia="pl-PL"/>
    </w:rPr>
  </w:style>
  <w:style w:type="character" w:customStyle="1" w:styleId="cap">
    <w:name w:val="cap"/>
    <w:rsid w:val="00582399"/>
    <w:rPr>
      <w:b/>
      <w:sz w:val="32"/>
    </w:rPr>
  </w:style>
  <w:style w:type="paragraph" w:customStyle="1" w:styleId="bul2">
    <w:name w:val="bul2"/>
    <w:basedOn w:val="Normal"/>
    <w:rsid w:val="00582399"/>
    <w:pPr>
      <w:tabs>
        <w:tab w:val="left" w:pos="851"/>
      </w:tabs>
      <w:spacing w:after="60"/>
      <w:ind w:left="851" w:hanging="284"/>
      <w:jc w:val="both"/>
    </w:pPr>
    <w:rPr>
      <w:rFonts w:ascii="Arial" w:eastAsia="Times New Roman" w:hAnsi="Arial"/>
      <w:sz w:val="19"/>
      <w:lang w:val="en-US"/>
    </w:rPr>
  </w:style>
  <w:style w:type="paragraph" w:customStyle="1" w:styleId="WW-Corptext3">
    <w:name w:val="WW-Corp text 3"/>
    <w:basedOn w:val="Normal"/>
    <w:rsid w:val="00582399"/>
    <w:pPr>
      <w:suppressAutoHyphens/>
      <w:jc w:val="center"/>
    </w:pPr>
    <w:rPr>
      <w:rFonts w:eastAsia="Times New Roman"/>
      <w:b/>
      <w:lang w:val="ro-RO"/>
    </w:rPr>
  </w:style>
  <w:style w:type="paragraph" w:customStyle="1" w:styleId="WW-Corptext2">
    <w:name w:val="WW-Corp text 2"/>
    <w:basedOn w:val="Normal"/>
    <w:rsid w:val="00582399"/>
    <w:pPr>
      <w:suppressAutoHyphens/>
      <w:jc w:val="center"/>
    </w:pPr>
    <w:rPr>
      <w:rFonts w:eastAsia="Times New Roman"/>
      <w:lang w:val="ro-RO"/>
    </w:rPr>
  </w:style>
  <w:style w:type="table" w:styleId="TabelWeb2">
    <w:name w:val="Table Web 2"/>
    <w:basedOn w:val="TabelNormal"/>
    <w:rsid w:val="00582399"/>
    <w:rPr>
      <w:lang w:val="en-US"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WW-NormalWeb">
    <w:name w:val="WW-Normal (Web)"/>
    <w:basedOn w:val="Normal"/>
    <w:rsid w:val="00582399"/>
    <w:pPr>
      <w:suppressAutoHyphens/>
      <w:spacing w:before="280" w:after="280"/>
    </w:pPr>
    <w:rPr>
      <w:rFonts w:ascii="Arial Unicode MS" w:eastAsia="Arial Unicode MS" w:hAnsi="Arial Unicode MS" w:cs="Arial Unicode MS"/>
      <w:lang w:val="ro-RO" w:eastAsia="ar-SA"/>
    </w:rPr>
  </w:style>
  <w:style w:type="paragraph" w:customStyle="1" w:styleId="AAAA">
    <w:name w:val="AAAA"/>
    <w:basedOn w:val="Normal"/>
    <w:rsid w:val="00582399"/>
    <w:pPr>
      <w:widowControl w:val="0"/>
      <w:numPr>
        <w:ilvl w:val="12"/>
      </w:numPr>
      <w:spacing w:before="240" w:line="276" w:lineRule="auto"/>
      <w:ind w:left="1080"/>
      <w:jc w:val="both"/>
    </w:pPr>
    <w:rPr>
      <w:rFonts w:ascii="Arial" w:eastAsia="Times New Roman" w:hAnsi="Arial" w:cs="Arial"/>
      <w:sz w:val="23"/>
      <w:szCs w:val="28"/>
      <w:lang w:val="ro-RO"/>
    </w:rPr>
  </w:style>
  <w:style w:type="paragraph" w:customStyle="1" w:styleId="Titlu51">
    <w:name w:val="Titlu 51"/>
    <w:basedOn w:val="Normal"/>
    <w:rsid w:val="00582399"/>
    <w:pPr>
      <w:tabs>
        <w:tab w:val="num" w:pos="1008"/>
      </w:tabs>
      <w:ind w:left="1008" w:hanging="1008"/>
    </w:pPr>
    <w:rPr>
      <w:rFonts w:eastAsia="Times New Roman"/>
      <w:lang w:val="ro-RO" w:eastAsia="ro-RO"/>
    </w:rPr>
  </w:style>
  <w:style w:type="paragraph" w:customStyle="1" w:styleId="Antet1">
    <w:name w:val="Antet1"/>
    <w:basedOn w:val="Normal"/>
    <w:next w:val="Normal"/>
    <w:rsid w:val="00582399"/>
    <w:pPr>
      <w:autoSpaceDE w:val="0"/>
      <w:autoSpaceDN w:val="0"/>
      <w:adjustRightInd w:val="0"/>
    </w:pPr>
    <w:rPr>
      <w:rFonts w:ascii="Arial" w:eastAsia="Times New Roman" w:hAnsi="Arial"/>
      <w:lang w:val="ro-RO" w:eastAsia="ro-RO"/>
    </w:rPr>
  </w:style>
  <w:style w:type="paragraph" w:customStyle="1" w:styleId="AutoCorecie">
    <w:name w:val="AutoCorecţie"/>
    <w:rsid w:val="00582399"/>
    <w:rPr>
      <w:sz w:val="24"/>
      <w:szCs w:val="24"/>
    </w:rPr>
  </w:style>
  <w:style w:type="character" w:customStyle="1" w:styleId="ln2paragraf1">
    <w:name w:val="ln2paragraf1"/>
    <w:rsid w:val="00582399"/>
    <w:rPr>
      <w:b/>
      <w:bCs/>
    </w:rPr>
  </w:style>
  <w:style w:type="character" w:customStyle="1" w:styleId="ln2tparagraf">
    <w:name w:val="ln2tparagraf"/>
    <w:basedOn w:val="Fontdeparagrafimplicit"/>
    <w:rsid w:val="00582399"/>
  </w:style>
  <w:style w:type="character" w:customStyle="1" w:styleId="ln2tpunct">
    <w:name w:val="ln2tpunct"/>
    <w:basedOn w:val="Fontdeparagrafimplicit"/>
    <w:rsid w:val="00582399"/>
  </w:style>
  <w:style w:type="character" w:customStyle="1" w:styleId="ln2punct1">
    <w:name w:val="ln2punct1"/>
    <w:rsid w:val="00582399"/>
    <w:rPr>
      <w:b/>
      <w:bCs/>
      <w:color w:val="008F00"/>
    </w:rPr>
  </w:style>
  <w:style w:type="paragraph" w:customStyle="1" w:styleId="CaracterCaracter1CharCharCaracterCaracterCharChar">
    <w:name w:val="Caracter Caracter1 Char Char Caracter Caracter Char Char"/>
    <w:basedOn w:val="Normal"/>
    <w:rsid w:val="00582399"/>
    <w:rPr>
      <w:rFonts w:eastAsia="Times New Roman"/>
      <w:lang w:val="pl-PL" w:eastAsia="pl-PL"/>
    </w:rPr>
  </w:style>
  <w:style w:type="paragraph" w:customStyle="1" w:styleId="CaracterCaracter1CharCharCaracterCaracter">
    <w:name w:val="Caracter Caracter1 Char Char Caracter Caracter"/>
    <w:basedOn w:val="Normal"/>
    <w:rsid w:val="00582399"/>
    <w:rPr>
      <w:rFonts w:eastAsia="Times New Roman"/>
      <w:lang w:val="pl-PL" w:eastAsia="pl-PL"/>
    </w:rPr>
  </w:style>
  <w:style w:type="paragraph" w:customStyle="1" w:styleId="CaracterCaracter">
    <w:name w:val="Caracter Caracter"/>
    <w:basedOn w:val="Normal"/>
    <w:rsid w:val="00582399"/>
    <w:rPr>
      <w:rFonts w:eastAsia="Times New Roman"/>
      <w:lang w:val="pl-PL" w:eastAsia="pl-PL"/>
    </w:rPr>
  </w:style>
  <w:style w:type="paragraph" w:customStyle="1" w:styleId="CaracterCaracterCharCharCaracterCaracter">
    <w:name w:val="Caracter Caracter Char Char Caracter Caracter"/>
    <w:basedOn w:val="Normal"/>
    <w:rsid w:val="00582399"/>
    <w:rPr>
      <w:rFonts w:eastAsia="Times New Roman"/>
      <w:lang w:val="pl-PL" w:eastAsia="pl-PL"/>
    </w:rPr>
  </w:style>
  <w:style w:type="paragraph" w:customStyle="1" w:styleId="CaracterCaracter1">
    <w:name w:val="Caracter Caracter1"/>
    <w:basedOn w:val="Normal"/>
    <w:rsid w:val="00582399"/>
    <w:rPr>
      <w:rFonts w:eastAsia="Times New Roman"/>
      <w:lang w:val="pl-PL" w:eastAsia="pl-PL"/>
    </w:rPr>
  </w:style>
  <w:style w:type="paragraph" w:customStyle="1" w:styleId="CaracterCharCharCaracter">
    <w:name w:val="Caracter Char Char Caracter"/>
    <w:basedOn w:val="Normal"/>
    <w:rsid w:val="00582399"/>
    <w:rPr>
      <w:rFonts w:eastAsia="Times New Roman"/>
      <w:lang w:val="pl-PL" w:eastAsia="pl-PL"/>
    </w:rPr>
  </w:style>
  <w:style w:type="table" w:styleId="Temtabel">
    <w:name w:val="Table Theme"/>
    <w:basedOn w:val="TabelNormal"/>
    <w:rsid w:val="00582399"/>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582399"/>
    <w:rPr>
      <w:rFonts w:eastAsia="Times New Roman"/>
      <w:lang w:val="pl-PL" w:eastAsia="pl-PL"/>
    </w:rPr>
  </w:style>
  <w:style w:type="paragraph" w:customStyle="1" w:styleId="CharCharCharCharCaracterCaracterCharCharCaracterCaracterCharCharCaracterCaracter">
    <w:name w:val="Char Char Char Char Caracter Caracter Char Char Caracter Caracter Char Char Caracter Caracter"/>
    <w:basedOn w:val="Normal"/>
    <w:rsid w:val="00582399"/>
    <w:rPr>
      <w:rFonts w:eastAsia="Times New Roman"/>
      <w:lang w:val="pl-PL" w:eastAsia="pl-PL"/>
    </w:rPr>
  </w:style>
  <w:style w:type="character" w:customStyle="1" w:styleId="tli1">
    <w:name w:val="tli1"/>
    <w:basedOn w:val="Fontdeparagrafimplicit"/>
    <w:rsid w:val="00582399"/>
  </w:style>
  <w:style w:type="character" w:customStyle="1" w:styleId="do1">
    <w:name w:val="do1"/>
    <w:rsid w:val="00582399"/>
    <w:rPr>
      <w:b/>
      <w:bCs/>
      <w:sz w:val="26"/>
      <w:szCs w:val="26"/>
    </w:rPr>
  </w:style>
  <w:style w:type="paragraph" w:customStyle="1" w:styleId="CharCaracterCaracterCharCaracterCaracterCharChar">
    <w:name w:val="Char Caracter Caracter Char Caracter Caracter Char Char"/>
    <w:basedOn w:val="Normal"/>
    <w:rsid w:val="00582399"/>
    <w:rPr>
      <w:rFonts w:eastAsia="Times New Roman"/>
      <w:lang w:val="pl-PL" w:eastAsia="pl-PL"/>
    </w:rPr>
  </w:style>
  <w:style w:type="paragraph" w:customStyle="1" w:styleId="CaracterCaracter1CharCharCaracterCaracterCharCharCaracterCaracter">
    <w:name w:val="Caracter Caracter1 Char Char Caracter Caracter Char Char Caracter Caracter"/>
    <w:basedOn w:val="Normal"/>
    <w:rsid w:val="00582399"/>
    <w:rPr>
      <w:rFonts w:eastAsia="Times New Roman"/>
      <w:lang w:val="pl-PL" w:eastAsia="pl-PL"/>
    </w:rPr>
  </w:style>
  <w:style w:type="character" w:customStyle="1" w:styleId="txtoug1">
    <w:name w:val="txtoug1"/>
    <w:rsid w:val="00582399"/>
    <w:rPr>
      <w:rFonts w:ascii="Arial" w:hAnsi="Arial" w:cs="Arial" w:hint="default"/>
      <w:i/>
      <w:iCs/>
      <w:color w:val="0000FF"/>
      <w:sz w:val="18"/>
      <w:szCs w:val="18"/>
    </w:rPr>
  </w:style>
  <w:style w:type="paragraph" w:customStyle="1" w:styleId="CaracterCaracter1CharCharCaracterCharCharCaracterCaracter">
    <w:name w:val="Caracter Caracter1 Char Char Caracter Char Char Caracter Caracter"/>
    <w:basedOn w:val="Normal"/>
    <w:rsid w:val="00582399"/>
    <w:rPr>
      <w:rFonts w:eastAsia="Times New Roman"/>
      <w:lang w:val="pl-PL" w:eastAsia="pl-PL"/>
    </w:rPr>
  </w:style>
  <w:style w:type="paragraph" w:customStyle="1" w:styleId="CharCharCharCharCharCharCharCharCharCharCharCharCharCharCharCharCharChar">
    <w:name w:val="Char Char Char Char Char Char Char Char Char Char Char Char Char Char Char Char Char Char"/>
    <w:basedOn w:val="Normal"/>
    <w:rsid w:val="00582399"/>
    <w:rPr>
      <w:rFonts w:eastAsia="Times New Roman"/>
      <w:lang w:val="pl-PL" w:eastAsia="pl-PL"/>
    </w:rPr>
  </w:style>
  <w:style w:type="paragraph" w:customStyle="1" w:styleId="CaracterCharCharCaracterCaracter">
    <w:name w:val="Caracter Char Char Caracter Caracter"/>
    <w:basedOn w:val="Normal"/>
    <w:rsid w:val="00582399"/>
    <w:rPr>
      <w:rFonts w:eastAsia="Times New Roman"/>
      <w:lang w:val="pl-PL" w:eastAsia="pl-PL"/>
    </w:rPr>
  </w:style>
  <w:style w:type="paragraph" w:customStyle="1" w:styleId="CharChar">
    <w:name w:val="Char Char"/>
    <w:basedOn w:val="Normal"/>
    <w:rsid w:val="00582399"/>
    <w:rPr>
      <w:rFonts w:eastAsia="Times New Roman"/>
      <w:lang w:val="pl-PL" w:eastAsia="pl-PL"/>
    </w:rPr>
  </w:style>
  <w:style w:type="character" w:customStyle="1" w:styleId="tpa1">
    <w:name w:val="tpa1"/>
    <w:basedOn w:val="Fontdeparagrafimplicit"/>
    <w:rsid w:val="00582399"/>
  </w:style>
  <w:style w:type="character" w:customStyle="1" w:styleId="pt1">
    <w:name w:val="pt1"/>
    <w:rsid w:val="00582399"/>
    <w:rPr>
      <w:b/>
      <w:bCs/>
      <w:color w:val="8F0000"/>
    </w:rPr>
  </w:style>
  <w:style w:type="character" w:customStyle="1" w:styleId="tpt1">
    <w:name w:val="tpt1"/>
    <w:basedOn w:val="Fontdeparagrafimplicit"/>
    <w:rsid w:val="00582399"/>
  </w:style>
  <w:style w:type="paragraph" w:customStyle="1" w:styleId="CharChar1CaracterCaracter">
    <w:name w:val="Char Char1 Caracter Caracter"/>
    <w:basedOn w:val="Normal"/>
    <w:rsid w:val="00582399"/>
    <w:rPr>
      <w:rFonts w:eastAsia="Times New Roman"/>
      <w:lang w:val="pl-PL" w:eastAsia="pl-PL"/>
    </w:rPr>
  </w:style>
  <w:style w:type="paragraph" w:customStyle="1" w:styleId="CaracterCaracterCharCharCaracterCaracterCharCharCaracterCaracter">
    <w:name w:val="Caracter Caracter Char Char Caracter Caracter Char Char Caracter Caracter"/>
    <w:basedOn w:val="Normal"/>
    <w:rsid w:val="00582399"/>
    <w:rPr>
      <w:rFonts w:eastAsia="Times New Roman"/>
      <w:lang w:val="pl-PL" w:eastAsia="pl-PL"/>
    </w:rPr>
  </w:style>
  <w:style w:type="paragraph" w:customStyle="1" w:styleId="CharCharCaracterCaracter">
    <w:name w:val="Char Char Caracter Caracter"/>
    <w:basedOn w:val="Normal"/>
    <w:rsid w:val="00582399"/>
    <w:rPr>
      <w:rFonts w:eastAsia="Times New Roman"/>
      <w:lang w:val="pl-PL" w:eastAsia="pl-PL"/>
    </w:rPr>
  </w:style>
  <w:style w:type="character" w:customStyle="1" w:styleId="text1">
    <w:name w:val="text1"/>
    <w:rsid w:val="00582399"/>
    <w:rPr>
      <w:rFonts w:ascii="Verdana" w:hAnsi="Verdana" w:hint="default"/>
      <w:sz w:val="18"/>
      <w:szCs w:val="18"/>
    </w:rPr>
  </w:style>
  <w:style w:type="paragraph" w:customStyle="1" w:styleId="CaracterCaracterCharCharCaracterCaracterCharCharCaracterCaracterCharCharCaracterCaracter">
    <w:name w:val="Caracter Caracter Char Char Caracter Caracter Char Char Caracter Caracter Char Char Caracter Caracter"/>
    <w:basedOn w:val="Normal"/>
    <w:rsid w:val="00582399"/>
    <w:rPr>
      <w:rFonts w:eastAsia="Times New Roman"/>
      <w:lang w:val="pl-PL" w:eastAsia="pl-PL"/>
    </w:rPr>
  </w:style>
  <w:style w:type="paragraph" w:customStyle="1" w:styleId="CaracterCaracter1CharCharCaracterCaracterCharCharCaracterCaracterCharCharCaracterCaracter">
    <w:name w:val="Caracter Caracter1 Char Char Caracter Caracter Char Char Caracter Caracter Char Char Caracter Caracter"/>
    <w:basedOn w:val="Normal"/>
    <w:rsid w:val="00582399"/>
    <w:rPr>
      <w:rFonts w:eastAsia="Times New Roman"/>
      <w:lang w:val="pl-PL" w:eastAsia="pl-PL"/>
    </w:rPr>
  </w:style>
  <w:style w:type="character" w:customStyle="1" w:styleId="tal1">
    <w:name w:val="tal1"/>
    <w:basedOn w:val="Fontdeparagrafimplicit"/>
    <w:rsid w:val="00582399"/>
  </w:style>
  <w:style w:type="table" w:styleId="TabelWeb3">
    <w:name w:val="Table Web 3"/>
    <w:basedOn w:val="TabelNormal"/>
    <w:rsid w:val="00582399"/>
    <w:rPr>
      <w:lang w:val="en-US"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xl36">
    <w:name w:val="xl36"/>
    <w:basedOn w:val="Normal"/>
    <w:rsid w:val="00582399"/>
    <w:pPr>
      <w:pBdr>
        <w:right w:val="single" w:sz="4" w:space="0" w:color="auto"/>
      </w:pBdr>
      <w:spacing w:before="100" w:beforeAutospacing="1" w:after="100" w:afterAutospacing="1"/>
      <w:jc w:val="center"/>
    </w:pPr>
    <w:rPr>
      <w:rFonts w:eastAsia="Times New Roman"/>
      <w:b/>
      <w:bCs/>
      <w:lang w:val="en-US"/>
    </w:rPr>
  </w:style>
  <w:style w:type="paragraph" w:customStyle="1" w:styleId="Char1">
    <w:name w:val="Char1"/>
    <w:basedOn w:val="Normal"/>
    <w:rsid w:val="00582399"/>
    <w:rPr>
      <w:rFonts w:eastAsia="Times New Roman"/>
      <w:lang w:val="pl-PL" w:eastAsia="pl-PL"/>
    </w:rPr>
  </w:style>
  <w:style w:type="paragraph" w:customStyle="1" w:styleId="CaracterCaracterCharCharCaracterCaracterCaracterCaracterCharChar">
    <w:name w:val="Caracter Caracter Char Char Caracter Caracter Caracter Caracter Char Char"/>
    <w:basedOn w:val="Normal"/>
    <w:rsid w:val="00582399"/>
    <w:rPr>
      <w:rFonts w:eastAsia="Times New Roman"/>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lock Text" w:uiPriority="99"/>
    <w:lsdException w:name="Followed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401A"/>
    <w:rPr>
      <w:rFonts w:eastAsia="SimSun"/>
      <w:sz w:val="24"/>
      <w:szCs w:val="24"/>
      <w:lang w:val="en-GB" w:eastAsia="en-US"/>
    </w:rPr>
  </w:style>
  <w:style w:type="paragraph" w:styleId="Titlu1">
    <w:name w:val="heading 1"/>
    <w:basedOn w:val="Normal"/>
    <w:next w:val="Normal"/>
    <w:link w:val="Titlu1Caracter"/>
    <w:qFormat/>
    <w:rsid w:val="00434A63"/>
    <w:pPr>
      <w:keepNext/>
      <w:spacing w:before="240" w:after="60"/>
      <w:outlineLvl w:val="0"/>
    </w:pPr>
    <w:rPr>
      <w:rFonts w:ascii="Arial" w:hAnsi="Arial" w:cs="Arial"/>
      <w:b/>
      <w:bCs/>
      <w:kern w:val="32"/>
      <w:sz w:val="32"/>
      <w:szCs w:val="32"/>
    </w:rPr>
  </w:style>
  <w:style w:type="paragraph" w:styleId="Titlu2">
    <w:name w:val="heading 2"/>
    <w:aliases w:val="a Titlu 2"/>
    <w:basedOn w:val="Normal"/>
    <w:next w:val="Normal"/>
    <w:link w:val="Titlu2Caracter"/>
    <w:qFormat/>
    <w:rsid w:val="00330F8C"/>
    <w:pPr>
      <w:keepNext/>
      <w:spacing w:before="240" w:after="60"/>
      <w:outlineLvl w:val="1"/>
    </w:pPr>
    <w:rPr>
      <w:rFonts w:ascii="Arial" w:eastAsia="Times New Roman" w:hAnsi="Arial" w:cs="Arial"/>
      <w:b/>
      <w:bCs/>
      <w:i/>
      <w:iCs/>
      <w:sz w:val="28"/>
      <w:szCs w:val="28"/>
      <w:lang w:val="en-US"/>
    </w:rPr>
  </w:style>
  <w:style w:type="paragraph" w:styleId="Titlu3">
    <w:name w:val="heading 3"/>
    <w:basedOn w:val="Normal"/>
    <w:next w:val="Normal"/>
    <w:link w:val="Titlu3Caracter"/>
    <w:qFormat/>
    <w:rsid w:val="00330F8C"/>
    <w:pPr>
      <w:keepNext/>
      <w:ind w:firstLine="851"/>
      <w:jc w:val="both"/>
      <w:outlineLvl w:val="2"/>
    </w:pPr>
    <w:rPr>
      <w:rFonts w:eastAsia="Times New Roman"/>
      <w:b/>
      <w:color w:val="0000FF"/>
      <w:sz w:val="28"/>
      <w:szCs w:val="20"/>
      <w:lang w:val="ro-RO"/>
    </w:rPr>
  </w:style>
  <w:style w:type="paragraph" w:styleId="Titlu4">
    <w:name w:val="heading 4"/>
    <w:basedOn w:val="Normal"/>
    <w:next w:val="Normal"/>
    <w:link w:val="Titlu4Caracter"/>
    <w:qFormat/>
    <w:rsid w:val="00330F8C"/>
    <w:pPr>
      <w:keepNext/>
      <w:spacing w:before="240" w:after="60"/>
      <w:outlineLvl w:val="3"/>
    </w:pPr>
    <w:rPr>
      <w:rFonts w:eastAsia="Times New Roman"/>
      <w:b/>
      <w:bCs/>
      <w:sz w:val="28"/>
      <w:szCs w:val="28"/>
      <w:lang w:val="en-US"/>
    </w:rPr>
  </w:style>
  <w:style w:type="paragraph" w:styleId="Titlu5">
    <w:name w:val="heading 5"/>
    <w:basedOn w:val="Normal"/>
    <w:next w:val="Normal"/>
    <w:link w:val="Titlu5Caracter"/>
    <w:qFormat/>
    <w:rsid w:val="00330F8C"/>
    <w:pPr>
      <w:spacing w:before="240" w:after="60"/>
      <w:outlineLvl w:val="4"/>
    </w:pPr>
    <w:rPr>
      <w:rFonts w:eastAsia="Times New Roman"/>
      <w:b/>
      <w:bCs/>
      <w:i/>
      <w:iCs/>
      <w:sz w:val="26"/>
      <w:szCs w:val="26"/>
      <w:lang w:val="en-US"/>
    </w:rPr>
  </w:style>
  <w:style w:type="paragraph" w:styleId="Titlu6">
    <w:name w:val="heading 6"/>
    <w:basedOn w:val="Normal"/>
    <w:next w:val="Normal"/>
    <w:link w:val="Titlu6Caracter"/>
    <w:qFormat/>
    <w:rsid w:val="00582399"/>
    <w:pPr>
      <w:keepNext/>
      <w:ind w:firstLine="708"/>
      <w:jc w:val="both"/>
      <w:outlineLvl w:val="5"/>
    </w:pPr>
    <w:rPr>
      <w:rFonts w:ascii="Arial" w:eastAsia="Times New Roman" w:hAnsi="Arial" w:cs="Arial"/>
      <w:b/>
      <w:bCs/>
      <w:i/>
      <w:iCs/>
      <w:lang w:val="ro-RO" w:eastAsia="ro-RO"/>
    </w:rPr>
  </w:style>
  <w:style w:type="paragraph" w:styleId="Titlu7">
    <w:name w:val="heading 7"/>
    <w:basedOn w:val="Normal"/>
    <w:next w:val="Normal"/>
    <w:link w:val="Titlu7Caracter"/>
    <w:unhideWhenUsed/>
    <w:qFormat/>
    <w:rsid w:val="00605F65"/>
    <w:pPr>
      <w:keepNext/>
      <w:keepLines/>
      <w:spacing w:before="200"/>
      <w:outlineLvl w:val="6"/>
    </w:pPr>
    <w:rPr>
      <w:rFonts w:asciiTheme="majorHAnsi" w:eastAsiaTheme="majorEastAsia" w:hAnsiTheme="majorHAnsi" w:cstheme="majorBidi"/>
      <w:i/>
      <w:iCs/>
      <w:color w:val="404040" w:themeColor="text1" w:themeTint="BF"/>
    </w:rPr>
  </w:style>
  <w:style w:type="paragraph" w:styleId="Titlu8">
    <w:name w:val="heading 8"/>
    <w:basedOn w:val="Normal"/>
    <w:next w:val="Normal"/>
    <w:link w:val="Titlu8Caracter"/>
    <w:unhideWhenUsed/>
    <w:qFormat/>
    <w:rsid w:val="00605F6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lu9">
    <w:name w:val="heading 9"/>
    <w:basedOn w:val="Normal"/>
    <w:next w:val="Normal"/>
    <w:link w:val="Titlu9Caracter"/>
    <w:qFormat/>
    <w:rsid w:val="00582399"/>
    <w:pPr>
      <w:keepNext/>
      <w:shd w:val="clear" w:color="auto" w:fill="FFFFFF"/>
      <w:ind w:left="7"/>
      <w:jc w:val="center"/>
      <w:outlineLvl w:val="8"/>
    </w:pPr>
    <w:rPr>
      <w:rFonts w:ascii="Arial" w:eastAsia="Times New Roman" w:hAnsi="Arial" w:cs="Arial"/>
      <w:b/>
      <w:bCs/>
      <w:i/>
      <w:iCs/>
      <w:color w:val="000000"/>
      <w:spacing w:val="-3"/>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obust">
    <w:name w:val="Strong"/>
    <w:qFormat/>
    <w:rsid w:val="00B6401A"/>
    <w:rPr>
      <w:b/>
      <w:bCs/>
    </w:rPr>
  </w:style>
  <w:style w:type="paragraph" w:styleId="Antet">
    <w:name w:val="header"/>
    <w:basedOn w:val="Normal"/>
    <w:link w:val="AntetCaracter"/>
    <w:unhideWhenUsed/>
    <w:rsid w:val="00585274"/>
    <w:pPr>
      <w:tabs>
        <w:tab w:val="center" w:pos="4680"/>
        <w:tab w:val="right" w:pos="9360"/>
      </w:tabs>
    </w:pPr>
    <w:rPr>
      <w:rFonts w:ascii="Calibri" w:eastAsia="Calibri" w:hAnsi="Calibri"/>
      <w:sz w:val="22"/>
      <w:szCs w:val="22"/>
      <w:lang w:val="en-US"/>
    </w:rPr>
  </w:style>
  <w:style w:type="character" w:customStyle="1" w:styleId="AntetCaracter">
    <w:name w:val="Antet Caracter"/>
    <w:link w:val="Antet"/>
    <w:uiPriority w:val="99"/>
    <w:rsid w:val="00585274"/>
    <w:rPr>
      <w:rFonts w:ascii="Calibri" w:eastAsia="Calibri" w:hAnsi="Calibri"/>
      <w:sz w:val="22"/>
      <w:szCs w:val="22"/>
      <w:lang w:val="en-US" w:eastAsia="en-US" w:bidi="ar-SA"/>
    </w:rPr>
  </w:style>
  <w:style w:type="character" w:customStyle="1" w:styleId="Titlu1Caracter">
    <w:name w:val="Titlu 1 Caracter"/>
    <w:link w:val="Titlu1"/>
    <w:uiPriority w:val="99"/>
    <w:rsid w:val="00434A63"/>
    <w:rPr>
      <w:rFonts w:ascii="Arial" w:eastAsia="SimSun" w:hAnsi="Arial" w:cs="Arial"/>
      <w:b/>
      <w:bCs/>
      <w:kern w:val="32"/>
      <w:sz w:val="32"/>
      <w:szCs w:val="32"/>
      <w:lang w:val="en-GB" w:eastAsia="en-US" w:bidi="ar-SA"/>
    </w:rPr>
  </w:style>
  <w:style w:type="paragraph" w:styleId="Listparagraf">
    <w:name w:val="List Paragraph"/>
    <w:basedOn w:val="Normal"/>
    <w:link w:val="ListparagrafCaracter"/>
    <w:uiPriority w:val="34"/>
    <w:qFormat/>
    <w:rsid w:val="00434A63"/>
    <w:pPr>
      <w:spacing w:after="200" w:line="276" w:lineRule="auto"/>
      <w:ind w:left="720"/>
      <w:contextualSpacing/>
    </w:pPr>
    <w:rPr>
      <w:rFonts w:ascii="Calibri" w:eastAsia="Calibri" w:hAnsi="Calibri"/>
      <w:sz w:val="22"/>
      <w:szCs w:val="22"/>
      <w:lang w:val="ro-RO"/>
    </w:rPr>
  </w:style>
  <w:style w:type="character" w:customStyle="1" w:styleId="ListparagrafCaracter">
    <w:name w:val="Listă paragraf Caracter"/>
    <w:link w:val="Listparagraf"/>
    <w:rsid w:val="00434A63"/>
    <w:rPr>
      <w:rFonts w:ascii="Calibri" w:eastAsia="Calibri" w:hAnsi="Calibri"/>
      <w:sz w:val="22"/>
      <w:szCs w:val="22"/>
      <w:lang w:val="ro-RO" w:eastAsia="en-US" w:bidi="ar-SA"/>
    </w:rPr>
  </w:style>
  <w:style w:type="paragraph" w:styleId="TextnBalon">
    <w:name w:val="Balloon Text"/>
    <w:basedOn w:val="Normal"/>
    <w:link w:val="TextnBalonCaracter"/>
    <w:rsid w:val="00B0120E"/>
    <w:rPr>
      <w:rFonts w:ascii="Tahoma" w:hAnsi="Tahoma" w:cs="Tahoma"/>
      <w:sz w:val="16"/>
      <w:szCs w:val="16"/>
    </w:rPr>
  </w:style>
  <w:style w:type="numbering" w:styleId="111111">
    <w:name w:val="Outline List 2"/>
    <w:basedOn w:val="FrListare"/>
    <w:rsid w:val="007F21AA"/>
    <w:pPr>
      <w:numPr>
        <w:numId w:val="1"/>
      </w:numPr>
    </w:pPr>
  </w:style>
  <w:style w:type="numbering" w:customStyle="1" w:styleId="Listacurent1">
    <w:name w:val="Lista curentă1"/>
    <w:rsid w:val="00FD50F4"/>
    <w:pPr>
      <w:numPr>
        <w:numId w:val="2"/>
      </w:numPr>
    </w:pPr>
  </w:style>
  <w:style w:type="paragraph" w:styleId="Titlucuprins">
    <w:name w:val="TOC Heading"/>
    <w:basedOn w:val="Titlu1"/>
    <w:next w:val="Normal"/>
    <w:uiPriority w:val="39"/>
    <w:semiHidden/>
    <w:unhideWhenUsed/>
    <w:qFormat/>
    <w:rsid w:val="006D7808"/>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ro-RO" w:eastAsia="ro-RO"/>
    </w:rPr>
  </w:style>
  <w:style w:type="paragraph" w:customStyle="1" w:styleId="Paragraf">
    <w:name w:val="Paragraf"/>
    <w:basedOn w:val="Normal"/>
    <w:rsid w:val="00E24F25"/>
    <w:pPr>
      <w:numPr>
        <w:numId w:val="4"/>
      </w:numPr>
      <w:tabs>
        <w:tab w:val="left" w:pos="851"/>
        <w:tab w:val="left" w:pos="1418"/>
      </w:tabs>
      <w:spacing w:before="40" w:after="40"/>
      <w:jc w:val="both"/>
    </w:pPr>
    <w:rPr>
      <w:rFonts w:ascii="Arial" w:eastAsia="Times New Roman" w:hAnsi="Arial"/>
      <w:szCs w:val="20"/>
      <w:lang w:val="ro-RO"/>
    </w:rPr>
  </w:style>
  <w:style w:type="paragraph" w:styleId="Subsol">
    <w:name w:val="footer"/>
    <w:basedOn w:val="Normal"/>
    <w:link w:val="SubsolCaracter"/>
    <w:uiPriority w:val="99"/>
    <w:rsid w:val="003A506A"/>
    <w:pPr>
      <w:tabs>
        <w:tab w:val="center" w:pos="4513"/>
        <w:tab w:val="right" w:pos="9026"/>
      </w:tabs>
    </w:pPr>
  </w:style>
  <w:style w:type="character" w:customStyle="1" w:styleId="SubsolCaracter">
    <w:name w:val="Subsol Caracter"/>
    <w:basedOn w:val="Fontdeparagrafimplicit"/>
    <w:link w:val="Subsol"/>
    <w:uiPriority w:val="99"/>
    <w:rsid w:val="003A506A"/>
    <w:rPr>
      <w:rFonts w:eastAsia="SimSun"/>
      <w:sz w:val="24"/>
      <w:szCs w:val="24"/>
      <w:lang w:val="en-GB" w:eastAsia="en-US"/>
    </w:rPr>
  </w:style>
  <w:style w:type="paragraph" w:styleId="Cuprins1">
    <w:name w:val="toc 1"/>
    <w:basedOn w:val="Normal"/>
    <w:next w:val="Normal"/>
    <w:autoRedefine/>
    <w:rsid w:val="00755794"/>
    <w:pPr>
      <w:spacing w:after="100"/>
    </w:pPr>
  </w:style>
  <w:style w:type="paragraph" w:styleId="Cuprins2">
    <w:name w:val="toc 2"/>
    <w:basedOn w:val="Normal"/>
    <w:next w:val="Normal"/>
    <w:autoRedefine/>
    <w:rsid w:val="00755794"/>
    <w:pPr>
      <w:spacing w:after="100"/>
      <w:ind w:left="240"/>
    </w:pPr>
  </w:style>
  <w:style w:type="paragraph" w:styleId="Cuprins3">
    <w:name w:val="toc 3"/>
    <w:basedOn w:val="Normal"/>
    <w:next w:val="Normal"/>
    <w:autoRedefine/>
    <w:rsid w:val="00755794"/>
    <w:pPr>
      <w:spacing w:after="100"/>
      <w:ind w:left="480"/>
    </w:pPr>
  </w:style>
  <w:style w:type="paragraph" w:styleId="Cuprins4">
    <w:name w:val="toc 4"/>
    <w:basedOn w:val="Normal"/>
    <w:next w:val="Normal"/>
    <w:autoRedefine/>
    <w:rsid w:val="00755794"/>
    <w:pPr>
      <w:spacing w:after="100"/>
      <w:ind w:left="720"/>
    </w:pPr>
  </w:style>
  <w:style w:type="paragraph" w:styleId="Cuprins5">
    <w:name w:val="toc 5"/>
    <w:basedOn w:val="Normal"/>
    <w:next w:val="Normal"/>
    <w:autoRedefine/>
    <w:rsid w:val="00755794"/>
    <w:pPr>
      <w:spacing w:after="100"/>
      <w:ind w:left="960"/>
    </w:pPr>
  </w:style>
  <w:style w:type="paragraph" w:styleId="Cuprins6">
    <w:name w:val="toc 6"/>
    <w:basedOn w:val="Normal"/>
    <w:next w:val="Normal"/>
    <w:autoRedefine/>
    <w:rsid w:val="00755794"/>
    <w:pPr>
      <w:spacing w:after="100"/>
      <w:ind w:left="1200"/>
    </w:pPr>
  </w:style>
  <w:style w:type="paragraph" w:styleId="Cuprins7">
    <w:name w:val="toc 7"/>
    <w:basedOn w:val="Normal"/>
    <w:next w:val="Normal"/>
    <w:autoRedefine/>
    <w:rsid w:val="00755794"/>
    <w:pPr>
      <w:spacing w:after="100"/>
      <w:ind w:left="1440"/>
    </w:pPr>
  </w:style>
  <w:style w:type="paragraph" w:styleId="Corptext2">
    <w:name w:val="Body Text 2"/>
    <w:basedOn w:val="Normal"/>
    <w:link w:val="Corptext2Caracter"/>
    <w:rsid w:val="00695BBF"/>
    <w:pPr>
      <w:jc w:val="both"/>
    </w:pPr>
    <w:rPr>
      <w:rFonts w:eastAsia="Times New Roman"/>
      <w:lang w:val="en-US" w:eastAsia="zh-CN"/>
    </w:rPr>
  </w:style>
  <w:style w:type="character" w:customStyle="1" w:styleId="Corptext2Caracter">
    <w:name w:val="Corp text 2 Caracter"/>
    <w:basedOn w:val="Fontdeparagrafimplicit"/>
    <w:link w:val="Corptext2"/>
    <w:uiPriority w:val="99"/>
    <w:rsid w:val="00695BBF"/>
    <w:rPr>
      <w:sz w:val="24"/>
      <w:szCs w:val="24"/>
      <w:lang w:val="en-US" w:eastAsia="zh-CN"/>
    </w:rPr>
  </w:style>
  <w:style w:type="paragraph" w:styleId="Corptext">
    <w:name w:val="Body Text"/>
    <w:aliases w:val="Body Text Char"/>
    <w:basedOn w:val="Normal"/>
    <w:link w:val="CorptextCaracter"/>
    <w:rsid w:val="00695BBF"/>
    <w:pPr>
      <w:spacing w:after="120"/>
    </w:pPr>
    <w:rPr>
      <w:rFonts w:eastAsia="Times New Roman"/>
      <w:sz w:val="28"/>
      <w:szCs w:val="28"/>
      <w:lang w:val="x-none" w:eastAsia="x-none"/>
    </w:rPr>
  </w:style>
  <w:style w:type="character" w:customStyle="1" w:styleId="CorptextCaracter">
    <w:name w:val="Corp text Caracter"/>
    <w:aliases w:val="Body Text Char Caracter"/>
    <w:basedOn w:val="Fontdeparagrafimplicit"/>
    <w:link w:val="Corptext"/>
    <w:uiPriority w:val="99"/>
    <w:rsid w:val="00695BBF"/>
    <w:rPr>
      <w:sz w:val="28"/>
      <w:szCs w:val="28"/>
      <w:lang w:val="x-none" w:eastAsia="x-none"/>
    </w:rPr>
  </w:style>
  <w:style w:type="character" w:styleId="Hyperlink">
    <w:name w:val="Hyperlink"/>
    <w:rsid w:val="00695BBF"/>
    <w:rPr>
      <w:color w:val="0000FF"/>
      <w:u w:val="single"/>
    </w:rPr>
  </w:style>
  <w:style w:type="character" w:customStyle="1" w:styleId="longtext">
    <w:name w:val="long_text"/>
    <w:basedOn w:val="Fontdeparagrafimplicit"/>
    <w:rsid w:val="00695BBF"/>
  </w:style>
  <w:style w:type="character" w:styleId="Accentuat">
    <w:name w:val="Emphasis"/>
    <w:qFormat/>
    <w:rsid w:val="00695BBF"/>
    <w:rPr>
      <w:i/>
      <w:iCs/>
    </w:rPr>
  </w:style>
  <w:style w:type="paragraph" w:customStyle="1" w:styleId="CaracterCaracterCharCaracterCaracter">
    <w:name w:val="Caracter Caracter Char Caracter Caracter"/>
    <w:basedOn w:val="Normal"/>
    <w:rsid w:val="00695BBF"/>
    <w:rPr>
      <w:rFonts w:eastAsia="Times New Roman"/>
      <w:lang w:val="pl-PL" w:eastAsia="pl-PL"/>
    </w:rPr>
  </w:style>
  <w:style w:type="character" w:styleId="Numrdepagin">
    <w:name w:val="page number"/>
    <w:basedOn w:val="Fontdeparagrafimplicit"/>
    <w:rsid w:val="00695BBF"/>
  </w:style>
  <w:style w:type="paragraph" w:styleId="Indentcorptext">
    <w:name w:val="Body Text Indent"/>
    <w:basedOn w:val="Normal"/>
    <w:link w:val="IndentcorptextCaracter"/>
    <w:rsid w:val="00695BBF"/>
    <w:pPr>
      <w:ind w:firstLine="720"/>
      <w:jc w:val="both"/>
    </w:pPr>
    <w:rPr>
      <w:rFonts w:eastAsia="Times New Roman"/>
      <w:szCs w:val="20"/>
      <w:lang w:val="x-none" w:eastAsia="x-none"/>
    </w:rPr>
  </w:style>
  <w:style w:type="character" w:customStyle="1" w:styleId="IndentcorptextCaracter">
    <w:name w:val="Indent corp text Caracter"/>
    <w:basedOn w:val="Fontdeparagrafimplicit"/>
    <w:link w:val="Indentcorptext"/>
    <w:uiPriority w:val="99"/>
    <w:rsid w:val="00695BBF"/>
    <w:rPr>
      <w:sz w:val="24"/>
      <w:lang w:val="x-none" w:eastAsia="x-none"/>
    </w:rPr>
  </w:style>
  <w:style w:type="paragraph" w:styleId="Textcomentariu">
    <w:name w:val="annotation text"/>
    <w:basedOn w:val="Normal"/>
    <w:link w:val="TextcomentariuCaracter"/>
    <w:rsid w:val="00695BBF"/>
    <w:rPr>
      <w:rFonts w:eastAsia="Times New Roman"/>
      <w:sz w:val="20"/>
      <w:szCs w:val="20"/>
      <w:lang w:val="en-US"/>
    </w:rPr>
  </w:style>
  <w:style w:type="character" w:customStyle="1" w:styleId="TextcomentariuCaracter">
    <w:name w:val="Text comentariu Caracter"/>
    <w:basedOn w:val="Fontdeparagrafimplicit"/>
    <w:link w:val="Textcomentariu"/>
    <w:rsid w:val="00695BBF"/>
    <w:rPr>
      <w:lang w:val="en-US" w:eastAsia="en-US"/>
    </w:rPr>
  </w:style>
  <w:style w:type="character" w:customStyle="1" w:styleId="apple-style-span">
    <w:name w:val="apple-style-span"/>
    <w:basedOn w:val="Fontdeparagrafimplicit"/>
    <w:rsid w:val="00695BBF"/>
  </w:style>
  <w:style w:type="character" w:customStyle="1" w:styleId="apple-converted-space">
    <w:name w:val="apple-converted-space"/>
    <w:basedOn w:val="Fontdeparagrafimplicit"/>
    <w:rsid w:val="00695BBF"/>
  </w:style>
  <w:style w:type="paragraph" w:customStyle="1" w:styleId="CaracterCaracterCaracterCharCharCaracterCharCharCaracterCharCharCaracterCarCarCharCharCaracter">
    <w:name w:val="Caracter Caracter Caracter Char Char Caracter Char Char Caracter Char Char Caracter Car Car Char Char Caracter"/>
    <w:basedOn w:val="Normal"/>
    <w:rsid w:val="00695BBF"/>
    <w:rPr>
      <w:rFonts w:eastAsia="Times New Roman"/>
      <w:lang w:val="pl-PL" w:eastAsia="pl-PL"/>
    </w:rPr>
  </w:style>
  <w:style w:type="paragraph" w:styleId="Indentcorptext2">
    <w:name w:val="Body Text Indent 2"/>
    <w:basedOn w:val="Normal"/>
    <w:link w:val="Indentcorptext2Caracter"/>
    <w:rsid w:val="00695BBF"/>
    <w:pPr>
      <w:spacing w:after="120" w:line="480" w:lineRule="auto"/>
      <w:ind w:left="360"/>
    </w:pPr>
    <w:rPr>
      <w:rFonts w:eastAsia="Times New Roman"/>
      <w:sz w:val="28"/>
      <w:szCs w:val="28"/>
      <w:lang w:val="x-none" w:eastAsia="x-none"/>
    </w:rPr>
  </w:style>
  <w:style w:type="character" w:customStyle="1" w:styleId="Indentcorptext2Caracter">
    <w:name w:val="Indent corp text 2 Caracter"/>
    <w:basedOn w:val="Fontdeparagrafimplicit"/>
    <w:link w:val="Indentcorptext2"/>
    <w:uiPriority w:val="99"/>
    <w:rsid w:val="00695BBF"/>
    <w:rPr>
      <w:sz w:val="28"/>
      <w:szCs w:val="28"/>
      <w:lang w:val="x-none" w:eastAsia="x-none"/>
    </w:rPr>
  </w:style>
  <w:style w:type="character" w:customStyle="1" w:styleId="longtext1">
    <w:name w:val="long_text1"/>
    <w:rsid w:val="00695BBF"/>
    <w:rPr>
      <w:sz w:val="20"/>
      <w:szCs w:val="20"/>
    </w:rPr>
  </w:style>
  <w:style w:type="paragraph" w:customStyle="1" w:styleId="paragraf0">
    <w:name w:val="paragraf"/>
    <w:basedOn w:val="Normal"/>
    <w:rsid w:val="00695BBF"/>
    <w:pPr>
      <w:suppressAutoHyphens/>
      <w:spacing w:before="200" w:after="200" w:line="360" w:lineRule="auto"/>
      <w:ind w:firstLine="567"/>
    </w:pPr>
    <w:rPr>
      <w:rFonts w:ascii="Arial" w:eastAsia="Calibri" w:hAnsi="Arial"/>
      <w:lang w:val="ro-RO" w:bidi="en-US"/>
    </w:rPr>
  </w:style>
  <w:style w:type="table" w:styleId="GrilTabel">
    <w:name w:val="Table Grid"/>
    <w:basedOn w:val="TabelNormal"/>
    <w:rsid w:val="00695BBF"/>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CharChar">
    <w:name w:val="Caracter Caracter Char Char"/>
    <w:basedOn w:val="Normal"/>
    <w:rsid w:val="00695BBF"/>
    <w:rPr>
      <w:rFonts w:eastAsia="Times New Roman"/>
      <w:noProof/>
      <w:lang w:val="pl-PL" w:eastAsia="pl-PL"/>
    </w:rPr>
  </w:style>
  <w:style w:type="character" w:customStyle="1" w:styleId="hps">
    <w:name w:val="hps"/>
    <w:basedOn w:val="Fontdeparagrafimplicit"/>
    <w:rsid w:val="00695BBF"/>
  </w:style>
  <w:style w:type="character" w:customStyle="1" w:styleId="shorttext">
    <w:name w:val="short_text"/>
    <w:basedOn w:val="Fontdeparagrafimplicit"/>
    <w:rsid w:val="00695BBF"/>
  </w:style>
  <w:style w:type="character" w:customStyle="1" w:styleId="hpsatn">
    <w:name w:val="hps atn"/>
    <w:basedOn w:val="Fontdeparagrafimplicit"/>
    <w:rsid w:val="00695BBF"/>
  </w:style>
  <w:style w:type="character" w:customStyle="1" w:styleId="atn">
    <w:name w:val="atn"/>
    <w:basedOn w:val="Fontdeparagrafimplicit"/>
    <w:rsid w:val="00695BBF"/>
  </w:style>
  <w:style w:type="paragraph" w:styleId="NormalWeb">
    <w:name w:val="Normal (Web)"/>
    <w:basedOn w:val="Normal"/>
    <w:unhideWhenUsed/>
    <w:rsid w:val="00695BBF"/>
    <w:pPr>
      <w:spacing w:before="100" w:beforeAutospacing="1" w:after="100" w:afterAutospacing="1"/>
    </w:pPr>
    <w:rPr>
      <w:rFonts w:eastAsia="Times New Roman"/>
      <w:lang w:val="en-US"/>
    </w:rPr>
  </w:style>
  <w:style w:type="table" w:styleId="TabelWeb1">
    <w:name w:val="Table Web 1"/>
    <w:basedOn w:val="TabelNormal"/>
    <w:rsid w:val="00695BBF"/>
    <w:rPr>
      <w:lang w:val="en-US"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Indent21">
    <w:name w:val="Body Text Indent 21"/>
    <w:basedOn w:val="Normal"/>
    <w:rsid w:val="00695BBF"/>
    <w:pPr>
      <w:widowControl w:val="0"/>
      <w:suppressAutoHyphens/>
      <w:spacing w:after="120" w:line="480" w:lineRule="auto"/>
      <w:ind w:left="360"/>
    </w:pPr>
    <w:rPr>
      <w:rFonts w:cs="Mangal"/>
      <w:kern w:val="1"/>
      <w:lang w:val="en-US" w:eastAsia="hi-IN" w:bidi="hi-IN"/>
    </w:rPr>
  </w:style>
  <w:style w:type="paragraph" w:styleId="Frspaiere">
    <w:name w:val="No Spacing"/>
    <w:uiPriority w:val="99"/>
    <w:qFormat/>
    <w:rsid w:val="00695BBF"/>
    <w:rPr>
      <w:sz w:val="28"/>
      <w:szCs w:val="28"/>
      <w:lang w:val="en-US" w:eastAsia="en-US"/>
    </w:rPr>
  </w:style>
  <w:style w:type="character" w:customStyle="1" w:styleId="TextnBalonCaracter">
    <w:name w:val="Text în Balon Caracter"/>
    <w:link w:val="TextnBalon"/>
    <w:rsid w:val="00695BBF"/>
    <w:rPr>
      <w:rFonts w:ascii="Tahoma" w:eastAsia="SimSun" w:hAnsi="Tahoma" w:cs="Tahoma"/>
      <w:sz w:val="16"/>
      <w:szCs w:val="16"/>
      <w:lang w:val="en-GB" w:eastAsia="en-US"/>
    </w:rPr>
  </w:style>
  <w:style w:type="character" w:styleId="Accentuareintens">
    <w:name w:val="Intense Emphasis"/>
    <w:qFormat/>
    <w:rsid w:val="00695BBF"/>
    <w:rPr>
      <w:b/>
      <w:bCs/>
      <w:i/>
      <w:iCs/>
      <w:color w:val="4F81BD"/>
    </w:rPr>
  </w:style>
  <w:style w:type="paragraph" w:styleId="Legend">
    <w:name w:val="caption"/>
    <w:basedOn w:val="Normal"/>
    <w:qFormat/>
    <w:rsid w:val="00695BBF"/>
    <w:pPr>
      <w:widowControl w:val="0"/>
      <w:suppressLineNumbers/>
      <w:suppressAutoHyphens/>
      <w:spacing w:before="120" w:after="120"/>
    </w:pPr>
    <w:rPr>
      <w:rFonts w:cs="Mangal"/>
      <w:i/>
      <w:iCs/>
      <w:kern w:val="1"/>
      <w:lang w:val="en-US" w:eastAsia="hi-IN" w:bidi="hi-IN"/>
    </w:rPr>
  </w:style>
  <w:style w:type="character" w:styleId="HyperlinkParcurs">
    <w:name w:val="FollowedHyperlink"/>
    <w:uiPriority w:val="99"/>
    <w:unhideWhenUsed/>
    <w:rsid w:val="00695BBF"/>
    <w:rPr>
      <w:color w:val="800080"/>
      <w:u w:val="single"/>
    </w:rPr>
  </w:style>
  <w:style w:type="character" w:customStyle="1" w:styleId="CommentTextChar">
    <w:name w:val="Comment Text Char"/>
    <w:semiHidden/>
    <w:rsid w:val="00695BBF"/>
  </w:style>
  <w:style w:type="paragraph" w:styleId="SubiectComentariu">
    <w:name w:val="annotation subject"/>
    <w:basedOn w:val="Textcomentariu"/>
    <w:next w:val="Textcomentariu"/>
    <w:link w:val="SubiectComentariuCaracter"/>
    <w:unhideWhenUsed/>
    <w:rsid w:val="00695BBF"/>
    <w:rPr>
      <w:b/>
      <w:bCs/>
      <w:lang w:val="x-none" w:eastAsia="x-none"/>
    </w:rPr>
  </w:style>
  <w:style w:type="character" w:customStyle="1" w:styleId="SubiectComentariuCaracter">
    <w:name w:val="Subiect Comentariu Caracter"/>
    <w:basedOn w:val="TextcomentariuCaracter"/>
    <w:link w:val="SubiectComentariu"/>
    <w:rsid w:val="00695BBF"/>
    <w:rPr>
      <w:b/>
      <w:bCs/>
      <w:lang w:val="x-none" w:eastAsia="x-none"/>
    </w:rPr>
  </w:style>
  <w:style w:type="character" w:styleId="Referincomentariu">
    <w:name w:val="annotation reference"/>
    <w:unhideWhenUsed/>
    <w:rsid w:val="00695BBF"/>
    <w:rPr>
      <w:sz w:val="16"/>
      <w:szCs w:val="16"/>
    </w:rPr>
  </w:style>
  <w:style w:type="paragraph" w:customStyle="1" w:styleId="CharChar1CaracterCaracterChar">
    <w:name w:val="Char Char1 Caracter Caracter Char"/>
    <w:basedOn w:val="Normal"/>
    <w:rsid w:val="00695BBF"/>
    <w:rPr>
      <w:rFonts w:eastAsia="Times New Roman"/>
      <w:lang w:val="pl-PL" w:eastAsia="pl-PL"/>
    </w:rPr>
  </w:style>
  <w:style w:type="character" w:customStyle="1" w:styleId="def">
    <w:name w:val="def"/>
    <w:rsid w:val="00695BBF"/>
  </w:style>
  <w:style w:type="character" w:customStyle="1" w:styleId="ndesc1">
    <w:name w:val="ndesc1"/>
    <w:rsid w:val="00695BBF"/>
    <w:rPr>
      <w:rFonts w:ascii="Arial" w:hAnsi="Arial" w:cs="Arial" w:hint="default"/>
      <w:b w:val="0"/>
      <w:bCs w:val="0"/>
      <w:strike w:val="0"/>
      <w:dstrike w:val="0"/>
      <w:color w:val="000000"/>
      <w:sz w:val="24"/>
      <w:szCs w:val="24"/>
      <w:u w:val="none"/>
      <w:effect w:val="none"/>
    </w:rPr>
  </w:style>
  <w:style w:type="table" w:styleId="TabelSimplu1">
    <w:name w:val="Table Simple 1"/>
    <w:basedOn w:val="TabelNormal"/>
    <w:unhideWhenUsed/>
    <w:rsid w:val="00695BBF"/>
    <w:rPr>
      <w:lang w:val="en-US" w:eastAsia="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Clasic1">
    <w:name w:val="Table Classic 1"/>
    <w:basedOn w:val="TabelNormal"/>
    <w:unhideWhenUsed/>
    <w:rsid w:val="00695BBF"/>
    <w:rPr>
      <w:lang w:val="en-US"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ontemporan">
    <w:name w:val="Table Contemporary"/>
    <w:basedOn w:val="TabelNormal"/>
    <w:rsid w:val="00695BBF"/>
    <w:rPr>
      <w:lang w:val="en-US"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Default">
    <w:name w:val="Default"/>
    <w:rsid w:val="00695BBF"/>
    <w:pPr>
      <w:autoSpaceDE w:val="0"/>
      <w:autoSpaceDN w:val="0"/>
      <w:adjustRightInd w:val="0"/>
    </w:pPr>
    <w:rPr>
      <w:rFonts w:eastAsia="Calibri"/>
      <w:color w:val="000000"/>
      <w:sz w:val="24"/>
      <w:szCs w:val="24"/>
      <w:lang w:val="en-US" w:eastAsia="en-US"/>
    </w:rPr>
  </w:style>
  <w:style w:type="character" w:customStyle="1" w:styleId="sciname1">
    <w:name w:val="sciname1"/>
    <w:rsid w:val="00695BBF"/>
    <w:rPr>
      <w:i/>
      <w:iCs/>
    </w:rPr>
  </w:style>
  <w:style w:type="character" w:customStyle="1" w:styleId="sheader61">
    <w:name w:val="sheader61"/>
    <w:rsid w:val="00695BBF"/>
    <w:rPr>
      <w:rFonts w:ascii="Times New Roman" w:hAnsi="Times New Roman" w:cs="Times New Roman" w:hint="default"/>
      <w:sz w:val="34"/>
      <w:szCs w:val="34"/>
    </w:rPr>
  </w:style>
  <w:style w:type="paragraph" w:customStyle="1" w:styleId="CharChar1CaracterCaracterChar0">
    <w:name w:val="Char Char1 Caracter Caracter Char"/>
    <w:basedOn w:val="Normal"/>
    <w:rsid w:val="00695BBF"/>
    <w:rPr>
      <w:rFonts w:eastAsia="Times New Roman"/>
      <w:lang w:val="pl-PL" w:eastAsia="pl-PL"/>
    </w:rPr>
  </w:style>
  <w:style w:type="character" w:customStyle="1" w:styleId="mediumtext">
    <w:name w:val="medium_text"/>
    <w:rsid w:val="00695BBF"/>
  </w:style>
  <w:style w:type="numbering" w:customStyle="1" w:styleId="NoList1">
    <w:name w:val="No List1"/>
    <w:next w:val="FrListare"/>
    <w:semiHidden/>
    <w:rsid w:val="00695BBF"/>
  </w:style>
  <w:style w:type="numbering" w:customStyle="1" w:styleId="NoList2">
    <w:name w:val="No List2"/>
    <w:next w:val="FrListare"/>
    <w:semiHidden/>
    <w:rsid w:val="00695BBF"/>
  </w:style>
  <w:style w:type="paragraph" w:customStyle="1" w:styleId="Char">
    <w:name w:val="Char"/>
    <w:basedOn w:val="Normal"/>
    <w:rsid w:val="00990ACA"/>
    <w:rPr>
      <w:rFonts w:eastAsia="Times New Roman"/>
      <w:lang w:val="pl-PL" w:eastAsia="pl-PL"/>
    </w:rPr>
  </w:style>
  <w:style w:type="character" w:customStyle="1" w:styleId="Titlu7Caracter">
    <w:name w:val="Titlu 7 Caracter"/>
    <w:basedOn w:val="Fontdeparagrafimplicit"/>
    <w:link w:val="Titlu7"/>
    <w:uiPriority w:val="99"/>
    <w:rsid w:val="00605F65"/>
    <w:rPr>
      <w:rFonts w:asciiTheme="majorHAnsi" w:eastAsiaTheme="majorEastAsia" w:hAnsiTheme="majorHAnsi" w:cstheme="majorBidi"/>
      <w:i/>
      <w:iCs/>
      <w:color w:val="404040" w:themeColor="text1" w:themeTint="BF"/>
      <w:sz w:val="24"/>
      <w:szCs w:val="24"/>
      <w:lang w:val="en-GB" w:eastAsia="en-US"/>
    </w:rPr>
  </w:style>
  <w:style w:type="character" w:customStyle="1" w:styleId="Titlu8Caracter">
    <w:name w:val="Titlu 8 Caracter"/>
    <w:basedOn w:val="Fontdeparagrafimplicit"/>
    <w:link w:val="Titlu8"/>
    <w:uiPriority w:val="99"/>
    <w:rsid w:val="00605F65"/>
    <w:rPr>
      <w:rFonts w:asciiTheme="majorHAnsi" w:eastAsiaTheme="majorEastAsia" w:hAnsiTheme="majorHAnsi" w:cstheme="majorBidi"/>
      <w:color w:val="404040" w:themeColor="text1" w:themeTint="BF"/>
      <w:lang w:val="en-GB" w:eastAsia="en-US"/>
    </w:rPr>
  </w:style>
  <w:style w:type="character" w:customStyle="1" w:styleId="Titlu2Caracter">
    <w:name w:val="Titlu 2 Caracter"/>
    <w:aliases w:val="a Titlu 2 Caracter"/>
    <w:basedOn w:val="Fontdeparagrafimplicit"/>
    <w:link w:val="Titlu2"/>
    <w:uiPriority w:val="99"/>
    <w:rsid w:val="00330F8C"/>
    <w:rPr>
      <w:rFonts w:ascii="Arial" w:hAnsi="Arial" w:cs="Arial"/>
      <w:b/>
      <w:bCs/>
      <w:i/>
      <w:iCs/>
      <w:sz w:val="28"/>
      <w:szCs w:val="28"/>
      <w:lang w:val="en-US" w:eastAsia="en-US"/>
    </w:rPr>
  </w:style>
  <w:style w:type="character" w:customStyle="1" w:styleId="Titlu3Caracter">
    <w:name w:val="Titlu 3 Caracter"/>
    <w:basedOn w:val="Fontdeparagrafimplicit"/>
    <w:link w:val="Titlu3"/>
    <w:uiPriority w:val="99"/>
    <w:rsid w:val="00330F8C"/>
    <w:rPr>
      <w:b/>
      <w:color w:val="0000FF"/>
      <w:sz w:val="28"/>
      <w:lang w:eastAsia="en-US"/>
    </w:rPr>
  </w:style>
  <w:style w:type="character" w:customStyle="1" w:styleId="Titlu4Caracter">
    <w:name w:val="Titlu 4 Caracter"/>
    <w:basedOn w:val="Fontdeparagrafimplicit"/>
    <w:link w:val="Titlu4"/>
    <w:uiPriority w:val="99"/>
    <w:rsid w:val="00330F8C"/>
    <w:rPr>
      <w:b/>
      <w:bCs/>
      <w:sz w:val="28"/>
      <w:szCs w:val="28"/>
      <w:lang w:val="en-US" w:eastAsia="en-US"/>
    </w:rPr>
  </w:style>
  <w:style w:type="character" w:customStyle="1" w:styleId="Titlu5Caracter">
    <w:name w:val="Titlu 5 Caracter"/>
    <w:basedOn w:val="Fontdeparagrafimplicit"/>
    <w:link w:val="Titlu5"/>
    <w:uiPriority w:val="99"/>
    <w:rsid w:val="00330F8C"/>
    <w:rPr>
      <w:b/>
      <w:bCs/>
      <w:i/>
      <w:iCs/>
      <w:sz w:val="26"/>
      <w:szCs w:val="26"/>
      <w:lang w:val="en-US" w:eastAsia="en-US"/>
    </w:rPr>
  </w:style>
  <w:style w:type="paragraph" w:styleId="Corptext3">
    <w:name w:val="Body Text 3"/>
    <w:basedOn w:val="Normal"/>
    <w:link w:val="Corptext3Caracter"/>
    <w:rsid w:val="00330F8C"/>
    <w:pPr>
      <w:spacing w:after="120"/>
    </w:pPr>
    <w:rPr>
      <w:rFonts w:eastAsia="Times New Roman"/>
      <w:sz w:val="16"/>
      <w:szCs w:val="16"/>
      <w:lang w:val="en-US"/>
    </w:rPr>
  </w:style>
  <w:style w:type="character" w:customStyle="1" w:styleId="Corptext3Caracter">
    <w:name w:val="Corp text 3 Caracter"/>
    <w:basedOn w:val="Fontdeparagrafimplicit"/>
    <w:link w:val="Corptext3"/>
    <w:uiPriority w:val="99"/>
    <w:rsid w:val="00330F8C"/>
    <w:rPr>
      <w:sz w:val="16"/>
      <w:szCs w:val="16"/>
      <w:lang w:val="en-US" w:eastAsia="en-US"/>
    </w:rPr>
  </w:style>
  <w:style w:type="paragraph" w:styleId="Textsimplu">
    <w:name w:val="Plain Text"/>
    <w:basedOn w:val="Normal"/>
    <w:link w:val="TextsimpluCaracter"/>
    <w:uiPriority w:val="99"/>
    <w:rsid w:val="00330F8C"/>
    <w:rPr>
      <w:rFonts w:ascii="Courier New" w:eastAsia="Times New Roman" w:hAnsi="Courier New" w:cs="Courier New"/>
      <w:sz w:val="20"/>
      <w:szCs w:val="20"/>
      <w:lang w:val="en-US"/>
    </w:rPr>
  </w:style>
  <w:style w:type="character" w:customStyle="1" w:styleId="TextsimpluCaracter">
    <w:name w:val="Text simplu Caracter"/>
    <w:basedOn w:val="Fontdeparagrafimplicit"/>
    <w:link w:val="Textsimplu"/>
    <w:uiPriority w:val="99"/>
    <w:rsid w:val="00330F8C"/>
    <w:rPr>
      <w:rFonts w:ascii="Courier New" w:hAnsi="Courier New" w:cs="Courier New"/>
      <w:lang w:val="en-US" w:eastAsia="en-US"/>
    </w:rPr>
  </w:style>
  <w:style w:type="paragraph" w:styleId="Plandocument">
    <w:name w:val="Document Map"/>
    <w:basedOn w:val="Normal"/>
    <w:link w:val="PlandocumentCaracter"/>
    <w:rsid w:val="00330F8C"/>
    <w:rPr>
      <w:rFonts w:ascii="Tahoma" w:eastAsia="Times New Roman" w:hAnsi="Tahoma" w:cs="Tahoma"/>
      <w:sz w:val="16"/>
      <w:szCs w:val="16"/>
      <w:lang w:val="en-US"/>
    </w:rPr>
  </w:style>
  <w:style w:type="character" w:customStyle="1" w:styleId="PlandocumentCaracter">
    <w:name w:val="Plan document Caracter"/>
    <w:basedOn w:val="Fontdeparagrafimplicit"/>
    <w:link w:val="Plandocument"/>
    <w:uiPriority w:val="99"/>
    <w:rsid w:val="00330F8C"/>
    <w:rPr>
      <w:rFonts w:ascii="Tahoma" w:hAnsi="Tahoma" w:cs="Tahoma"/>
      <w:sz w:val="16"/>
      <w:szCs w:val="16"/>
      <w:lang w:val="en-US" w:eastAsia="en-US"/>
    </w:rPr>
  </w:style>
  <w:style w:type="paragraph" w:styleId="Titlu">
    <w:name w:val="Title"/>
    <w:basedOn w:val="Normal"/>
    <w:link w:val="TitluCaracter"/>
    <w:qFormat/>
    <w:rsid w:val="00330F8C"/>
    <w:pPr>
      <w:jc w:val="center"/>
    </w:pPr>
    <w:rPr>
      <w:rFonts w:ascii="Arial" w:eastAsia="Times New Roman" w:hAnsi="Arial"/>
      <w:b/>
      <w:szCs w:val="20"/>
      <w:lang w:val="en-US"/>
    </w:rPr>
  </w:style>
  <w:style w:type="character" w:customStyle="1" w:styleId="TitluCaracter">
    <w:name w:val="Titlu Caracter"/>
    <w:basedOn w:val="Fontdeparagrafimplicit"/>
    <w:link w:val="Titlu"/>
    <w:uiPriority w:val="99"/>
    <w:rsid w:val="00330F8C"/>
    <w:rPr>
      <w:rFonts w:ascii="Arial" w:hAnsi="Arial"/>
      <w:b/>
      <w:sz w:val="24"/>
      <w:lang w:val="en-US" w:eastAsia="en-US"/>
    </w:rPr>
  </w:style>
  <w:style w:type="paragraph" w:styleId="Indentcorptext3">
    <w:name w:val="Body Text Indent 3"/>
    <w:basedOn w:val="Normal"/>
    <w:link w:val="Indentcorptext3Caracter"/>
    <w:rsid w:val="00330F8C"/>
    <w:pPr>
      <w:spacing w:after="120"/>
      <w:ind w:left="283"/>
    </w:pPr>
    <w:rPr>
      <w:rFonts w:eastAsia="Times New Roman"/>
      <w:sz w:val="16"/>
      <w:szCs w:val="16"/>
      <w:lang w:val="en-US"/>
    </w:rPr>
  </w:style>
  <w:style w:type="character" w:customStyle="1" w:styleId="Indentcorptext3Caracter">
    <w:name w:val="Indent corp text 3 Caracter"/>
    <w:basedOn w:val="Fontdeparagrafimplicit"/>
    <w:link w:val="Indentcorptext3"/>
    <w:uiPriority w:val="99"/>
    <w:rsid w:val="00330F8C"/>
    <w:rPr>
      <w:sz w:val="16"/>
      <w:szCs w:val="16"/>
      <w:lang w:val="en-US" w:eastAsia="en-US"/>
    </w:rPr>
  </w:style>
  <w:style w:type="character" w:customStyle="1" w:styleId="CaracterCaracter2">
    <w:name w:val="Caracter Caracter2"/>
    <w:basedOn w:val="Fontdeparagrafimplicit"/>
    <w:uiPriority w:val="99"/>
    <w:rsid w:val="00330F8C"/>
    <w:rPr>
      <w:rFonts w:cs="Times New Roman"/>
      <w:lang w:val="en-GB" w:eastAsia="en-US" w:bidi="ar-SA"/>
    </w:rPr>
  </w:style>
  <w:style w:type="paragraph" w:customStyle="1" w:styleId="xl32">
    <w:name w:val="xl32"/>
    <w:basedOn w:val="Normal"/>
    <w:uiPriority w:val="99"/>
    <w:rsid w:val="00330F8C"/>
    <w:pPr>
      <w:spacing w:before="100" w:after="100"/>
      <w:jc w:val="center"/>
    </w:pPr>
    <w:rPr>
      <w:rFonts w:ascii="Arial" w:eastAsia="Times New Roman" w:hAnsi="Arial"/>
    </w:rPr>
  </w:style>
  <w:style w:type="character" w:customStyle="1" w:styleId="description">
    <w:name w:val="description"/>
    <w:basedOn w:val="Fontdeparagrafimplicit"/>
    <w:uiPriority w:val="99"/>
    <w:rsid w:val="00330F8C"/>
    <w:rPr>
      <w:rFonts w:cs="Times New Roman"/>
    </w:rPr>
  </w:style>
  <w:style w:type="character" w:customStyle="1" w:styleId="ln2tlitera">
    <w:name w:val="ln2tlitera"/>
    <w:basedOn w:val="Fontdeparagrafimplicit"/>
    <w:rsid w:val="00330F8C"/>
    <w:rPr>
      <w:rFonts w:cs="Times New Roman"/>
    </w:rPr>
  </w:style>
  <w:style w:type="paragraph" w:customStyle="1" w:styleId="ListParagraph1">
    <w:name w:val="List Paragraph1"/>
    <w:basedOn w:val="Normal"/>
    <w:uiPriority w:val="99"/>
    <w:rsid w:val="00330F8C"/>
    <w:pPr>
      <w:ind w:left="720"/>
      <w:contextualSpacing/>
    </w:pPr>
    <w:rPr>
      <w:rFonts w:eastAsia="Times New Roman"/>
      <w:lang w:val="en-US"/>
    </w:rPr>
  </w:style>
  <w:style w:type="paragraph" w:customStyle="1" w:styleId="Style1">
    <w:name w:val="Style1"/>
    <w:basedOn w:val="Normal"/>
    <w:rsid w:val="00330F8C"/>
    <w:rPr>
      <w:rFonts w:ascii="Symbol" w:eastAsia="Times New Roman" w:hAnsi="Symbol"/>
      <w:szCs w:val="20"/>
      <w:vertAlign w:val="subscript"/>
      <w:lang w:val="ro-RO"/>
    </w:rPr>
  </w:style>
  <w:style w:type="paragraph" w:styleId="Textbloc">
    <w:name w:val="Block Text"/>
    <w:basedOn w:val="Normal"/>
    <w:uiPriority w:val="99"/>
    <w:rsid w:val="00330F8C"/>
    <w:pPr>
      <w:ind w:left="180" w:right="-655"/>
    </w:pPr>
    <w:rPr>
      <w:rFonts w:ascii="Arial" w:eastAsia="Times New Roman" w:hAnsi="Arial"/>
      <w:sz w:val="20"/>
      <w:szCs w:val="20"/>
      <w:lang w:val="ro-RO"/>
    </w:rPr>
  </w:style>
  <w:style w:type="paragraph" w:styleId="Revizuire">
    <w:name w:val="Revision"/>
    <w:hidden/>
    <w:uiPriority w:val="99"/>
    <w:semiHidden/>
    <w:rsid w:val="00330F8C"/>
    <w:rPr>
      <w:lang w:val="en-US" w:eastAsia="en-US"/>
    </w:rPr>
  </w:style>
  <w:style w:type="paragraph" w:styleId="Subtitlu">
    <w:name w:val="Subtitle"/>
    <w:basedOn w:val="Normal"/>
    <w:next w:val="Normal"/>
    <w:link w:val="SubtitluCaracter"/>
    <w:qFormat/>
    <w:rsid w:val="00330F8C"/>
    <w:pPr>
      <w:numPr>
        <w:ilvl w:val="1"/>
      </w:numPr>
      <w:spacing w:after="200" w:line="276" w:lineRule="auto"/>
    </w:pPr>
    <w:rPr>
      <w:rFonts w:ascii="Cambria" w:eastAsia="Times New Roman" w:hAnsi="Cambria"/>
      <w:i/>
      <w:iCs/>
      <w:color w:val="4F81BD"/>
      <w:spacing w:val="15"/>
      <w:lang w:val="ro-RO"/>
    </w:rPr>
  </w:style>
  <w:style w:type="character" w:customStyle="1" w:styleId="SubtitluCaracter">
    <w:name w:val="Subtitlu Caracter"/>
    <w:basedOn w:val="Fontdeparagrafimplicit"/>
    <w:link w:val="Subtitlu"/>
    <w:uiPriority w:val="99"/>
    <w:rsid w:val="00330F8C"/>
    <w:rPr>
      <w:rFonts w:ascii="Cambria" w:hAnsi="Cambria"/>
      <w:i/>
      <w:iCs/>
      <w:color w:val="4F81BD"/>
      <w:spacing w:val="15"/>
      <w:sz w:val="24"/>
      <w:szCs w:val="24"/>
      <w:lang w:eastAsia="en-US"/>
    </w:rPr>
  </w:style>
  <w:style w:type="character" w:customStyle="1" w:styleId="CaracterCaracter21">
    <w:name w:val="Caracter Caracter21"/>
    <w:basedOn w:val="Fontdeparagrafimplicit"/>
    <w:uiPriority w:val="99"/>
    <w:rsid w:val="00330F8C"/>
    <w:rPr>
      <w:rFonts w:cs="Times New Roman"/>
      <w:lang w:val="en-GB" w:eastAsia="en-US" w:bidi="ar-SA"/>
    </w:rPr>
  </w:style>
  <w:style w:type="paragraph" w:customStyle="1" w:styleId="Listparagraf1">
    <w:name w:val="Listă paragraf1"/>
    <w:basedOn w:val="Normal"/>
    <w:uiPriority w:val="99"/>
    <w:rsid w:val="00330F8C"/>
    <w:pPr>
      <w:spacing w:after="200" w:line="276" w:lineRule="auto"/>
      <w:ind w:left="720"/>
      <w:contextualSpacing/>
    </w:pPr>
    <w:rPr>
      <w:rFonts w:ascii="Calibri" w:eastAsia="Calibri" w:hAnsi="Calibri"/>
      <w:sz w:val="22"/>
      <w:szCs w:val="22"/>
      <w:lang w:val="ro-RO"/>
    </w:rPr>
  </w:style>
  <w:style w:type="paragraph" w:customStyle="1" w:styleId="bul1">
    <w:name w:val="bul1"/>
    <w:basedOn w:val="Normal"/>
    <w:rsid w:val="00897C52"/>
    <w:pPr>
      <w:numPr>
        <w:ilvl w:val="1"/>
        <w:numId w:val="33"/>
      </w:numPr>
      <w:tabs>
        <w:tab w:val="clear" w:pos="1440"/>
        <w:tab w:val="left" w:pos="567"/>
        <w:tab w:val="num" w:pos="680"/>
      </w:tabs>
      <w:spacing w:after="60"/>
      <w:ind w:left="680" w:hanging="396"/>
      <w:jc w:val="both"/>
    </w:pPr>
    <w:rPr>
      <w:rFonts w:ascii="Arial" w:eastAsia="Times New Roman" w:hAnsi="Arial"/>
      <w:sz w:val="19"/>
      <w:lang w:val="en-US"/>
    </w:rPr>
  </w:style>
  <w:style w:type="paragraph" w:customStyle="1" w:styleId="CharCaracterCharCharCharCaracter">
    <w:name w:val="Char Caracter Char Char Char Caracter"/>
    <w:basedOn w:val="Normal"/>
    <w:rsid w:val="00897C52"/>
    <w:rPr>
      <w:rFonts w:eastAsia="Times New Roman"/>
      <w:lang w:val="pl-PL" w:eastAsia="pl-PL"/>
    </w:rPr>
  </w:style>
  <w:style w:type="paragraph" w:customStyle="1" w:styleId="CharCharCaracterCaracterCharCharCaracterCharCharCaracter">
    <w:name w:val="Char Char Caracter Caracter Char Char Caracter Char Char Caracter"/>
    <w:basedOn w:val="Normal"/>
    <w:rsid w:val="00831D54"/>
    <w:rPr>
      <w:rFonts w:eastAsia="Times New Roman"/>
      <w:lang w:val="pl-PL" w:eastAsia="pl-PL"/>
    </w:rPr>
  </w:style>
  <w:style w:type="character" w:customStyle="1" w:styleId="i41">
    <w:name w:val="i41"/>
    <w:basedOn w:val="Fontdeparagrafimplicit"/>
    <w:rsid w:val="00764523"/>
    <w:rPr>
      <w:rFonts w:ascii="Arial" w:hAnsi="Arial" w:cs="Arial" w:hint="default"/>
      <w:strike w:val="0"/>
      <w:dstrike w:val="0"/>
      <w:color w:val="333399"/>
      <w:sz w:val="17"/>
      <w:szCs w:val="17"/>
      <w:u w:val="none"/>
      <w:effect w:val="none"/>
    </w:rPr>
  </w:style>
  <w:style w:type="paragraph" w:customStyle="1" w:styleId="BodyText21">
    <w:name w:val="Body Text 21"/>
    <w:basedOn w:val="Normal"/>
    <w:rsid w:val="001E1E89"/>
    <w:pPr>
      <w:widowControl w:val="0"/>
      <w:jc w:val="both"/>
    </w:pPr>
    <w:rPr>
      <w:rFonts w:eastAsia="Times New Roman"/>
      <w:lang w:val="en-US"/>
    </w:rPr>
  </w:style>
  <w:style w:type="character" w:customStyle="1" w:styleId="Titlu6Caracter">
    <w:name w:val="Titlu 6 Caracter"/>
    <w:basedOn w:val="Fontdeparagrafimplicit"/>
    <w:link w:val="Titlu6"/>
    <w:rsid w:val="00582399"/>
    <w:rPr>
      <w:rFonts w:ascii="Arial" w:hAnsi="Arial" w:cs="Arial"/>
      <w:b/>
      <w:bCs/>
      <w:i/>
      <w:iCs/>
      <w:sz w:val="24"/>
      <w:szCs w:val="24"/>
    </w:rPr>
  </w:style>
  <w:style w:type="character" w:customStyle="1" w:styleId="Titlu9Caracter">
    <w:name w:val="Titlu 9 Caracter"/>
    <w:basedOn w:val="Fontdeparagrafimplicit"/>
    <w:link w:val="Titlu9"/>
    <w:rsid w:val="00582399"/>
    <w:rPr>
      <w:rFonts w:ascii="Arial" w:hAnsi="Arial" w:cs="Arial"/>
      <w:b/>
      <w:bCs/>
      <w:i/>
      <w:iCs/>
      <w:color w:val="000000"/>
      <w:spacing w:val="-3"/>
      <w:sz w:val="24"/>
      <w:szCs w:val="24"/>
      <w:shd w:val="clear" w:color="auto" w:fill="FFFFFF"/>
      <w:lang w:eastAsia="en-US"/>
    </w:rPr>
  </w:style>
  <w:style w:type="paragraph" w:customStyle="1" w:styleId="CharCharCaracterCaracterCharCharCharCharCaracterCaracterCharCharCharCharCaracterCaracterCharChar">
    <w:name w:val="Char Char Caracter Caracter Char Char Char Char Caracter Caracter Char Char Char Char Caracter Caracter Char Char"/>
    <w:basedOn w:val="Normal"/>
    <w:rsid w:val="00582399"/>
    <w:rPr>
      <w:rFonts w:eastAsia="Times New Roman"/>
      <w:lang w:val="pl-PL" w:eastAsia="pl-PL"/>
    </w:rPr>
  </w:style>
  <w:style w:type="character" w:customStyle="1" w:styleId="cap">
    <w:name w:val="cap"/>
    <w:rsid w:val="00582399"/>
    <w:rPr>
      <w:b/>
      <w:sz w:val="32"/>
    </w:rPr>
  </w:style>
  <w:style w:type="paragraph" w:customStyle="1" w:styleId="bul2">
    <w:name w:val="bul2"/>
    <w:basedOn w:val="Normal"/>
    <w:rsid w:val="00582399"/>
    <w:pPr>
      <w:tabs>
        <w:tab w:val="left" w:pos="851"/>
      </w:tabs>
      <w:spacing w:after="60"/>
      <w:ind w:left="851" w:hanging="284"/>
      <w:jc w:val="both"/>
    </w:pPr>
    <w:rPr>
      <w:rFonts w:ascii="Arial" w:eastAsia="Times New Roman" w:hAnsi="Arial"/>
      <w:sz w:val="19"/>
      <w:lang w:val="en-US"/>
    </w:rPr>
  </w:style>
  <w:style w:type="paragraph" w:customStyle="1" w:styleId="WW-Corptext3">
    <w:name w:val="WW-Corp text 3"/>
    <w:basedOn w:val="Normal"/>
    <w:rsid w:val="00582399"/>
    <w:pPr>
      <w:suppressAutoHyphens/>
      <w:jc w:val="center"/>
    </w:pPr>
    <w:rPr>
      <w:rFonts w:eastAsia="Times New Roman"/>
      <w:b/>
      <w:lang w:val="ro-RO"/>
    </w:rPr>
  </w:style>
  <w:style w:type="paragraph" w:customStyle="1" w:styleId="WW-Corptext2">
    <w:name w:val="WW-Corp text 2"/>
    <w:basedOn w:val="Normal"/>
    <w:rsid w:val="00582399"/>
    <w:pPr>
      <w:suppressAutoHyphens/>
      <w:jc w:val="center"/>
    </w:pPr>
    <w:rPr>
      <w:rFonts w:eastAsia="Times New Roman"/>
      <w:lang w:val="ro-RO"/>
    </w:rPr>
  </w:style>
  <w:style w:type="table" w:styleId="TabelWeb2">
    <w:name w:val="Table Web 2"/>
    <w:basedOn w:val="TabelNormal"/>
    <w:rsid w:val="00582399"/>
    <w:rPr>
      <w:lang w:val="en-US"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WW-NormalWeb">
    <w:name w:val="WW-Normal (Web)"/>
    <w:basedOn w:val="Normal"/>
    <w:rsid w:val="00582399"/>
    <w:pPr>
      <w:suppressAutoHyphens/>
      <w:spacing w:before="280" w:after="280"/>
    </w:pPr>
    <w:rPr>
      <w:rFonts w:ascii="Arial Unicode MS" w:eastAsia="Arial Unicode MS" w:hAnsi="Arial Unicode MS" w:cs="Arial Unicode MS"/>
      <w:lang w:val="ro-RO" w:eastAsia="ar-SA"/>
    </w:rPr>
  </w:style>
  <w:style w:type="paragraph" w:customStyle="1" w:styleId="AAAA">
    <w:name w:val="AAAA"/>
    <w:basedOn w:val="Normal"/>
    <w:rsid w:val="00582399"/>
    <w:pPr>
      <w:widowControl w:val="0"/>
      <w:numPr>
        <w:ilvl w:val="12"/>
      </w:numPr>
      <w:spacing w:before="240" w:line="276" w:lineRule="auto"/>
      <w:ind w:left="1080"/>
      <w:jc w:val="both"/>
    </w:pPr>
    <w:rPr>
      <w:rFonts w:ascii="Arial" w:eastAsia="Times New Roman" w:hAnsi="Arial" w:cs="Arial"/>
      <w:sz w:val="23"/>
      <w:szCs w:val="28"/>
      <w:lang w:val="ro-RO"/>
    </w:rPr>
  </w:style>
  <w:style w:type="paragraph" w:customStyle="1" w:styleId="Titlu51">
    <w:name w:val="Titlu 51"/>
    <w:basedOn w:val="Normal"/>
    <w:rsid w:val="00582399"/>
    <w:pPr>
      <w:tabs>
        <w:tab w:val="num" w:pos="1008"/>
      </w:tabs>
      <w:ind w:left="1008" w:hanging="1008"/>
    </w:pPr>
    <w:rPr>
      <w:rFonts w:eastAsia="Times New Roman"/>
      <w:lang w:val="ro-RO" w:eastAsia="ro-RO"/>
    </w:rPr>
  </w:style>
  <w:style w:type="paragraph" w:customStyle="1" w:styleId="Antet1">
    <w:name w:val="Antet1"/>
    <w:basedOn w:val="Normal"/>
    <w:next w:val="Normal"/>
    <w:rsid w:val="00582399"/>
    <w:pPr>
      <w:autoSpaceDE w:val="0"/>
      <w:autoSpaceDN w:val="0"/>
      <w:adjustRightInd w:val="0"/>
    </w:pPr>
    <w:rPr>
      <w:rFonts w:ascii="Arial" w:eastAsia="Times New Roman" w:hAnsi="Arial"/>
      <w:lang w:val="ro-RO" w:eastAsia="ro-RO"/>
    </w:rPr>
  </w:style>
  <w:style w:type="paragraph" w:customStyle="1" w:styleId="AutoCorecie">
    <w:name w:val="AutoCorecţie"/>
    <w:rsid w:val="00582399"/>
    <w:rPr>
      <w:sz w:val="24"/>
      <w:szCs w:val="24"/>
    </w:rPr>
  </w:style>
  <w:style w:type="character" w:customStyle="1" w:styleId="ln2paragraf1">
    <w:name w:val="ln2paragraf1"/>
    <w:rsid w:val="00582399"/>
    <w:rPr>
      <w:b/>
      <w:bCs/>
    </w:rPr>
  </w:style>
  <w:style w:type="character" w:customStyle="1" w:styleId="ln2tparagraf">
    <w:name w:val="ln2tparagraf"/>
    <w:basedOn w:val="Fontdeparagrafimplicit"/>
    <w:rsid w:val="00582399"/>
  </w:style>
  <w:style w:type="character" w:customStyle="1" w:styleId="ln2tpunct">
    <w:name w:val="ln2tpunct"/>
    <w:basedOn w:val="Fontdeparagrafimplicit"/>
    <w:rsid w:val="00582399"/>
  </w:style>
  <w:style w:type="character" w:customStyle="1" w:styleId="ln2punct1">
    <w:name w:val="ln2punct1"/>
    <w:rsid w:val="00582399"/>
    <w:rPr>
      <w:b/>
      <w:bCs/>
      <w:color w:val="008F00"/>
    </w:rPr>
  </w:style>
  <w:style w:type="paragraph" w:customStyle="1" w:styleId="CaracterCaracter1CharCharCaracterCaracterCharChar">
    <w:name w:val="Caracter Caracter1 Char Char Caracter Caracter Char Char"/>
    <w:basedOn w:val="Normal"/>
    <w:rsid w:val="00582399"/>
    <w:rPr>
      <w:rFonts w:eastAsia="Times New Roman"/>
      <w:lang w:val="pl-PL" w:eastAsia="pl-PL"/>
    </w:rPr>
  </w:style>
  <w:style w:type="paragraph" w:customStyle="1" w:styleId="CaracterCaracter1CharCharCaracterCaracter">
    <w:name w:val="Caracter Caracter1 Char Char Caracter Caracter"/>
    <w:basedOn w:val="Normal"/>
    <w:rsid w:val="00582399"/>
    <w:rPr>
      <w:rFonts w:eastAsia="Times New Roman"/>
      <w:lang w:val="pl-PL" w:eastAsia="pl-PL"/>
    </w:rPr>
  </w:style>
  <w:style w:type="paragraph" w:customStyle="1" w:styleId="CaracterCaracter">
    <w:name w:val="Caracter Caracter"/>
    <w:basedOn w:val="Normal"/>
    <w:rsid w:val="00582399"/>
    <w:rPr>
      <w:rFonts w:eastAsia="Times New Roman"/>
      <w:lang w:val="pl-PL" w:eastAsia="pl-PL"/>
    </w:rPr>
  </w:style>
  <w:style w:type="paragraph" w:customStyle="1" w:styleId="CaracterCaracterCharCharCaracterCaracter">
    <w:name w:val="Caracter Caracter Char Char Caracter Caracter"/>
    <w:basedOn w:val="Normal"/>
    <w:rsid w:val="00582399"/>
    <w:rPr>
      <w:rFonts w:eastAsia="Times New Roman"/>
      <w:lang w:val="pl-PL" w:eastAsia="pl-PL"/>
    </w:rPr>
  </w:style>
  <w:style w:type="paragraph" w:customStyle="1" w:styleId="CaracterCaracter1">
    <w:name w:val="Caracter Caracter1"/>
    <w:basedOn w:val="Normal"/>
    <w:rsid w:val="00582399"/>
    <w:rPr>
      <w:rFonts w:eastAsia="Times New Roman"/>
      <w:lang w:val="pl-PL" w:eastAsia="pl-PL"/>
    </w:rPr>
  </w:style>
  <w:style w:type="paragraph" w:customStyle="1" w:styleId="CaracterCharCharCaracter">
    <w:name w:val="Caracter Char Char Caracter"/>
    <w:basedOn w:val="Normal"/>
    <w:rsid w:val="00582399"/>
    <w:rPr>
      <w:rFonts w:eastAsia="Times New Roman"/>
      <w:lang w:val="pl-PL" w:eastAsia="pl-PL"/>
    </w:rPr>
  </w:style>
  <w:style w:type="table" w:styleId="Temtabel">
    <w:name w:val="Table Theme"/>
    <w:basedOn w:val="TabelNormal"/>
    <w:rsid w:val="00582399"/>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582399"/>
    <w:rPr>
      <w:rFonts w:eastAsia="Times New Roman"/>
      <w:lang w:val="pl-PL" w:eastAsia="pl-PL"/>
    </w:rPr>
  </w:style>
  <w:style w:type="paragraph" w:customStyle="1" w:styleId="CharCharCharCharCaracterCaracterCharCharCaracterCaracterCharCharCaracterCaracter">
    <w:name w:val="Char Char Char Char Caracter Caracter Char Char Caracter Caracter Char Char Caracter Caracter"/>
    <w:basedOn w:val="Normal"/>
    <w:rsid w:val="00582399"/>
    <w:rPr>
      <w:rFonts w:eastAsia="Times New Roman"/>
      <w:lang w:val="pl-PL" w:eastAsia="pl-PL"/>
    </w:rPr>
  </w:style>
  <w:style w:type="character" w:customStyle="1" w:styleId="tli1">
    <w:name w:val="tli1"/>
    <w:basedOn w:val="Fontdeparagrafimplicit"/>
    <w:rsid w:val="00582399"/>
  </w:style>
  <w:style w:type="character" w:customStyle="1" w:styleId="do1">
    <w:name w:val="do1"/>
    <w:rsid w:val="00582399"/>
    <w:rPr>
      <w:b/>
      <w:bCs/>
      <w:sz w:val="26"/>
      <w:szCs w:val="26"/>
    </w:rPr>
  </w:style>
  <w:style w:type="paragraph" w:customStyle="1" w:styleId="CharCaracterCaracterCharCaracterCaracterCharChar">
    <w:name w:val="Char Caracter Caracter Char Caracter Caracter Char Char"/>
    <w:basedOn w:val="Normal"/>
    <w:rsid w:val="00582399"/>
    <w:rPr>
      <w:rFonts w:eastAsia="Times New Roman"/>
      <w:lang w:val="pl-PL" w:eastAsia="pl-PL"/>
    </w:rPr>
  </w:style>
  <w:style w:type="paragraph" w:customStyle="1" w:styleId="CaracterCaracter1CharCharCaracterCaracterCharCharCaracterCaracter">
    <w:name w:val="Caracter Caracter1 Char Char Caracter Caracter Char Char Caracter Caracter"/>
    <w:basedOn w:val="Normal"/>
    <w:rsid w:val="00582399"/>
    <w:rPr>
      <w:rFonts w:eastAsia="Times New Roman"/>
      <w:lang w:val="pl-PL" w:eastAsia="pl-PL"/>
    </w:rPr>
  </w:style>
  <w:style w:type="character" w:customStyle="1" w:styleId="txtoug1">
    <w:name w:val="txtoug1"/>
    <w:rsid w:val="00582399"/>
    <w:rPr>
      <w:rFonts w:ascii="Arial" w:hAnsi="Arial" w:cs="Arial" w:hint="default"/>
      <w:i/>
      <w:iCs/>
      <w:color w:val="0000FF"/>
      <w:sz w:val="18"/>
      <w:szCs w:val="18"/>
    </w:rPr>
  </w:style>
  <w:style w:type="paragraph" w:customStyle="1" w:styleId="CaracterCaracter1CharCharCaracterCharCharCaracterCaracter">
    <w:name w:val="Caracter Caracter1 Char Char Caracter Char Char Caracter Caracter"/>
    <w:basedOn w:val="Normal"/>
    <w:rsid w:val="00582399"/>
    <w:rPr>
      <w:rFonts w:eastAsia="Times New Roman"/>
      <w:lang w:val="pl-PL" w:eastAsia="pl-PL"/>
    </w:rPr>
  </w:style>
  <w:style w:type="paragraph" w:customStyle="1" w:styleId="CharCharCharCharCharCharCharCharCharCharCharCharCharCharCharCharCharChar">
    <w:name w:val="Char Char Char Char Char Char Char Char Char Char Char Char Char Char Char Char Char Char"/>
    <w:basedOn w:val="Normal"/>
    <w:rsid w:val="00582399"/>
    <w:rPr>
      <w:rFonts w:eastAsia="Times New Roman"/>
      <w:lang w:val="pl-PL" w:eastAsia="pl-PL"/>
    </w:rPr>
  </w:style>
  <w:style w:type="paragraph" w:customStyle="1" w:styleId="CaracterCharCharCaracterCaracter">
    <w:name w:val="Caracter Char Char Caracter Caracter"/>
    <w:basedOn w:val="Normal"/>
    <w:rsid w:val="00582399"/>
    <w:rPr>
      <w:rFonts w:eastAsia="Times New Roman"/>
      <w:lang w:val="pl-PL" w:eastAsia="pl-PL"/>
    </w:rPr>
  </w:style>
  <w:style w:type="paragraph" w:customStyle="1" w:styleId="CharChar">
    <w:name w:val="Char Char"/>
    <w:basedOn w:val="Normal"/>
    <w:rsid w:val="00582399"/>
    <w:rPr>
      <w:rFonts w:eastAsia="Times New Roman"/>
      <w:lang w:val="pl-PL" w:eastAsia="pl-PL"/>
    </w:rPr>
  </w:style>
  <w:style w:type="character" w:customStyle="1" w:styleId="tpa1">
    <w:name w:val="tpa1"/>
    <w:basedOn w:val="Fontdeparagrafimplicit"/>
    <w:rsid w:val="00582399"/>
  </w:style>
  <w:style w:type="character" w:customStyle="1" w:styleId="pt1">
    <w:name w:val="pt1"/>
    <w:rsid w:val="00582399"/>
    <w:rPr>
      <w:b/>
      <w:bCs/>
      <w:color w:val="8F0000"/>
    </w:rPr>
  </w:style>
  <w:style w:type="character" w:customStyle="1" w:styleId="tpt1">
    <w:name w:val="tpt1"/>
    <w:basedOn w:val="Fontdeparagrafimplicit"/>
    <w:rsid w:val="00582399"/>
  </w:style>
  <w:style w:type="paragraph" w:customStyle="1" w:styleId="CharChar1CaracterCaracter">
    <w:name w:val="Char Char1 Caracter Caracter"/>
    <w:basedOn w:val="Normal"/>
    <w:rsid w:val="00582399"/>
    <w:rPr>
      <w:rFonts w:eastAsia="Times New Roman"/>
      <w:lang w:val="pl-PL" w:eastAsia="pl-PL"/>
    </w:rPr>
  </w:style>
  <w:style w:type="paragraph" w:customStyle="1" w:styleId="CaracterCaracterCharCharCaracterCaracterCharCharCaracterCaracter">
    <w:name w:val="Caracter Caracter Char Char Caracter Caracter Char Char Caracter Caracter"/>
    <w:basedOn w:val="Normal"/>
    <w:rsid w:val="00582399"/>
    <w:rPr>
      <w:rFonts w:eastAsia="Times New Roman"/>
      <w:lang w:val="pl-PL" w:eastAsia="pl-PL"/>
    </w:rPr>
  </w:style>
  <w:style w:type="paragraph" w:customStyle="1" w:styleId="CharCharCaracterCaracter">
    <w:name w:val="Char Char Caracter Caracter"/>
    <w:basedOn w:val="Normal"/>
    <w:rsid w:val="00582399"/>
    <w:rPr>
      <w:rFonts w:eastAsia="Times New Roman"/>
      <w:lang w:val="pl-PL" w:eastAsia="pl-PL"/>
    </w:rPr>
  </w:style>
  <w:style w:type="character" w:customStyle="1" w:styleId="text1">
    <w:name w:val="text1"/>
    <w:rsid w:val="00582399"/>
    <w:rPr>
      <w:rFonts w:ascii="Verdana" w:hAnsi="Verdana" w:hint="default"/>
      <w:sz w:val="18"/>
      <w:szCs w:val="18"/>
    </w:rPr>
  </w:style>
  <w:style w:type="paragraph" w:customStyle="1" w:styleId="CaracterCaracterCharCharCaracterCaracterCharCharCaracterCaracterCharCharCaracterCaracter">
    <w:name w:val="Caracter Caracter Char Char Caracter Caracter Char Char Caracter Caracter Char Char Caracter Caracter"/>
    <w:basedOn w:val="Normal"/>
    <w:rsid w:val="00582399"/>
    <w:rPr>
      <w:rFonts w:eastAsia="Times New Roman"/>
      <w:lang w:val="pl-PL" w:eastAsia="pl-PL"/>
    </w:rPr>
  </w:style>
  <w:style w:type="paragraph" w:customStyle="1" w:styleId="CaracterCaracter1CharCharCaracterCaracterCharCharCaracterCaracterCharCharCaracterCaracter">
    <w:name w:val="Caracter Caracter1 Char Char Caracter Caracter Char Char Caracter Caracter Char Char Caracter Caracter"/>
    <w:basedOn w:val="Normal"/>
    <w:rsid w:val="00582399"/>
    <w:rPr>
      <w:rFonts w:eastAsia="Times New Roman"/>
      <w:lang w:val="pl-PL" w:eastAsia="pl-PL"/>
    </w:rPr>
  </w:style>
  <w:style w:type="character" w:customStyle="1" w:styleId="tal1">
    <w:name w:val="tal1"/>
    <w:basedOn w:val="Fontdeparagrafimplicit"/>
    <w:rsid w:val="00582399"/>
  </w:style>
  <w:style w:type="table" w:styleId="TabelWeb3">
    <w:name w:val="Table Web 3"/>
    <w:basedOn w:val="TabelNormal"/>
    <w:rsid w:val="00582399"/>
    <w:rPr>
      <w:lang w:val="en-US"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xl36">
    <w:name w:val="xl36"/>
    <w:basedOn w:val="Normal"/>
    <w:rsid w:val="00582399"/>
    <w:pPr>
      <w:pBdr>
        <w:right w:val="single" w:sz="4" w:space="0" w:color="auto"/>
      </w:pBdr>
      <w:spacing w:before="100" w:beforeAutospacing="1" w:after="100" w:afterAutospacing="1"/>
      <w:jc w:val="center"/>
    </w:pPr>
    <w:rPr>
      <w:rFonts w:eastAsia="Times New Roman"/>
      <w:b/>
      <w:bCs/>
      <w:lang w:val="en-US"/>
    </w:rPr>
  </w:style>
  <w:style w:type="paragraph" w:customStyle="1" w:styleId="Char1">
    <w:name w:val="Char1"/>
    <w:basedOn w:val="Normal"/>
    <w:rsid w:val="00582399"/>
    <w:rPr>
      <w:rFonts w:eastAsia="Times New Roman"/>
      <w:lang w:val="pl-PL" w:eastAsia="pl-PL"/>
    </w:rPr>
  </w:style>
  <w:style w:type="paragraph" w:customStyle="1" w:styleId="CaracterCaracterCharCharCaracterCaracterCaracterCaracterCharChar">
    <w:name w:val="Caracter Caracter Char Char Caracter Caracter Caracter Caracter Char Char"/>
    <w:basedOn w:val="Normal"/>
    <w:rsid w:val="00582399"/>
    <w:rPr>
      <w:rFonts w:eastAsia="Times New Roman"/>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87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chart" Target="charts/chart27.xml"/><Relationship Id="rId21" Type="http://schemas.openxmlformats.org/officeDocument/2006/relationships/chart" Target="charts/chart13.xml"/><Relationship Id="rId34" Type="http://schemas.openxmlformats.org/officeDocument/2006/relationships/chart" Target="charts/chart22.xml"/><Relationship Id="rId42" Type="http://schemas.openxmlformats.org/officeDocument/2006/relationships/chart" Target="charts/chart28.xml"/><Relationship Id="rId47" Type="http://schemas.openxmlformats.org/officeDocument/2006/relationships/chart" Target="charts/chart33.xml"/><Relationship Id="rId50" Type="http://schemas.openxmlformats.org/officeDocument/2006/relationships/image" Target="media/image5.emf"/><Relationship Id="rId55" Type="http://schemas.openxmlformats.org/officeDocument/2006/relationships/image" Target="media/image6.emf"/><Relationship Id="rId63" Type="http://schemas.openxmlformats.org/officeDocument/2006/relationships/chart" Target="charts/chart41.xm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8.xm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0.xml"/><Relationship Id="rId37" Type="http://schemas.openxmlformats.org/officeDocument/2006/relationships/chart" Target="charts/chart25.xml"/><Relationship Id="rId40" Type="http://schemas.openxmlformats.org/officeDocument/2006/relationships/image" Target="media/image3.emf"/><Relationship Id="rId45" Type="http://schemas.openxmlformats.org/officeDocument/2006/relationships/chart" Target="charts/chart31.xml"/><Relationship Id="rId53" Type="http://schemas.openxmlformats.org/officeDocument/2006/relationships/chart" Target="charts/chart35.xml"/><Relationship Id="rId58" Type="http://schemas.openxmlformats.org/officeDocument/2006/relationships/oleObject" Target="embeddings/oleObject7.bin"/><Relationship Id="rId66"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oleObject" Target="embeddings/oleObject1.bin"/><Relationship Id="rId36" Type="http://schemas.openxmlformats.org/officeDocument/2006/relationships/chart" Target="charts/chart24.xml"/><Relationship Id="rId49" Type="http://schemas.openxmlformats.org/officeDocument/2006/relationships/oleObject" Target="embeddings/oleObject4.bin"/><Relationship Id="rId57" Type="http://schemas.openxmlformats.org/officeDocument/2006/relationships/image" Target="media/image7.emf"/><Relationship Id="rId61" Type="http://schemas.openxmlformats.org/officeDocument/2006/relationships/chart" Target="charts/chart39.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19.xml"/><Relationship Id="rId44" Type="http://schemas.openxmlformats.org/officeDocument/2006/relationships/chart" Target="charts/chart30.xml"/><Relationship Id="rId52" Type="http://schemas.openxmlformats.org/officeDocument/2006/relationships/chart" Target="charts/chart34.xml"/><Relationship Id="rId60" Type="http://schemas.openxmlformats.org/officeDocument/2006/relationships/chart" Target="charts/chart38.xml"/><Relationship Id="rId65"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image" Target="media/image1.emf"/><Relationship Id="rId30" Type="http://schemas.openxmlformats.org/officeDocument/2006/relationships/oleObject" Target="embeddings/oleObject2.bin"/><Relationship Id="rId35" Type="http://schemas.openxmlformats.org/officeDocument/2006/relationships/chart" Target="charts/chart23.xml"/><Relationship Id="rId43" Type="http://schemas.openxmlformats.org/officeDocument/2006/relationships/chart" Target="charts/chart29.xml"/><Relationship Id="rId48" Type="http://schemas.openxmlformats.org/officeDocument/2006/relationships/image" Target="media/image4.emf"/><Relationship Id="rId56" Type="http://schemas.openxmlformats.org/officeDocument/2006/relationships/oleObject" Target="embeddings/oleObject6.bin"/><Relationship Id="rId64" Type="http://schemas.openxmlformats.org/officeDocument/2006/relationships/chart" Target="charts/chart42.xml"/><Relationship Id="rId8" Type="http://schemas.openxmlformats.org/officeDocument/2006/relationships/endnotes" Target="endnotes.xml"/><Relationship Id="rId51" Type="http://schemas.openxmlformats.org/officeDocument/2006/relationships/oleObject" Target="embeddings/oleObject5.bin"/><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1.xml"/><Relationship Id="rId38" Type="http://schemas.openxmlformats.org/officeDocument/2006/relationships/chart" Target="charts/chart26.xml"/><Relationship Id="rId46" Type="http://schemas.openxmlformats.org/officeDocument/2006/relationships/chart" Target="charts/chart32.xml"/><Relationship Id="rId59" Type="http://schemas.openxmlformats.org/officeDocument/2006/relationships/chart" Target="charts/chart37.xml"/><Relationship Id="rId67" Type="http://schemas.openxmlformats.org/officeDocument/2006/relationships/fontTable" Target="fontTable.xml"/><Relationship Id="rId20" Type="http://schemas.openxmlformats.org/officeDocument/2006/relationships/chart" Target="charts/chart12.xml"/><Relationship Id="rId41" Type="http://schemas.openxmlformats.org/officeDocument/2006/relationships/oleObject" Target="embeddings/oleObject3.bin"/><Relationship Id="rId54" Type="http://schemas.openxmlformats.org/officeDocument/2006/relationships/chart" Target="charts/chart36.xml"/><Relationship Id="rId62" Type="http://schemas.openxmlformats.org/officeDocument/2006/relationships/chart" Target="charts/chart40.xml"/></Relationships>
</file>

<file path=word/charts/_rels/chart1.xml.rels><?xml version="1.0" encoding="UTF-8" standalone="yes"?>
<Relationships xmlns="http://schemas.openxmlformats.org/package/2006/relationships"><Relationship Id="rId1" Type="http://schemas.openxmlformats.org/officeDocument/2006/relationships/package" Target="../embeddings/Foaie_de_lucru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Foaie_de_lucru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Foaie_de_lucru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Foaie_de_lucru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Foaie_de_lucru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Foaie_de_lucru_Microsoft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Foaie_de_lucru_Microsoft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Foaie_de_lucru_Microsoft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Foaie_de_lucru_Microsoft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Foaie_de_lucru_Microsoft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Foaie_de_lucru_Microsoft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Foaie_de_lucru_Microsoft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Foaie_de_lucru_Microsoft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Foaie_de_lucru_Microsoft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Foaie_de_lucru_Microsoft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Foaie_de_lucru_Microsoft_Excel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Foaie_de_lucru_Microsoft_Excel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Foaie_de_lucru_Microsoft_Excel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Foaie_de_lucru_Microsoft_Excel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Foaie_de_lucru_Microsoft_Excel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Foaie_de_lucru_Microsoft_Excel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Foaie_de_lucru_Microsoft_Excel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Foaie_de_lucru_Microsoft_Excel3.xlsx"/></Relationships>
</file>

<file path=word/charts/_rels/chart30.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Foaie_de_lucru_Microsoft_Excel30.xlsx"/><Relationship Id="rId1" Type="http://schemas.openxmlformats.org/officeDocument/2006/relationships/themeOverride" Target="../theme/themeOverride1.xml"/></Relationships>
</file>

<file path=word/charts/_rels/chart31.xml.rels><?xml version="1.0" encoding="UTF-8" standalone="yes"?>
<Relationships xmlns="http://schemas.openxmlformats.org/package/2006/relationships"><Relationship Id="rId1" Type="http://schemas.openxmlformats.org/officeDocument/2006/relationships/package" Target="../embeddings/Foaie_de_lucru_Microsoft_Excel31.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Foaie_de_lucru_Microsoft_Excel32.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Foaie_de_lucru_Microsoft_Excel33.xlsx"/></Relationships>
</file>

<file path=word/charts/_rels/chart34.xml.rels><?xml version="1.0" encoding="UTF-8" standalone="yes"?>
<Relationships xmlns="http://schemas.openxmlformats.org/package/2006/relationships"><Relationship Id="rId2" Type="http://schemas.openxmlformats.org/officeDocument/2006/relationships/package" Target="../embeddings/Foaie_de_lucru_Microsoft_Excel34.xlsx"/><Relationship Id="rId1" Type="http://schemas.openxmlformats.org/officeDocument/2006/relationships/themeOverride" Target="../theme/themeOverride2.xml"/></Relationships>
</file>

<file path=word/charts/_rels/chart35.xml.rels><?xml version="1.0" encoding="UTF-8" standalone="yes"?>
<Relationships xmlns="http://schemas.openxmlformats.org/package/2006/relationships"><Relationship Id="rId2" Type="http://schemas.openxmlformats.org/officeDocument/2006/relationships/package" Target="../embeddings/Foaie_de_lucru_Microsoft_Excel35.xlsx"/><Relationship Id="rId1" Type="http://schemas.openxmlformats.org/officeDocument/2006/relationships/themeOverride" Target="../theme/themeOverride3.xml"/></Relationships>
</file>

<file path=word/charts/_rels/chart36.xml.rels><?xml version="1.0" encoding="UTF-8" standalone="yes"?>
<Relationships xmlns="http://schemas.openxmlformats.org/package/2006/relationships"><Relationship Id="rId2" Type="http://schemas.openxmlformats.org/officeDocument/2006/relationships/package" Target="../embeddings/Foaie_de_lucru_Microsoft_Excel36.xlsx"/><Relationship Id="rId1" Type="http://schemas.openxmlformats.org/officeDocument/2006/relationships/themeOverride" Target="../theme/themeOverride4.xml"/></Relationships>
</file>

<file path=word/charts/_rels/chart37.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Foaie_de_lucru_Microsoft_Excel37.xlsx"/></Relationships>
</file>

<file path=word/charts/_rels/chart38.xml.rels><?xml version="1.0" encoding="UTF-8" standalone="yes"?>
<Relationships xmlns="http://schemas.openxmlformats.org/package/2006/relationships"><Relationship Id="rId1" Type="http://schemas.openxmlformats.org/officeDocument/2006/relationships/package" Target="../embeddings/Foaie_de_lucru_Microsoft_Excel38.xlsx"/></Relationships>
</file>

<file path=word/charts/_rels/chart39.xml.rels><?xml version="1.0" encoding="UTF-8" standalone="yes"?>
<Relationships xmlns="http://schemas.openxmlformats.org/package/2006/relationships"><Relationship Id="rId1" Type="http://schemas.openxmlformats.org/officeDocument/2006/relationships/package" Target="../embeddings/Foaie_de_lucru_Microsoft_Excel39.xlsx"/></Relationships>
</file>

<file path=word/charts/_rels/chart4.xml.rels><?xml version="1.0" encoding="UTF-8" standalone="yes"?>
<Relationships xmlns="http://schemas.openxmlformats.org/package/2006/relationships"><Relationship Id="rId1" Type="http://schemas.openxmlformats.org/officeDocument/2006/relationships/package" Target="../embeddings/Foaie_de_lucru_Microsoft_Excel4.xlsx"/></Relationships>
</file>

<file path=word/charts/_rels/chart40.xml.rels><?xml version="1.0" encoding="UTF-8" standalone="yes"?>
<Relationships xmlns="http://schemas.openxmlformats.org/package/2006/relationships"><Relationship Id="rId1" Type="http://schemas.openxmlformats.org/officeDocument/2006/relationships/package" Target="../embeddings/Foaie_de_lucru_Microsoft_Excel40.xlsx"/></Relationships>
</file>

<file path=word/charts/_rels/chart41.xml.rels><?xml version="1.0" encoding="UTF-8" standalone="yes"?>
<Relationships xmlns="http://schemas.openxmlformats.org/package/2006/relationships"><Relationship Id="rId2" Type="http://schemas.openxmlformats.org/officeDocument/2006/relationships/package" Target="../embeddings/Foaie_de_lucru_Microsoft_Excel41.xlsx"/><Relationship Id="rId1" Type="http://schemas.openxmlformats.org/officeDocument/2006/relationships/themeOverride" Target="../theme/themeOverride5.xml"/></Relationships>
</file>

<file path=word/charts/_rels/chart42.xml.rels><?xml version="1.0" encoding="UTF-8" standalone="yes"?>
<Relationships xmlns="http://schemas.openxmlformats.org/package/2006/relationships"><Relationship Id="rId2" Type="http://schemas.openxmlformats.org/officeDocument/2006/relationships/package" Target="../embeddings/Foaie_de_lucru_Microsoft_Excel42.xlsx"/><Relationship Id="rId1" Type="http://schemas.openxmlformats.org/officeDocument/2006/relationships/themeOverride" Target="../theme/themeOverride6.xml"/></Relationships>
</file>

<file path=word/charts/_rels/chart5.xml.rels><?xml version="1.0" encoding="UTF-8" standalone="yes"?>
<Relationships xmlns="http://schemas.openxmlformats.org/package/2006/relationships"><Relationship Id="rId1" Type="http://schemas.openxmlformats.org/officeDocument/2006/relationships/package" Target="../embeddings/Foaie_de_lucru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Foaie_de_lucru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Foaie_de_lucru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Foaie_de_lucru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Foaie_de_lucru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100"/>
            </a:pPr>
            <a:r>
              <a:rPr lang="vi-VN" sz="1100"/>
              <a:t>Figura </a:t>
            </a:r>
            <a:r>
              <a:rPr lang="ro-RO" sz="1100"/>
              <a:t>IX</a:t>
            </a:r>
            <a:r>
              <a:rPr lang="vi-VN" sz="1100"/>
              <a:t>.1. Distribuţia procentuală a analizelor beta globale efectuate la SSRM Constanţa în anul 201</a:t>
            </a:r>
            <a:r>
              <a:rPr lang="en-US" sz="1100"/>
              <a:t>5</a:t>
            </a:r>
            <a:endParaRPr lang="vi-VN" sz="1100"/>
          </a:p>
        </c:rich>
      </c:tx>
      <c:overlay val="0"/>
    </c:title>
    <c:autoTitleDeleted val="0"/>
    <c:view3D>
      <c:rotX val="20"/>
      <c:hPercent val="50"/>
      <c:rotY val="200"/>
      <c:rAngAx val="0"/>
      <c:perspective val="0"/>
    </c:view3D>
    <c:floor>
      <c:thickness val="0"/>
    </c:floor>
    <c:sideWall>
      <c:thickness val="0"/>
    </c:sideWall>
    <c:backWall>
      <c:thickness val="0"/>
    </c:backWall>
    <c:plotArea>
      <c:layout>
        <c:manualLayout>
          <c:layoutTarget val="inner"/>
          <c:xMode val="edge"/>
          <c:yMode val="edge"/>
          <c:x val="9.4051207717600047E-2"/>
          <c:y val="0.2835710069113333"/>
          <c:w val="0.81494515213679408"/>
          <c:h val="0.58387161812385913"/>
        </c:manualLayout>
      </c:layout>
      <c:pie3DChart>
        <c:varyColors val="1"/>
        <c:ser>
          <c:idx val="0"/>
          <c:order val="0"/>
          <c:tx>
            <c:v>constanta</c:v>
          </c:tx>
          <c:explosion val="13"/>
          <c:dPt>
            <c:idx val="0"/>
            <c:bubble3D val="0"/>
            <c:spPr>
              <a:solidFill>
                <a:schemeClr val="accent2">
                  <a:lumMod val="60000"/>
                  <a:lumOff val="40000"/>
                </a:schemeClr>
              </a:solidFill>
            </c:spPr>
          </c:dPt>
          <c:dPt>
            <c:idx val="1"/>
            <c:bubble3D val="0"/>
            <c:explosion val="4"/>
          </c:dPt>
          <c:dPt>
            <c:idx val="2"/>
            <c:bubble3D val="0"/>
            <c:explosion val="8"/>
          </c:dPt>
          <c:dPt>
            <c:idx val="3"/>
            <c:bubble3D val="0"/>
            <c:explosion val="11"/>
          </c:dPt>
          <c:dPt>
            <c:idx val="4"/>
            <c:bubble3D val="0"/>
          </c:dPt>
          <c:dLbls>
            <c:dLbl>
              <c:idx val="3"/>
              <c:layout>
                <c:manualLayout>
                  <c:x val="6.2402332313764991E-2"/>
                  <c:y val="2.2391266835590187E-2"/>
                </c:manualLayout>
              </c:layout>
              <c:dLblPos val="bestFit"/>
              <c:showLegendKey val="1"/>
              <c:showVal val="0"/>
              <c:showCatName val="1"/>
              <c:showSerName val="0"/>
              <c:showPercent val="0"/>
              <c:showBubbleSize val="0"/>
            </c:dLbl>
            <c:dLbl>
              <c:idx val="4"/>
              <c:layout>
                <c:manualLayout>
                  <c:x val="-3.4418170427604505E-2"/>
                  <c:y val="9.3835870516185485E-3"/>
                </c:manualLayout>
              </c:layout>
              <c:dLblPos val="bestFit"/>
              <c:showLegendKey val="1"/>
              <c:showVal val="0"/>
              <c:showCatName val="1"/>
              <c:showSerName val="0"/>
              <c:showPercent val="0"/>
              <c:showBubbleSize val="0"/>
            </c:dLbl>
            <c:dLbl>
              <c:idx val="5"/>
              <c:layout>
                <c:manualLayout>
                  <c:x val="-3.5921890418923845E-2"/>
                  <c:y val="1.4222222222222223E-2"/>
                </c:manualLayout>
              </c:layout>
              <c:dLblPos val="bestFit"/>
              <c:showLegendKey val="1"/>
              <c:showVal val="0"/>
              <c:showCatName val="1"/>
              <c:showSerName val="0"/>
              <c:showPercent val="0"/>
              <c:showBubbleSize val="0"/>
            </c:dLbl>
            <c:dLblPos val="outEnd"/>
            <c:showLegendKey val="1"/>
            <c:showVal val="0"/>
            <c:showCatName val="1"/>
            <c:showSerName val="0"/>
            <c:showPercent val="0"/>
            <c:showBubbleSize val="0"/>
            <c:showLeaderLines val="0"/>
          </c:dLbls>
          <c:cat>
            <c:strRef>
              <c:f>Foaie1!$D$3:$H$3</c:f>
              <c:strCache>
                <c:ptCount val="5"/>
                <c:pt idx="0">
                  <c:v>aerosoli atmosferici</c:v>
                </c:pt>
                <c:pt idx="1">
                  <c:v>depuneri atmosferice</c:v>
                </c:pt>
                <c:pt idx="2">
                  <c:v>ape</c:v>
                </c:pt>
                <c:pt idx="3">
                  <c:v>sol </c:v>
                </c:pt>
                <c:pt idx="4">
                  <c:v>vegetație </c:v>
                </c:pt>
              </c:strCache>
            </c:strRef>
          </c:cat>
          <c:val>
            <c:numRef>
              <c:f>Foaie1!$D$4:$H$4</c:f>
              <c:numCache>
                <c:formatCode>General</c:formatCode>
                <c:ptCount val="5"/>
                <c:pt idx="0">
                  <c:v>78.599999999999994</c:v>
                </c:pt>
                <c:pt idx="1">
                  <c:v>9.9</c:v>
                </c:pt>
                <c:pt idx="2">
                  <c:v>10.3</c:v>
                </c:pt>
                <c:pt idx="3">
                  <c:v>0.7</c:v>
                </c:pt>
                <c:pt idx="4">
                  <c:v>0.4</c:v>
                </c:pt>
              </c:numCache>
            </c:numRef>
          </c:val>
        </c:ser>
        <c:dLbls>
          <c:showLegendKey val="0"/>
          <c:showVal val="0"/>
          <c:showCatName val="0"/>
          <c:showSerName val="0"/>
          <c:showPercent val="0"/>
          <c:showBubbleSize val="0"/>
          <c:showLeaderLines val="0"/>
        </c:dLbls>
      </c:pie3DChart>
      <c:spPr>
        <a:noFill/>
        <a:ln w="25400">
          <a:noFill/>
        </a:ln>
      </c:spPr>
    </c:plotArea>
    <c:plotVisOnly val="1"/>
    <c:dispBlanksAs val="zero"/>
    <c:showDLblsOverMax val="0"/>
  </c:chart>
  <c:txPr>
    <a:bodyPr/>
    <a:lstStyle/>
    <a:p>
      <a:pPr>
        <a:defRPr>
          <a:latin typeface="Arial" pitchFamily="34" charset="0"/>
          <a:cs typeface="Arial" pitchFamily="34" charset="0"/>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Calibri" panose="020F0502020204030204" pitchFamily="34" charset="0"/>
                <a:ea typeface="Arial"/>
                <a:cs typeface="Arial"/>
              </a:defRPr>
            </a:pPr>
            <a:r>
              <a:rPr lang="vi-VN" sz="1200" b="1" i="0" u="none" strike="noStrike" baseline="0">
                <a:effectLst/>
                <a:latin typeface="Calibri" panose="020F0502020204030204" pitchFamily="34" charset="0"/>
              </a:rPr>
              <a:t>Figura </a:t>
            </a:r>
            <a:r>
              <a:rPr lang="ro-RO" sz="1200" b="1" i="0" u="none" strike="noStrike" kern="1200" baseline="0">
                <a:solidFill>
                  <a:srgbClr val="000000"/>
                </a:solidFill>
                <a:effectLst/>
                <a:latin typeface="Calibri" panose="020F0502020204030204" pitchFamily="34" charset="0"/>
                <a:cs typeface="Arial"/>
              </a:rPr>
              <a:t>IX</a:t>
            </a:r>
            <a:r>
              <a:rPr lang="vi-VN" sz="1200" b="1" i="0" u="none" strike="noStrike" baseline="0">
                <a:effectLst/>
                <a:latin typeface="Calibri" panose="020F0502020204030204" pitchFamily="34" charset="0"/>
              </a:rPr>
              <a:t>.</a:t>
            </a:r>
            <a:r>
              <a:rPr lang="ro-RO" sz="1200" b="1" i="0" u="none" strike="noStrike" baseline="0">
                <a:effectLst/>
                <a:latin typeface="Calibri" panose="020F0502020204030204" pitchFamily="34" charset="0"/>
              </a:rPr>
              <a:t>10.</a:t>
            </a:r>
            <a:r>
              <a:rPr lang="vi-VN" sz="1200" b="1" i="0" u="none" strike="noStrike" baseline="0">
                <a:effectLst/>
                <a:latin typeface="Calibri" panose="020F0502020204030204" pitchFamily="34" charset="0"/>
              </a:rPr>
              <a:t> Variaţia</a:t>
            </a:r>
            <a:r>
              <a:rPr lang="ro-RO" sz="1200" b="1" i="0" u="none" strike="noStrike" baseline="0">
                <a:effectLst/>
                <a:latin typeface="Calibri" panose="020F0502020204030204" pitchFamily="34" charset="0"/>
              </a:rPr>
              <a:t> mediei anuale a</a:t>
            </a:r>
            <a:r>
              <a:rPr lang="vi-VN" sz="1200" b="1" i="0" u="none" strike="noStrike" baseline="0">
                <a:effectLst/>
                <a:latin typeface="Calibri" panose="020F0502020204030204" pitchFamily="34" charset="0"/>
              </a:rPr>
              <a:t> </a:t>
            </a:r>
            <a:r>
              <a:rPr lang="ro-RO" sz="1200" b="1" i="0" u="none" strike="noStrike" baseline="0">
                <a:effectLst/>
                <a:latin typeface="Calibri" panose="020F0502020204030204" pitchFamily="34" charset="0"/>
              </a:rPr>
              <a:t>activității specifice pentru aerosoli </a:t>
            </a:r>
            <a:r>
              <a:rPr lang="vi-VN" sz="1200" b="1" i="0" u="none" strike="noStrike" baseline="0">
                <a:effectLst/>
                <a:latin typeface="Calibri" panose="020F0502020204030204" pitchFamily="34" charset="0"/>
              </a:rPr>
              <a:t>atmosfer</a:t>
            </a:r>
            <a:r>
              <a:rPr lang="ro-RO" sz="1200" b="1" i="0" u="none" strike="noStrike" baseline="0">
                <a:effectLst/>
                <a:latin typeface="Calibri" panose="020F0502020204030204" pitchFamily="34" charset="0"/>
              </a:rPr>
              <a:t>ici - măsurare la 5 zile la SSRM Constanța și Cernavodă în anul 201</a:t>
            </a:r>
            <a:r>
              <a:rPr lang="en-US" sz="1200" b="1" i="0" u="none" strike="noStrike" baseline="0">
                <a:effectLst/>
                <a:latin typeface="Calibri" panose="020F0502020204030204" pitchFamily="34" charset="0"/>
              </a:rPr>
              <a:t>5</a:t>
            </a:r>
            <a:endParaRPr lang="vi-VN" sz="1200">
              <a:latin typeface="Calibri" panose="020F0502020204030204" pitchFamily="34" charset="0"/>
            </a:endParaRPr>
          </a:p>
        </c:rich>
      </c:tx>
      <c:layout>
        <c:manualLayout>
          <c:xMode val="edge"/>
          <c:yMode val="edge"/>
          <c:x val="0.14439324116743471"/>
          <c:y val="2.0491803278688523E-2"/>
        </c:manualLayout>
      </c:layout>
      <c:overlay val="0"/>
      <c:spPr>
        <a:noFill/>
        <a:ln w="25398">
          <a:noFill/>
        </a:ln>
      </c:spPr>
    </c:title>
    <c:autoTitleDeleted val="0"/>
    <c:plotArea>
      <c:layout>
        <c:manualLayout>
          <c:layoutTarget val="inner"/>
          <c:xMode val="edge"/>
          <c:yMode val="edge"/>
          <c:x val="0.13922886172970711"/>
          <c:y val="0.20729473856418354"/>
          <c:w val="0.83177527655668804"/>
          <c:h val="0.57785676790401208"/>
        </c:manualLayout>
      </c:layout>
      <c:lineChart>
        <c:grouping val="stacked"/>
        <c:varyColors val="0"/>
        <c:ser>
          <c:idx val="1"/>
          <c:order val="0"/>
          <c:tx>
            <c:strRef>
              <c:f>Sheet1!$A$2</c:f>
              <c:strCache>
                <c:ptCount val="1"/>
                <c:pt idx="0">
                  <c:v>SSRM Constanţa</c:v>
                </c:pt>
              </c:strCache>
            </c:strRef>
          </c:tx>
          <c:spPr>
            <a:ln w="12699">
              <a:solidFill>
                <a:srgbClr val="FF00FF"/>
              </a:solidFill>
              <a:prstDash val="solid"/>
            </a:ln>
          </c:spPr>
          <c:marker>
            <c:symbol val="square"/>
            <c:size val="4"/>
            <c:spPr>
              <a:solidFill>
                <a:srgbClr val="FF00FF"/>
              </a:solidFill>
              <a:ln>
                <a:solidFill>
                  <a:srgbClr val="FF00FF"/>
                </a:solidFill>
                <a:prstDash val="solid"/>
              </a:ln>
            </c:spPr>
          </c:marker>
          <c:cat>
            <c:strRef>
              <c:f>Sheet1!$B$1:$E$1</c:f>
              <c:strCache>
                <c:ptCount val="4"/>
                <c:pt idx="0">
                  <c:v>aspiraţia 02-07</c:v>
                </c:pt>
                <c:pt idx="1">
                  <c:v>aspiraţia 08-13</c:v>
                </c:pt>
                <c:pt idx="2">
                  <c:v>aspiraţia 14-19</c:v>
                </c:pt>
                <c:pt idx="3">
                  <c:v>aspiraţia 20-01</c:v>
                </c:pt>
              </c:strCache>
            </c:strRef>
          </c:cat>
          <c:val>
            <c:numRef>
              <c:f>Sheet1!$B$2:$E$2</c:f>
              <c:numCache>
                <c:formatCode>General</c:formatCode>
                <c:ptCount val="4"/>
                <c:pt idx="0">
                  <c:v>3.5000000000000001E-3</c:v>
                </c:pt>
                <c:pt idx="1">
                  <c:v>3.5000000000000001E-3</c:v>
                </c:pt>
                <c:pt idx="2">
                  <c:v>3.3999999999999998E-3</c:v>
                </c:pt>
                <c:pt idx="3">
                  <c:v>3.5000000000000001E-3</c:v>
                </c:pt>
              </c:numCache>
            </c:numRef>
          </c:val>
          <c:smooth val="0"/>
        </c:ser>
        <c:ser>
          <c:idx val="0"/>
          <c:order val="1"/>
          <c:tx>
            <c:strRef>
              <c:f>Sheet1!$A$3</c:f>
              <c:strCache>
                <c:ptCount val="1"/>
                <c:pt idx="0">
                  <c:v>SSRM Cernavodă</c:v>
                </c:pt>
              </c:strCache>
            </c:strRef>
          </c:tx>
          <c:spPr>
            <a:ln w="12699">
              <a:solidFill>
                <a:srgbClr val="000080"/>
              </a:solidFill>
              <a:prstDash val="solid"/>
            </a:ln>
          </c:spPr>
          <c:marker>
            <c:symbol val="diamond"/>
            <c:size val="4"/>
            <c:spPr>
              <a:solidFill>
                <a:srgbClr val="000080"/>
              </a:solidFill>
              <a:ln>
                <a:solidFill>
                  <a:srgbClr val="000080"/>
                </a:solidFill>
                <a:prstDash val="solid"/>
              </a:ln>
            </c:spPr>
          </c:marker>
          <c:cat>
            <c:strRef>
              <c:f>Sheet1!$B$1:$E$1</c:f>
              <c:strCache>
                <c:ptCount val="4"/>
                <c:pt idx="0">
                  <c:v>aspiraţia 02-07</c:v>
                </c:pt>
                <c:pt idx="1">
                  <c:v>aspiraţia 08-13</c:v>
                </c:pt>
                <c:pt idx="2">
                  <c:v>aspiraţia 14-19</c:v>
                </c:pt>
                <c:pt idx="3">
                  <c:v>aspiraţia 20-01</c:v>
                </c:pt>
              </c:strCache>
            </c:strRef>
          </c:cat>
          <c:val>
            <c:numRef>
              <c:f>Sheet1!$B$3:$E$3</c:f>
              <c:numCache>
                <c:formatCode>General</c:formatCode>
                <c:ptCount val="4"/>
                <c:pt idx="0">
                  <c:v>2.4500000000000001E-2</c:v>
                </c:pt>
                <c:pt idx="1">
                  <c:v>2.76E-2</c:v>
                </c:pt>
                <c:pt idx="2">
                  <c:v>2.53E-2</c:v>
                </c:pt>
                <c:pt idx="3">
                  <c:v>2.5000000000000001E-2</c:v>
                </c:pt>
              </c:numCache>
            </c:numRef>
          </c:val>
          <c:smooth val="0"/>
        </c:ser>
        <c:dLbls>
          <c:showLegendKey val="0"/>
          <c:showVal val="0"/>
          <c:showCatName val="0"/>
          <c:showSerName val="0"/>
          <c:showPercent val="0"/>
          <c:showBubbleSize val="0"/>
        </c:dLbls>
        <c:marker val="1"/>
        <c:smooth val="0"/>
        <c:axId val="102373248"/>
        <c:axId val="102424576"/>
      </c:lineChart>
      <c:catAx>
        <c:axId val="10237324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50" b="0" i="0" u="none" strike="noStrike" baseline="0">
                <a:solidFill>
                  <a:srgbClr val="000000"/>
                </a:solidFill>
                <a:latin typeface="Calibri" panose="020F0502020204030204" pitchFamily="34" charset="0"/>
                <a:ea typeface="Arial"/>
                <a:cs typeface="Arial"/>
              </a:defRPr>
            </a:pPr>
            <a:endParaRPr lang="en-US"/>
          </a:p>
        </c:txPr>
        <c:crossAx val="102424576"/>
        <c:crosses val="autoZero"/>
        <c:auto val="0"/>
        <c:lblAlgn val="ctr"/>
        <c:lblOffset val="100"/>
        <c:tickLblSkip val="1"/>
        <c:tickMarkSkip val="1"/>
        <c:noMultiLvlLbl val="0"/>
      </c:catAx>
      <c:valAx>
        <c:axId val="102424576"/>
        <c:scaling>
          <c:orientation val="minMax"/>
        </c:scaling>
        <c:delete val="0"/>
        <c:axPos val="l"/>
        <c:title>
          <c:tx>
            <c:rich>
              <a:bodyPr/>
              <a:lstStyle/>
              <a:p>
                <a:pPr>
                  <a:defRPr sz="1100" b="1" i="0" u="none" strike="noStrike" baseline="0">
                    <a:solidFill>
                      <a:srgbClr val="000000"/>
                    </a:solidFill>
                    <a:latin typeface="Arial"/>
                    <a:ea typeface="Arial"/>
                    <a:cs typeface="Arial"/>
                  </a:defRPr>
                </a:pPr>
                <a:r>
                  <a:rPr lang="en-US" sz="1100">
                    <a:latin typeface="+mn-lt"/>
                  </a:rPr>
                  <a:t>Bq/mc</a:t>
                </a:r>
              </a:p>
            </c:rich>
          </c:tx>
          <c:layout>
            <c:manualLayout>
              <c:xMode val="edge"/>
              <c:yMode val="edge"/>
              <c:x val="1.5360983102918587E-2"/>
              <c:y val="0.34836065573770492"/>
            </c:manualLayout>
          </c:layout>
          <c:overlay val="0"/>
          <c:spPr>
            <a:noFill/>
            <a:ln w="25398">
              <a:noFill/>
            </a:ln>
          </c:spPr>
        </c:title>
        <c:numFmt formatCode="#,##0.000" sourceLinked="0"/>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102373248"/>
        <c:crosses val="autoZero"/>
        <c:crossBetween val="between"/>
      </c:valAx>
      <c:spPr>
        <a:gradFill flip="none" rotWithShape="1">
          <a:gsLst>
            <a:gs pos="0">
              <a:srgbClr val="FBEAC7"/>
            </a:gs>
            <a:gs pos="35000">
              <a:srgbClr val="FEE7F2"/>
            </a:gs>
            <a:gs pos="68000">
              <a:srgbClr val="FAC77D"/>
            </a:gs>
            <a:gs pos="86000">
              <a:srgbClr val="FBA97D"/>
            </a:gs>
            <a:gs pos="99000">
              <a:srgbClr val="FBD49C"/>
            </a:gs>
            <a:gs pos="100000">
              <a:srgbClr val="FEE7F2"/>
            </a:gs>
          </a:gsLst>
          <a:lin ang="5400000" scaled="1"/>
          <a:tileRect/>
        </a:gradFill>
        <a:ln w="25398">
          <a:noFill/>
        </a:ln>
      </c:spPr>
    </c:plotArea>
    <c:legend>
      <c:legendPos val="b"/>
      <c:layout>
        <c:manualLayout>
          <c:xMode val="edge"/>
          <c:yMode val="edge"/>
          <c:x val="0.13056841054377405"/>
          <c:y val="0.87874182393867428"/>
          <c:w val="0.77888668824372409"/>
          <c:h val="8.9460484106153398E-2"/>
        </c:manualLayout>
      </c:layout>
      <c:overlay val="0"/>
      <c:spPr>
        <a:noFill/>
        <a:ln w="3175">
          <a:noFill/>
          <a:prstDash val="solid"/>
        </a:ln>
      </c:spPr>
      <c:txPr>
        <a:bodyPr/>
        <a:lstStyle/>
        <a:p>
          <a:pPr>
            <a:defRPr sz="1050" b="0" i="0" u="none" strike="noStrike" baseline="0">
              <a:solidFill>
                <a:srgbClr val="000000"/>
              </a:solidFill>
              <a:latin typeface="Calibri" panose="020F0502020204030204" pitchFamily="34" charset="0"/>
              <a:ea typeface="Arial"/>
              <a:cs typeface="Arial"/>
            </a:defRPr>
          </a:pPr>
          <a:endParaRPr lang="en-US"/>
        </a:p>
      </c:txPr>
    </c:legend>
    <c:plotVisOnly val="1"/>
    <c:dispBlanksAs val="zero"/>
    <c:showDLblsOverMax val="0"/>
  </c:chart>
  <c:spPr>
    <a:noFill/>
    <a:ln w="9525" cap="flat" cmpd="sng" algn="ctr">
      <a:solidFill>
        <a:srgbClr val="000000"/>
      </a:solidFill>
      <a:prstDash val="solid"/>
      <a:miter lim="800000"/>
      <a:headEnd type="none" w="med" len="med"/>
      <a:tailEnd type="none" w="med" len="med"/>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98" b="1" i="0" u="none" strike="noStrike" baseline="0">
                <a:solidFill>
                  <a:srgbClr val="000000"/>
                </a:solidFill>
                <a:latin typeface="+mn-lt"/>
                <a:ea typeface="Arial"/>
                <a:cs typeface="Arial"/>
              </a:defRPr>
            </a:pPr>
            <a:r>
              <a:rPr lang="en-US" sz="898">
                <a:latin typeface="+mn-lt"/>
              </a:rPr>
              <a:t>Figura IX.11. Concentraţii de Be-7 în aerosoli atmosferici, probe cumulate lunar </a:t>
            </a:r>
            <a:r>
              <a:rPr lang="ro-RO" sz="898">
                <a:latin typeface="+mn-lt"/>
              </a:rPr>
              <a:t>în</a:t>
            </a:r>
            <a:r>
              <a:rPr lang="ro-RO" sz="898" baseline="0">
                <a:latin typeface="+mn-lt"/>
              </a:rPr>
              <a:t> anul 201</a:t>
            </a:r>
            <a:r>
              <a:rPr lang="en-US" sz="898" baseline="0">
                <a:latin typeface="+mn-lt"/>
              </a:rPr>
              <a:t>5</a:t>
            </a:r>
            <a:endParaRPr lang="en-US" sz="1200">
              <a:latin typeface="+mn-lt"/>
            </a:endParaRPr>
          </a:p>
        </c:rich>
      </c:tx>
      <c:layout>
        <c:manualLayout>
          <c:xMode val="edge"/>
          <c:yMode val="edge"/>
          <c:x val="0.1442154941899868"/>
          <c:y val="2.173908117600408E-2"/>
        </c:manualLayout>
      </c:layout>
      <c:overlay val="0"/>
      <c:spPr>
        <a:noFill/>
        <a:ln w="19017">
          <a:noFill/>
        </a:ln>
      </c:spPr>
    </c:title>
    <c:autoTitleDeleted val="0"/>
    <c:plotArea>
      <c:layout>
        <c:manualLayout>
          <c:layoutTarget val="inner"/>
          <c:xMode val="edge"/>
          <c:yMode val="edge"/>
          <c:x val="8.5050184891706293E-2"/>
          <c:y val="0.19699881040049849"/>
          <c:w val="0.87057580559957737"/>
          <c:h val="0.50206801487943509"/>
        </c:manualLayout>
      </c:layout>
      <c:barChart>
        <c:barDir val="col"/>
        <c:grouping val="clustered"/>
        <c:varyColors val="0"/>
        <c:ser>
          <c:idx val="0"/>
          <c:order val="0"/>
          <c:tx>
            <c:v>Constanţa</c:v>
          </c:tx>
          <c:spPr>
            <a:solidFill>
              <a:srgbClr val="9999FF"/>
            </a:solidFill>
            <a:ln w="9508">
              <a:solidFill>
                <a:srgbClr val="000000"/>
              </a:solidFill>
              <a:prstDash val="solid"/>
            </a:ln>
          </c:spPr>
          <c:invertIfNegative val="0"/>
          <c:cat>
            <c:strRef>
              <c:f>Foaie1!$B$4:$M$4</c:f>
              <c:strCache>
                <c:ptCount val="12"/>
                <c:pt idx="0">
                  <c:v>Ian</c:v>
                </c:pt>
                <c:pt idx="1">
                  <c:v>Feb</c:v>
                </c:pt>
                <c:pt idx="2">
                  <c:v>Mar</c:v>
                </c:pt>
                <c:pt idx="3">
                  <c:v>Apr</c:v>
                </c:pt>
                <c:pt idx="4">
                  <c:v>Mai</c:v>
                </c:pt>
                <c:pt idx="5">
                  <c:v>Iun</c:v>
                </c:pt>
                <c:pt idx="6">
                  <c:v>Iul</c:v>
                </c:pt>
                <c:pt idx="7">
                  <c:v>Aug</c:v>
                </c:pt>
                <c:pt idx="8">
                  <c:v>Sep</c:v>
                </c:pt>
                <c:pt idx="9">
                  <c:v>Oct</c:v>
                </c:pt>
                <c:pt idx="10">
                  <c:v>Nov</c:v>
                </c:pt>
                <c:pt idx="11">
                  <c:v>Dec</c:v>
                </c:pt>
              </c:strCache>
            </c:strRef>
          </c:cat>
          <c:val>
            <c:numRef>
              <c:f>Foaie1!$B$5:$M$5</c:f>
              <c:numCache>
                <c:formatCode>General</c:formatCode>
                <c:ptCount val="12"/>
                <c:pt idx="0">
                  <c:v>2.3109999999999999</c:v>
                </c:pt>
                <c:pt idx="1">
                  <c:v>3.359</c:v>
                </c:pt>
                <c:pt idx="2">
                  <c:v>3.3420000000000001</c:v>
                </c:pt>
                <c:pt idx="3">
                  <c:v>4.3719999999999999</c:v>
                </c:pt>
                <c:pt idx="4">
                  <c:v>6.2080000000000002</c:v>
                </c:pt>
                <c:pt idx="5">
                  <c:v>6.2690000000000001</c:v>
                </c:pt>
                <c:pt idx="6">
                  <c:v>6.2050000000000001</c:v>
                </c:pt>
                <c:pt idx="7">
                  <c:v>6.8520000000000003</c:v>
                </c:pt>
                <c:pt idx="8">
                  <c:v>4.9429999999999996</c:v>
                </c:pt>
                <c:pt idx="9">
                  <c:v>3.3090000000000002</c:v>
                </c:pt>
                <c:pt idx="10">
                  <c:v>3.4780000000000002</c:v>
                </c:pt>
                <c:pt idx="11">
                  <c:v>3.1749999999999998</c:v>
                </c:pt>
              </c:numCache>
            </c:numRef>
          </c:val>
        </c:ser>
        <c:ser>
          <c:idx val="1"/>
          <c:order val="1"/>
          <c:tx>
            <c:v>Cernavodă</c:v>
          </c:tx>
          <c:spPr>
            <a:solidFill>
              <a:srgbClr val="993366"/>
            </a:solidFill>
            <a:ln w="9508">
              <a:solidFill>
                <a:srgbClr val="000000"/>
              </a:solidFill>
              <a:prstDash val="solid"/>
            </a:ln>
          </c:spPr>
          <c:invertIfNegative val="0"/>
          <c:val>
            <c:numRef>
              <c:f>Foaie1!$B$6:$M$6</c:f>
              <c:numCache>
                <c:formatCode>0.000</c:formatCode>
                <c:ptCount val="12"/>
                <c:pt idx="0">
                  <c:v>2.0179999999999998</c:v>
                </c:pt>
                <c:pt idx="1">
                  <c:v>3.62</c:v>
                </c:pt>
                <c:pt idx="2">
                  <c:v>3.5209999999999999</c:v>
                </c:pt>
                <c:pt idx="3">
                  <c:v>4.54</c:v>
                </c:pt>
                <c:pt idx="4">
                  <c:v>6.3780000000000001</c:v>
                </c:pt>
                <c:pt idx="5">
                  <c:v>6.4219999999999997</c:v>
                </c:pt>
                <c:pt idx="6">
                  <c:v>7.4489999999999998</c:v>
                </c:pt>
                <c:pt idx="7">
                  <c:v>6.9560000000000004</c:v>
                </c:pt>
                <c:pt idx="8">
                  <c:v>4.907</c:v>
                </c:pt>
                <c:pt idx="9">
                  <c:v>2.7320000000000002</c:v>
                </c:pt>
                <c:pt idx="10">
                  <c:v>3.8149999999999999</c:v>
                </c:pt>
                <c:pt idx="11">
                  <c:v>3.4340000000000002</c:v>
                </c:pt>
              </c:numCache>
            </c:numRef>
          </c:val>
        </c:ser>
        <c:ser>
          <c:idx val="2"/>
          <c:order val="2"/>
          <c:tx>
            <c:v>Galaţi</c:v>
          </c:tx>
          <c:spPr>
            <a:solidFill>
              <a:srgbClr val="FFFFCC"/>
            </a:solidFill>
            <a:ln w="9508">
              <a:solidFill>
                <a:srgbClr val="000000"/>
              </a:solidFill>
              <a:prstDash val="solid"/>
            </a:ln>
          </c:spPr>
          <c:invertIfNegative val="0"/>
          <c:val>
            <c:numRef>
              <c:f>Foaie1!$B$7:$M$7</c:f>
              <c:numCache>
                <c:formatCode>0.000</c:formatCode>
                <c:ptCount val="12"/>
                <c:pt idx="0">
                  <c:v>1.1890000000000001</c:v>
                </c:pt>
                <c:pt idx="1">
                  <c:v>2.1739999999999999</c:v>
                </c:pt>
                <c:pt idx="2">
                  <c:v>1.92</c:v>
                </c:pt>
                <c:pt idx="3">
                  <c:v>1.85</c:v>
                </c:pt>
                <c:pt idx="4">
                  <c:v>2.3450000000000002</c:v>
                </c:pt>
                <c:pt idx="5">
                  <c:v>2.911</c:v>
                </c:pt>
                <c:pt idx="6">
                  <c:v>3.78</c:v>
                </c:pt>
                <c:pt idx="7">
                  <c:v>0.48499999999999999</c:v>
                </c:pt>
                <c:pt idx="8">
                  <c:v>1.9610000000000001</c:v>
                </c:pt>
                <c:pt idx="9">
                  <c:v>1.9450000000000001</c:v>
                </c:pt>
                <c:pt idx="10">
                  <c:v>1.36</c:v>
                </c:pt>
                <c:pt idx="11">
                  <c:v>1.4490000000000001</c:v>
                </c:pt>
              </c:numCache>
            </c:numRef>
          </c:val>
        </c:ser>
        <c:ser>
          <c:idx val="3"/>
          <c:order val="3"/>
          <c:tx>
            <c:v>Buzău</c:v>
          </c:tx>
          <c:spPr>
            <a:solidFill>
              <a:srgbClr val="CCFFFF"/>
            </a:solidFill>
            <a:ln w="9508">
              <a:solidFill>
                <a:srgbClr val="000000"/>
              </a:solidFill>
              <a:prstDash val="solid"/>
            </a:ln>
          </c:spPr>
          <c:invertIfNegative val="0"/>
          <c:val>
            <c:numRef>
              <c:f>Foaie1!$B$8:$M$8</c:f>
              <c:numCache>
                <c:formatCode>0.000</c:formatCode>
                <c:ptCount val="12"/>
                <c:pt idx="0">
                  <c:v>1.3029999999999999</c:v>
                </c:pt>
                <c:pt idx="1">
                  <c:v>3.411</c:v>
                </c:pt>
                <c:pt idx="2">
                  <c:v>2.88</c:v>
                </c:pt>
                <c:pt idx="3">
                  <c:v>4.492</c:v>
                </c:pt>
                <c:pt idx="4">
                  <c:v>4.53</c:v>
                </c:pt>
                <c:pt idx="5">
                  <c:v>6.0149999999999997</c:v>
                </c:pt>
                <c:pt idx="6">
                  <c:v>7.2279999999999998</c:v>
                </c:pt>
                <c:pt idx="7">
                  <c:v>7.2270000000000003</c:v>
                </c:pt>
                <c:pt idx="8">
                  <c:v>4.681</c:v>
                </c:pt>
                <c:pt idx="9">
                  <c:v>3.8929999999999998</c:v>
                </c:pt>
                <c:pt idx="10">
                  <c:v>3.3730000000000002</c:v>
                </c:pt>
                <c:pt idx="11">
                  <c:v>3.2909999999999999</c:v>
                </c:pt>
              </c:numCache>
            </c:numRef>
          </c:val>
        </c:ser>
        <c:ser>
          <c:idx val="4"/>
          <c:order val="4"/>
          <c:tx>
            <c:v>Tulcea</c:v>
          </c:tx>
          <c:spPr>
            <a:solidFill>
              <a:srgbClr val="660066"/>
            </a:solidFill>
            <a:ln w="9508">
              <a:solidFill>
                <a:srgbClr val="000000"/>
              </a:solidFill>
              <a:prstDash val="solid"/>
            </a:ln>
          </c:spPr>
          <c:invertIfNegative val="0"/>
          <c:val>
            <c:numRef>
              <c:f>Foaie1!$B$9:$M$9</c:f>
              <c:numCache>
                <c:formatCode>0.000</c:formatCode>
                <c:ptCount val="12"/>
                <c:pt idx="0">
                  <c:v>1.847</c:v>
                </c:pt>
                <c:pt idx="1">
                  <c:v>2.327</c:v>
                </c:pt>
                <c:pt idx="2">
                  <c:v>2.6440000000000001</c:v>
                </c:pt>
                <c:pt idx="3">
                  <c:v>3.3769999999999998</c:v>
                </c:pt>
                <c:pt idx="4">
                  <c:v>4.6139999999999999</c:v>
                </c:pt>
                <c:pt idx="5">
                  <c:v>5.1319999999999997</c:v>
                </c:pt>
                <c:pt idx="6">
                  <c:v>4.8689999999999998</c:v>
                </c:pt>
                <c:pt idx="7">
                  <c:v>5.5119999999999996</c:v>
                </c:pt>
                <c:pt idx="8">
                  <c:v>3.4529999999999998</c:v>
                </c:pt>
                <c:pt idx="9">
                  <c:v>1.8380000000000001</c:v>
                </c:pt>
                <c:pt idx="10">
                  <c:v>1.6519999999999999</c:v>
                </c:pt>
                <c:pt idx="11">
                  <c:v>2.3839999999999999</c:v>
                </c:pt>
              </c:numCache>
            </c:numRef>
          </c:val>
        </c:ser>
        <c:ser>
          <c:idx val="5"/>
          <c:order val="5"/>
          <c:tx>
            <c:v>Sf. Gheorghe</c:v>
          </c:tx>
          <c:spPr>
            <a:solidFill>
              <a:srgbClr val="FF8080"/>
            </a:solidFill>
            <a:ln w="9508">
              <a:solidFill>
                <a:srgbClr val="000000"/>
              </a:solidFill>
              <a:prstDash val="solid"/>
            </a:ln>
          </c:spPr>
          <c:invertIfNegative val="0"/>
          <c:val>
            <c:numRef>
              <c:f>Foaie1!$B$10:$M$10</c:f>
              <c:numCache>
                <c:formatCode>General</c:formatCode>
                <c:ptCount val="12"/>
                <c:pt idx="0" formatCode="0.000">
                  <c:v>1.427</c:v>
                </c:pt>
                <c:pt idx="4" formatCode="0.000">
                  <c:v>2.3210000000000002</c:v>
                </c:pt>
                <c:pt idx="5" formatCode="0.000">
                  <c:v>2.5209999999999999</c:v>
                </c:pt>
                <c:pt idx="6" formatCode="0.000">
                  <c:v>1.8169999999999999</c:v>
                </c:pt>
                <c:pt idx="7" formatCode="0.000">
                  <c:v>3.504</c:v>
                </c:pt>
              </c:numCache>
            </c:numRef>
          </c:val>
        </c:ser>
        <c:dLbls>
          <c:showLegendKey val="0"/>
          <c:showVal val="0"/>
          <c:showCatName val="0"/>
          <c:showSerName val="0"/>
          <c:showPercent val="0"/>
          <c:showBubbleSize val="0"/>
        </c:dLbls>
        <c:gapWidth val="150"/>
        <c:axId val="102674816"/>
        <c:axId val="102676352"/>
      </c:barChart>
      <c:catAx>
        <c:axId val="102674816"/>
        <c:scaling>
          <c:orientation val="minMax"/>
        </c:scaling>
        <c:delete val="0"/>
        <c:axPos val="b"/>
        <c:numFmt formatCode="General" sourceLinked="1"/>
        <c:majorTickMark val="out"/>
        <c:minorTickMark val="none"/>
        <c:tickLblPos val="nextTo"/>
        <c:spPr>
          <a:ln w="2377">
            <a:solidFill>
              <a:srgbClr val="000000"/>
            </a:solidFill>
            <a:prstDash val="solid"/>
          </a:ln>
        </c:spPr>
        <c:txPr>
          <a:bodyPr rot="0" vert="horz"/>
          <a:lstStyle/>
          <a:p>
            <a:pPr>
              <a:defRPr sz="599" b="0" i="0" u="none" strike="noStrike" baseline="0">
                <a:solidFill>
                  <a:srgbClr val="000000"/>
                </a:solidFill>
                <a:latin typeface="Arial"/>
                <a:ea typeface="Arial"/>
                <a:cs typeface="Arial"/>
              </a:defRPr>
            </a:pPr>
            <a:endParaRPr lang="en-US"/>
          </a:p>
        </c:txPr>
        <c:crossAx val="102676352"/>
        <c:crosses val="autoZero"/>
        <c:auto val="1"/>
        <c:lblAlgn val="ctr"/>
        <c:lblOffset val="100"/>
        <c:tickLblSkip val="1"/>
        <c:tickMarkSkip val="1"/>
        <c:noMultiLvlLbl val="0"/>
      </c:catAx>
      <c:valAx>
        <c:axId val="102676352"/>
        <c:scaling>
          <c:orientation val="minMax"/>
        </c:scaling>
        <c:delete val="0"/>
        <c:axPos val="l"/>
        <c:majorGridlines>
          <c:spPr>
            <a:ln w="2377">
              <a:solidFill>
                <a:srgbClr val="000000"/>
              </a:solidFill>
              <a:prstDash val="solid"/>
            </a:ln>
          </c:spPr>
        </c:majorGridlines>
        <c:title>
          <c:tx>
            <c:rich>
              <a:bodyPr/>
              <a:lstStyle/>
              <a:p>
                <a:pPr>
                  <a:defRPr sz="824" b="1" i="0" u="none" strike="noStrike" baseline="0">
                    <a:solidFill>
                      <a:srgbClr val="000000"/>
                    </a:solidFill>
                    <a:latin typeface="+mn-lt"/>
                    <a:ea typeface="Arial"/>
                    <a:cs typeface="Arial"/>
                  </a:defRPr>
                </a:pPr>
                <a:r>
                  <a:rPr lang="en-US" sz="824">
                    <a:latin typeface="+mn-lt"/>
                  </a:rPr>
                  <a:t>mBq/mc</a:t>
                </a:r>
              </a:p>
            </c:rich>
          </c:tx>
          <c:layout>
            <c:manualLayout>
              <c:xMode val="edge"/>
              <c:yMode val="edge"/>
              <c:x val="1.2678274370633248E-2"/>
              <c:y val="0.36956513529334012"/>
            </c:manualLayout>
          </c:layout>
          <c:overlay val="0"/>
          <c:spPr>
            <a:noFill/>
            <a:ln w="19017">
              <a:noFill/>
            </a:ln>
          </c:spPr>
        </c:title>
        <c:numFmt formatCode="General" sourceLinked="1"/>
        <c:majorTickMark val="out"/>
        <c:minorTickMark val="none"/>
        <c:tickLblPos val="nextTo"/>
        <c:spPr>
          <a:ln w="2377">
            <a:solidFill>
              <a:srgbClr val="000000"/>
            </a:solidFill>
            <a:prstDash val="solid"/>
          </a:ln>
        </c:spPr>
        <c:txPr>
          <a:bodyPr rot="0" vert="horz"/>
          <a:lstStyle/>
          <a:p>
            <a:pPr>
              <a:defRPr sz="599" b="0" i="0" u="none" strike="noStrike" baseline="0">
                <a:solidFill>
                  <a:srgbClr val="000000"/>
                </a:solidFill>
                <a:latin typeface="Arial"/>
                <a:ea typeface="Arial"/>
                <a:cs typeface="Arial"/>
              </a:defRPr>
            </a:pPr>
            <a:endParaRPr lang="en-US"/>
          </a:p>
        </c:txPr>
        <c:crossAx val="102674816"/>
        <c:crosses val="autoZero"/>
        <c:crossBetween val="between"/>
      </c:valAx>
      <c:spPr>
        <a:gradFill rotWithShape="0">
          <a:gsLst>
            <a:gs pos="0">
              <a:srgbClr xmlns:mc="http://schemas.openxmlformats.org/markup-compatibility/2006" xmlns:a14="http://schemas.microsoft.com/office/drawing/2010/main" val="020202" mc:Ignorable="a14" a14:legacySpreadsheetColorIndex="9">
                <a:gamma/>
                <a:shade val="76078"/>
                <a:invGamma/>
              </a:srgbClr>
            </a:gs>
            <a:gs pos="100000">
              <a:srgbClr xmlns:mc="http://schemas.openxmlformats.org/markup-compatibility/2006" xmlns:a14="http://schemas.microsoft.com/office/drawing/2010/main" val="FFFFFF" mc:Ignorable="a14" a14:legacySpreadsheetColorIndex="9"/>
            </a:gs>
          </a:gsLst>
          <a:lin ang="5400000" scaled="1"/>
        </a:gradFill>
        <a:ln w="9508">
          <a:solidFill>
            <a:srgbClr val="808080"/>
          </a:solidFill>
          <a:prstDash val="solid"/>
        </a:ln>
      </c:spPr>
    </c:plotArea>
    <c:legend>
      <c:legendPos val="b"/>
      <c:legendEntry>
        <c:idx val="1"/>
        <c:txPr>
          <a:bodyPr/>
          <a:lstStyle/>
          <a:p>
            <a:pPr>
              <a:defRPr sz="749" b="0" i="0" u="none" strike="noStrike" baseline="0">
                <a:solidFill>
                  <a:srgbClr val="000000"/>
                </a:solidFill>
                <a:latin typeface="+mn-lt"/>
                <a:ea typeface="Arial"/>
                <a:cs typeface="Arial"/>
              </a:defRPr>
            </a:pPr>
            <a:endParaRPr lang="en-US"/>
          </a:p>
        </c:txPr>
      </c:legendEntry>
      <c:legendEntry>
        <c:idx val="3"/>
        <c:txPr>
          <a:bodyPr/>
          <a:lstStyle/>
          <a:p>
            <a:pPr>
              <a:defRPr sz="749" b="0" i="0" u="none" strike="noStrike" baseline="0">
                <a:solidFill>
                  <a:srgbClr val="000000"/>
                </a:solidFill>
                <a:latin typeface="+mn-lt"/>
                <a:ea typeface="Arial"/>
                <a:cs typeface="Arial"/>
              </a:defRPr>
            </a:pPr>
            <a:endParaRPr lang="en-US"/>
          </a:p>
        </c:txPr>
      </c:legendEntry>
      <c:layout>
        <c:manualLayout>
          <c:xMode val="edge"/>
          <c:yMode val="edge"/>
          <c:x val="0.10829371680652596"/>
          <c:y val="0.83781642402613343"/>
          <c:w val="0.83518226888305624"/>
          <c:h val="0.12077267320002272"/>
        </c:manualLayout>
      </c:layout>
      <c:overlay val="0"/>
      <c:spPr>
        <a:solidFill>
          <a:srgbClr val="FFFFFF"/>
        </a:solidFill>
        <a:ln w="19017">
          <a:noFill/>
        </a:ln>
      </c:spPr>
      <c:txPr>
        <a:bodyPr/>
        <a:lstStyle/>
        <a:p>
          <a:pPr>
            <a:defRPr sz="786" b="0" i="0" u="none" strike="noStrike" baseline="0">
              <a:solidFill>
                <a:srgbClr val="000000"/>
              </a:solidFill>
              <a:latin typeface="+mn-lt"/>
              <a:ea typeface="Arial"/>
              <a:cs typeface="Arial"/>
            </a:defRPr>
          </a:pPr>
          <a:endParaRPr lang="en-US"/>
        </a:p>
      </c:txPr>
    </c:legend>
    <c:plotVisOnly val="1"/>
    <c:dispBlanksAs val="gap"/>
    <c:showDLblsOverMax val="0"/>
  </c:chart>
  <c:spPr>
    <a:solidFill>
      <a:srgbClr val="FFFFFF"/>
    </a:solidFill>
    <a:ln w="2377">
      <a:solidFill>
        <a:srgbClr val="000000"/>
      </a:solidFill>
      <a:prstDash val="solid"/>
    </a:ln>
  </c:spPr>
  <c:txPr>
    <a:bodyPr/>
    <a:lstStyle/>
    <a:p>
      <a:pPr>
        <a:defRPr sz="1104" b="0" i="0" u="none" strike="noStrike" baseline="0">
          <a:solidFill>
            <a:srgbClr val="000000"/>
          </a:solidFill>
          <a:latin typeface="Arial"/>
          <a:ea typeface="Arial"/>
          <a:cs typeface="Arial"/>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502" b="0" i="0" u="none" strike="noStrike" baseline="0">
                <a:solidFill>
                  <a:srgbClr val="000000"/>
                </a:solidFill>
                <a:latin typeface="+mn-lt"/>
                <a:ea typeface="Arial"/>
                <a:cs typeface="Arial"/>
              </a:defRPr>
            </a:pPr>
            <a:r>
              <a:rPr lang="en-US" sz="897" b="1" i="0" u="none" strike="noStrike" baseline="0">
                <a:solidFill>
                  <a:srgbClr val="000000"/>
                </a:solidFill>
                <a:latin typeface="+mn-lt"/>
                <a:cs typeface="Arial"/>
              </a:rPr>
              <a:t>Figura IX.12. Depuneri atmosferice totale</a:t>
            </a:r>
          </a:p>
          <a:p>
            <a:pPr>
              <a:defRPr sz="502" b="0" i="0" u="none" strike="noStrike" baseline="0">
                <a:solidFill>
                  <a:srgbClr val="000000"/>
                </a:solidFill>
                <a:latin typeface="+mn-lt"/>
                <a:ea typeface="Arial"/>
                <a:cs typeface="Arial"/>
              </a:defRPr>
            </a:pPr>
            <a:r>
              <a:rPr lang="en-US" sz="897" b="1" i="0" u="none" strike="noStrike" baseline="0">
                <a:solidFill>
                  <a:srgbClr val="000000"/>
                </a:solidFill>
                <a:latin typeface="+mn-lt"/>
                <a:cs typeface="Arial"/>
              </a:rPr>
              <a:t>Activitate specifică beta globală - măsurători imediate  </a:t>
            </a:r>
          </a:p>
          <a:p>
            <a:pPr>
              <a:defRPr sz="502" b="0" i="0" u="none" strike="noStrike" baseline="0">
                <a:solidFill>
                  <a:srgbClr val="000000"/>
                </a:solidFill>
                <a:latin typeface="+mn-lt"/>
                <a:ea typeface="Arial"/>
                <a:cs typeface="Arial"/>
              </a:defRPr>
            </a:pPr>
            <a:endParaRPr lang="en-US" sz="1200" b="1" i="0" u="none" strike="noStrike" baseline="0">
              <a:solidFill>
                <a:srgbClr val="000000"/>
              </a:solidFill>
              <a:latin typeface="+mn-lt"/>
              <a:cs typeface="Arial"/>
            </a:endParaRPr>
          </a:p>
        </c:rich>
      </c:tx>
      <c:layout>
        <c:manualLayout>
          <c:xMode val="edge"/>
          <c:yMode val="edge"/>
          <c:x val="0.22397476340694006"/>
          <c:y val="0"/>
        </c:manualLayout>
      </c:layout>
      <c:overlay val="0"/>
      <c:spPr>
        <a:noFill/>
        <a:ln w="18992">
          <a:noFill/>
        </a:ln>
      </c:spPr>
    </c:title>
    <c:autoTitleDeleted val="0"/>
    <c:view3D>
      <c:rotX val="10"/>
      <c:hPercent val="26"/>
      <c:rotY val="20"/>
      <c:depthPercent val="170"/>
      <c:rAngAx val="1"/>
    </c:view3D>
    <c:floor>
      <c:thickness val="0"/>
      <c:spPr>
        <a:solidFill>
          <a:srgbClr val="FFFFFF"/>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7.8864353312302835E-2"/>
          <c:y val="0.22932330827067668"/>
          <c:w val="0.90054099022091338"/>
          <c:h val="0.5"/>
        </c:manualLayout>
      </c:layout>
      <c:bar3DChart>
        <c:barDir val="col"/>
        <c:grouping val="standard"/>
        <c:varyColors val="0"/>
        <c:ser>
          <c:idx val="0"/>
          <c:order val="0"/>
          <c:tx>
            <c:strRef>
              <c:f>constanta!$A$3</c:f>
              <c:strCache>
                <c:ptCount val="1"/>
                <c:pt idx="0">
                  <c:v>medie Constanţa</c:v>
                </c:pt>
              </c:strCache>
            </c:strRef>
          </c:tx>
          <c:spPr>
            <a:solidFill>
              <a:srgbClr val="9999FF"/>
            </a:solidFill>
            <a:ln w="9496">
              <a:solidFill>
                <a:srgbClr val="000000"/>
              </a:solidFill>
              <a:prstDash val="solid"/>
            </a:ln>
          </c:spPr>
          <c:invertIfNegative val="0"/>
          <c:cat>
            <c:strRef>
              <c:f>constanta!$B$2:$M$2</c:f>
              <c:strCache>
                <c:ptCount val="12"/>
                <c:pt idx="0">
                  <c:v>Ian</c:v>
                </c:pt>
                <c:pt idx="1">
                  <c:v>Feb</c:v>
                </c:pt>
                <c:pt idx="2">
                  <c:v>Mar</c:v>
                </c:pt>
                <c:pt idx="3">
                  <c:v>Apr</c:v>
                </c:pt>
                <c:pt idx="4">
                  <c:v>Mai</c:v>
                </c:pt>
                <c:pt idx="5">
                  <c:v>Iun</c:v>
                </c:pt>
                <c:pt idx="6">
                  <c:v>Iul</c:v>
                </c:pt>
                <c:pt idx="7">
                  <c:v>Aug</c:v>
                </c:pt>
                <c:pt idx="8">
                  <c:v>Sep</c:v>
                </c:pt>
                <c:pt idx="9">
                  <c:v>Oct</c:v>
                </c:pt>
                <c:pt idx="10">
                  <c:v>Nov</c:v>
                </c:pt>
                <c:pt idx="11">
                  <c:v>Dec</c:v>
                </c:pt>
              </c:strCache>
            </c:strRef>
          </c:cat>
          <c:val>
            <c:numRef>
              <c:f>constanta!$B$3:$M$3</c:f>
              <c:numCache>
                <c:formatCode>General</c:formatCode>
                <c:ptCount val="12"/>
                <c:pt idx="0">
                  <c:v>1.04</c:v>
                </c:pt>
                <c:pt idx="1">
                  <c:v>1.94</c:v>
                </c:pt>
                <c:pt idx="2">
                  <c:v>3.66</c:v>
                </c:pt>
                <c:pt idx="3">
                  <c:v>1.23</c:v>
                </c:pt>
                <c:pt idx="4">
                  <c:v>2.72</c:v>
                </c:pt>
                <c:pt idx="5">
                  <c:v>1.1499999999999999</c:v>
                </c:pt>
                <c:pt idx="6">
                  <c:v>11.3</c:v>
                </c:pt>
                <c:pt idx="7">
                  <c:v>2.11</c:v>
                </c:pt>
                <c:pt idx="8">
                  <c:v>1.17</c:v>
                </c:pt>
                <c:pt idx="9">
                  <c:v>2.19</c:v>
                </c:pt>
                <c:pt idx="10">
                  <c:v>1.39</c:v>
                </c:pt>
                <c:pt idx="11">
                  <c:v>0.55000000000000004</c:v>
                </c:pt>
              </c:numCache>
            </c:numRef>
          </c:val>
        </c:ser>
        <c:ser>
          <c:idx val="1"/>
          <c:order val="1"/>
          <c:tx>
            <c:strRef>
              <c:f>constanta!$A$4</c:f>
              <c:strCache>
                <c:ptCount val="1"/>
                <c:pt idx="0">
                  <c:v>medie Cernavodă</c:v>
                </c:pt>
              </c:strCache>
            </c:strRef>
          </c:tx>
          <c:invertIfNegative val="0"/>
          <c:cat>
            <c:strRef>
              <c:f>constanta!$B$2:$M$2</c:f>
              <c:strCache>
                <c:ptCount val="12"/>
                <c:pt idx="0">
                  <c:v>Ian</c:v>
                </c:pt>
                <c:pt idx="1">
                  <c:v>Feb</c:v>
                </c:pt>
                <c:pt idx="2">
                  <c:v>Mar</c:v>
                </c:pt>
                <c:pt idx="3">
                  <c:v>Apr</c:v>
                </c:pt>
                <c:pt idx="4">
                  <c:v>Mai</c:v>
                </c:pt>
                <c:pt idx="5">
                  <c:v>Iun</c:v>
                </c:pt>
                <c:pt idx="6">
                  <c:v>Iul</c:v>
                </c:pt>
                <c:pt idx="7">
                  <c:v>Aug</c:v>
                </c:pt>
                <c:pt idx="8">
                  <c:v>Sep</c:v>
                </c:pt>
                <c:pt idx="9">
                  <c:v>Oct</c:v>
                </c:pt>
                <c:pt idx="10">
                  <c:v>Nov</c:v>
                </c:pt>
                <c:pt idx="11">
                  <c:v>Dec</c:v>
                </c:pt>
              </c:strCache>
            </c:strRef>
          </c:cat>
          <c:val>
            <c:numRef>
              <c:f>constanta!$B$4:$M$4</c:f>
              <c:numCache>
                <c:formatCode>General</c:formatCode>
                <c:ptCount val="12"/>
                <c:pt idx="0">
                  <c:v>1.4</c:v>
                </c:pt>
                <c:pt idx="1">
                  <c:v>2.1</c:v>
                </c:pt>
                <c:pt idx="2">
                  <c:v>2.74</c:v>
                </c:pt>
                <c:pt idx="3">
                  <c:v>2.38</c:v>
                </c:pt>
                <c:pt idx="4">
                  <c:v>1.17</c:v>
                </c:pt>
                <c:pt idx="5">
                  <c:v>0.97</c:v>
                </c:pt>
                <c:pt idx="6">
                  <c:v>2.71</c:v>
                </c:pt>
                <c:pt idx="7">
                  <c:v>1.23</c:v>
                </c:pt>
                <c:pt idx="8">
                  <c:v>2.21</c:v>
                </c:pt>
                <c:pt idx="9">
                  <c:v>1.1399999999999999</c:v>
                </c:pt>
                <c:pt idx="10">
                  <c:v>1.27</c:v>
                </c:pt>
                <c:pt idx="11">
                  <c:v>0.52</c:v>
                </c:pt>
              </c:numCache>
            </c:numRef>
          </c:val>
        </c:ser>
        <c:ser>
          <c:idx val="2"/>
          <c:order val="2"/>
          <c:tx>
            <c:strRef>
              <c:f>constanta!$A$5</c:f>
              <c:strCache>
                <c:ptCount val="1"/>
                <c:pt idx="0">
                  <c:v>maxima Constanţa</c:v>
                </c:pt>
              </c:strCache>
            </c:strRef>
          </c:tx>
          <c:invertIfNegative val="0"/>
          <c:cat>
            <c:strRef>
              <c:f>constanta!$B$2:$M$2</c:f>
              <c:strCache>
                <c:ptCount val="12"/>
                <c:pt idx="0">
                  <c:v>Ian</c:v>
                </c:pt>
                <c:pt idx="1">
                  <c:v>Feb</c:v>
                </c:pt>
                <c:pt idx="2">
                  <c:v>Mar</c:v>
                </c:pt>
                <c:pt idx="3">
                  <c:v>Apr</c:v>
                </c:pt>
                <c:pt idx="4">
                  <c:v>Mai</c:v>
                </c:pt>
                <c:pt idx="5">
                  <c:v>Iun</c:v>
                </c:pt>
                <c:pt idx="6">
                  <c:v>Iul</c:v>
                </c:pt>
                <c:pt idx="7">
                  <c:v>Aug</c:v>
                </c:pt>
                <c:pt idx="8">
                  <c:v>Sep</c:v>
                </c:pt>
                <c:pt idx="9">
                  <c:v>Oct</c:v>
                </c:pt>
                <c:pt idx="10">
                  <c:v>Nov</c:v>
                </c:pt>
                <c:pt idx="11">
                  <c:v>Dec</c:v>
                </c:pt>
              </c:strCache>
            </c:strRef>
          </c:cat>
          <c:val>
            <c:numRef>
              <c:f>constanta!$B$5:$M$5</c:f>
              <c:numCache>
                <c:formatCode>General</c:formatCode>
                <c:ptCount val="12"/>
                <c:pt idx="0">
                  <c:v>3.7</c:v>
                </c:pt>
                <c:pt idx="1">
                  <c:v>13.17</c:v>
                </c:pt>
                <c:pt idx="2">
                  <c:v>21.07</c:v>
                </c:pt>
                <c:pt idx="3">
                  <c:v>8.2899999999999991</c:v>
                </c:pt>
                <c:pt idx="4">
                  <c:v>13.79</c:v>
                </c:pt>
                <c:pt idx="5">
                  <c:v>8.23</c:v>
                </c:pt>
                <c:pt idx="6">
                  <c:v>63.27</c:v>
                </c:pt>
                <c:pt idx="7">
                  <c:v>11.89</c:v>
                </c:pt>
                <c:pt idx="8">
                  <c:v>3.27</c:v>
                </c:pt>
                <c:pt idx="9">
                  <c:v>17.53</c:v>
                </c:pt>
                <c:pt idx="10">
                  <c:v>4.38</c:v>
                </c:pt>
                <c:pt idx="11">
                  <c:v>0.75</c:v>
                </c:pt>
              </c:numCache>
            </c:numRef>
          </c:val>
        </c:ser>
        <c:ser>
          <c:idx val="3"/>
          <c:order val="3"/>
          <c:tx>
            <c:strRef>
              <c:f>constanta!$A$6</c:f>
              <c:strCache>
                <c:ptCount val="1"/>
                <c:pt idx="0">
                  <c:v>maxima Cernavodă</c:v>
                </c:pt>
              </c:strCache>
            </c:strRef>
          </c:tx>
          <c:invertIfNegative val="0"/>
          <c:cat>
            <c:strRef>
              <c:f>constanta!$B$2:$M$2</c:f>
              <c:strCache>
                <c:ptCount val="12"/>
                <c:pt idx="0">
                  <c:v>Ian</c:v>
                </c:pt>
                <c:pt idx="1">
                  <c:v>Feb</c:v>
                </c:pt>
                <c:pt idx="2">
                  <c:v>Mar</c:v>
                </c:pt>
                <c:pt idx="3">
                  <c:v>Apr</c:v>
                </c:pt>
                <c:pt idx="4">
                  <c:v>Mai</c:v>
                </c:pt>
                <c:pt idx="5">
                  <c:v>Iun</c:v>
                </c:pt>
                <c:pt idx="6">
                  <c:v>Iul</c:v>
                </c:pt>
                <c:pt idx="7">
                  <c:v>Aug</c:v>
                </c:pt>
                <c:pt idx="8">
                  <c:v>Sep</c:v>
                </c:pt>
                <c:pt idx="9">
                  <c:v>Oct</c:v>
                </c:pt>
                <c:pt idx="10">
                  <c:v>Nov</c:v>
                </c:pt>
                <c:pt idx="11">
                  <c:v>Dec</c:v>
                </c:pt>
              </c:strCache>
            </c:strRef>
          </c:cat>
          <c:val>
            <c:numRef>
              <c:f>constanta!$B$6:$M$6</c:f>
              <c:numCache>
                <c:formatCode>General</c:formatCode>
                <c:ptCount val="12"/>
                <c:pt idx="0">
                  <c:v>3.31</c:v>
                </c:pt>
                <c:pt idx="1">
                  <c:v>9.31</c:v>
                </c:pt>
                <c:pt idx="2">
                  <c:v>12.28</c:v>
                </c:pt>
                <c:pt idx="3">
                  <c:v>13.65</c:v>
                </c:pt>
                <c:pt idx="4">
                  <c:v>4.3099999999999996</c:v>
                </c:pt>
                <c:pt idx="5">
                  <c:v>3.45</c:v>
                </c:pt>
                <c:pt idx="6">
                  <c:v>6.48</c:v>
                </c:pt>
                <c:pt idx="7">
                  <c:v>3.98</c:v>
                </c:pt>
                <c:pt idx="8">
                  <c:v>6.65</c:v>
                </c:pt>
                <c:pt idx="9">
                  <c:v>1.81</c:v>
                </c:pt>
                <c:pt idx="10">
                  <c:v>2.44</c:v>
                </c:pt>
                <c:pt idx="11">
                  <c:v>0.68</c:v>
                </c:pt>
              </c:numCache>
            </c:numRef>
          </c:val>
        </c:ser>
        <c:dLbls>
          <c:showLegendKey val="0"/>
          <c:showVal val="0"/>
          <c:showCatName val="0"/>
          <c:showSerName val="0"/>
          <c:showPercent val="0"/>
          <c:showBubbleSize val="0"/>
        </c:dLbls>
        <c:gapWidth val="340"/>
        <c:gapDepth val="130"/>
        <c:shape val="box"/>
        <c:axId val="102868864"/>
        <c:axId val="102870400"/>
        <c:axId val="102672128"/>
      </c:bar3DChart>
      <c:catAx>
        <c:axId val="102868864"/>
        <c:scaling>
          <c:orientation val="minMax"/>
        </c:scaling>
        <c:delete val="0"/>
        <c:axPos val="b"/>
        <c:numFmt formatCode="General" sourceLinked="1"/>
        <c:majorTickMark val="out"/>
        <c:minorTickMark val="none"/>
        <c:tickLblPos val="low"/>
        <c:spPr>
          <a:ln w="2374">
            <a:solidFill>
              <a:srgbClr val="000000"/>
            </a:solidFill>
            <a:prstDash val="solid"/>
          </a:ln>
        </c:spPr>
        <c:txPr>
          <a:bodyPr rot="0" vert="horz"/>
          <a:lstStyle/>
          <a:p>
            <a:pPr rtl="0">
              <a:defRPr sz="598" b="0" i="0" u="none" strike="noStrike" baseline="0">
                <a:solidFill>
                  <a:srgbClr val="000000"/>
                </a:solidFill>
                <a:latin typeface="Arial"/>
                <a:ea typeface="Arial"/>
                <a:cs typeface="Arial"/>
              </a:defRPr>
            </a:pPr>
            <a:endParaRPr lang="en-US"/>
          </a:p>
        </c:txPr>
        <c:crossAx val="102870400"/>
        <c:crossesAt val="0"/>
        <c:auto val="1"/>
        <c:lblAlgn val="ctr"/>
        <c:lblOffset val="100"/>
        <c:tickLblSkip val="1"/>
        <c:tickMarkSkip val="1"/>
        <c:noMultiLvlLbl val="0"/>
      </c:catAx>
      <c:valAx>
        <c:axId val="102870400"/>
        <c:scaling>
          <c:orientation val="minMax"/>
          <c:max val="30"/>
          <c:min val="0"/>
        </c:scaling>
        <c:delete val="0"/>
        <c:axPos val="l"/>
        <c:majorGridlines>
          <c:spPr>
            <a:ln w="2374">
              <a:solidFill>
                <a:srgbClr val="000000"/>
              </a:solidFill>
              <a:prstDash val="solid"/>
            </a:ln>
          </c:spPr>
        </c:majorGridlines>
        <c:title>
          <c:tx>
            <c:rich>
              <a:bodyPr/>
              <a:lstStyle/>
              <a:p>
                <a:pPr>
                  <a:defRPr sz="822" b="1" i="0" u="none" strike="noStrike" baseline="0">
                    <a:solidFill>
                      <a:srgbClr val="000000"/>
                    </a:solidFill>
                    <a:latin typeface="+mn-lt"/>
                    <a:ea typeface="Arial"/>
                    <a:cs typeface="Arial"/>
                  </a:defRPr>
                </a:pPr>
                <a:r>
                  <a:rPr lang="en-US" sz="822">
                    <a:latin typeface="+mn-lt"/>
                  </a:rPr>
                  <a:t>Bq/mp*zi</a:t>
                </a:r>
              </a:p>
            </c:rich>
          </c:tx>
          <c:layout>
            <c:manualLayout>
              <c:xMode val="edge"/>
              <c:yMode val="edge"/>
              <c:x val="1.3895692060574446E-2"/>
              <c:y val="0.40601503125362343"/>
            </c:manualLayout>
          </c:layout>
          <c:overlay val="0"/>
          <c:spPr>
            <a:noFill/>
            <a:ln w="18992">
              <a:noFill/>
            </a:ln>
          </c:spPr>
        </c:title>
        <c:numFmt formatCode="General" sourceLinked="1"/>
        <c:majorTickMark val="out"/>
        <c:minorTickMark val="none"/>
        <c:tickLblPos val="nextTo"/>
        <c:spPr>
          <a:ln w="2374">
            <a:solidFill>
              <a:srgbClr val="000000"/>
            </a:solidFill>
            <a:prstDash val="solid"/>
          </a:ln>
        </c:spPr>
        <c:txPr>
          <a:bodyPr rot="0" vert="horz"/>
          <a:lstStyle/>
          <a:p>
            <a:pPr>
              <a:defRPr sz="598" b="0" i="0" u="none" strike="noStrike" baseline="0">
                <a:solidFill>
                  <a:srgbClr val="000000"/>
                </a:solidFill>
                <a:latin typeface="Arial"/>
                <a:ea typeface="Arial"/>
                <a:cs typeface="Arial"/>
              </a:defRPr>
            </a:pPr>
            <a:endParaRPr lang="en-US"/>
          </a:p>
        </c:txPr>
        <c:crossAx val="102868864"/>
        <c:crosses val="autoZero"/>
        <c:crossBetween val="between"/>
        <c:majorUnit val="10"/>
      </c:valAx>
      <c:serAx>
        <c:axId val="102672128"/>
        <c:scaling>
          <c:orientation val="minMax"/>
        </c:scaling>
        <c:delete val="1"/>
        <c:axPos val="b"/>
        <c:majorTickMark val="out"/>
        <c:minorTickMark val="none"/>
        <c:tickLblPos val="nextTo"/>
        <c:crossAx val="102870400"/>
        <c:crossesAt val="0"/>
      </c:serAx>
      <c:spPr>
        <a:noFill/>
        <a:ln w="18992">
          <a:noFill/>
        </a:ln>
      </c:spPr>
    </c:plotArea>
    <c:legend>
      <c:legendPos val="r"/>
      <c:legendEntry>
        <c:idx val="1"/>
        <c:txPr>
          <a:bodyPr/>
          <a:lstStyle/>
          <a:p>
            <a:pPr>
              <a:defRPr sz="748" b="0" i="0" u="none" strike="noStrike" baseline="0">
                <a:solidFill>
                  <a:srgbClr val="000000"/>
                </a:solidFill>
                <a:latin typeface="+mn-lt"/>
                <a:ea typeface="Arial"/>
                <a:cs typeface="Arial"/>
              </a:defRPr>
            </a:pPr>
            <a:endParaRPr lang="en-US"/>
          </a:p>
        </c:txPr>
      </c:legendEntry>
      <c:legendEntry>
        <c:idx val="3"/>
        <c:txPr>
          <a:bodyPr/>
          <a:lstStyle/>
          <a:p>
            <a:pPr>
              <a:defRPr sz="748" b="0" i="0" u="none" strike="noStrike" baseline="0">
                <a:solidFill>
                  <a:srgbClr val="000000"/>
                </a:solidFill>
                <a:latin typeface="+mn-lt"/>
                <a:ea typeface="Arial"/>
                <a:cs typeface="Arial"/>
              </a:defRPr>
            </a:pPr>
            <a:endParaRPr lang="en-US"/>
          </a:p>
        </c:txPr>
      </c:legendEntry>
      <c:layout>
        <c:manualLayout>
          <c:xMode val="edge"/>
          <c:yMode val="edge"/>
          <c:x val="7.0236386066883594E-2"/>
          <c:y val="0.88095247130253296"/>
          <c:w val="0.90452702087317949"/>
          <c:h val="9.5490413095953408E-2"/>
        </c:manualLayout>
      </c:layout>
      <c:overlay val="0"/>
      <c:spPr>
        <a:solidFill>
          <a:srgbClr val="FFFFFF"/>
        </a:solidFill>
        <a:ln w="18992">
          <a:noFill/>
        </a:ln>
      </c:spPr>
      <c:txPr>
        <a:bodyPr/>
        <a:lstStyle/>
        <a:p>
          <a:pPr>
            <a:defRPr sz="785" b="0" i="0" u="none" strike="noStrike" baseline="0">
              <a:solidFill>
                <a:srgbClr val="000000"/>
              </a:solidFill>
              <a:latin typeface="+mn-lt"/>
              <a:ea typeface="Arial"/>
              <a:cs typeface="Arial"/>
            </a:defRPr>
          </a:pPr>
          <a:endParaRPr lang="en-US"/>
        </a:p>
      </c:txPr>
    </c:legend>
    <c:plotVisOnly val="1"/>
    <c:dispBlanksAs val="gap"/>
    <c:showDLblsOverMax val="0"/>
  </c:chart>
  <c:spPr>
    <a:solidFill>
      <a:srgbClr val="FFFFFF"/>
    </a:solidFill>
    <a:ln w="2374">
      <a:solidFill>
        <a:srgbClr val="000000"/>
      </a:solidFill>
      <a:prstDash val="solid"/>
    </a:ln>
  </c:spPr>
  <c:txPr>
    <a:bodyPr/>
    <a:lstStyle/>
    <a:p>
      <a:pPr>
        <a:defRPr sz="598" b="0" i="0" u="none" strike="noStrike" baseline="0">
          <a:solidFill>
            <a:srgbClr val="000000"/>
          </a:solidFill>
          <a:latin typeface="Arial"/>
          <a:ea typeface="Arial"/>
          <a:cs typeface="Arial"/>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mn-lt"/>
                <a:cs typeface="Arial" panose="020B0604020202020204" pitchFamily="34" charset="0"/>
              </a:defRPr>
            </a:pPr>
            <a:r>
              <a:rPr lang="ro-RO" sz="1200">
                <a:latin typeface="+mn-lt"/>
                <a:cs typeface="Arial" panose="020B0604020202020204" pitchFamily="34" charset="0"/>
              </a:rPr>
              <a:t>Figura </a:t>
            </a:r>
            <a:r>
              <a:rPr lang="ro-RO" sz="1200" b="1" i="0" u="none" strike="noStrike" kern="1200" baseline="0">
                <a:solidFill>
                  <a:sysClr val="windowText" lastClr="000000"/>
                </a:solidFill>
                <a:latin typeface="+mn-lt"/>
                <a:ea typeface="+mn-ea"/>
                <a:cs typeface="Arial" panose="020B0604020202020204" pitchFamily="34" charset="0"/>
              </a:rPr>
              <a:t>IX</a:t>
            </a:r>
            <a:r>
              <a:rPr lang="ro-RO" sz="1200">
                <a:latin typeface="+mn-lt"/>
                <a:cs typeface="Arial" panose="020B0604020202020204" pitchFamily="34" charset="0"/>
              </a:rPr>
              <a:t>.13. </a:t>
            </a:r>
            <a:r>
              <a:rPr lang="en-US" sz="1200">
                <a:latin typeface="+mn-lt"/>
                <a:cs typeface="Arial" panose="020B0604020202020204" pitchFamily="34" charset="0"/>
              </a:rPr>
              <a:t>Activitatea</a:t>
            </a:r>
            <a:r>
              <a:rPr lang="en-US" sz="1200" baseline="0">
                <a:latin typeface="+mn-lt"/>
                <a:cs typeface="Arial" panose="020B0604020202020204" pitchFamily="34" charset="0"/>
              </a:rPr>
              <a:t> </a:t>
            </a:r>
            <a:r>
              <a:rPr lang="ro-RO" sz="1200">
                <a:latin typeface="+mn-lt"/>
                <a:cs typeface="Arial" panose="020B0604020202020204" pitchFamily="34" charset="0"/>
              </a:rPr>
              <a:t> beta globală a depunerilor  atmosferice  totale</a:t>
            </a:r>
            <a:r>
              <a:rPr lang="ro-RO" sz="1200" baseline="0">
                <a:latin typeface="+mn-lt"/>
                <a:cs typeface="Arial" panose="020B0604020202020204" pitchFamily="34" charset="0"/>
              </a:rPr>
              <a:t> la SSRM Constanța și Cernavodă </a:t>
            </a:r>
            <a:r>
              <a:rPr lang="en-US" sz="1200" baseline="0">
                <a:latin typeface="+mn-lt"/>
                <a:cs typeface="Arial" panose="020B0604020202020204" pitchFamily="34" charset="0"/>
              </a:rPr>
              <a:t>-</a:t>
            </a:r>
            <a:r>
              <a:rPr lang="ro-RO" sz="1200" baseline="0">
                <a:latin typeface="+mn-lt"/>
                <a:cs typeface="Arial" panose="020B0604020202020204" pitchFamily="34" charset="0"/>
              </a:rPr>
              <a:t> măsurare imediată</a:t>
            </a:r>
          </a:p>
        </c:rich>
      </c:tx>
      <c:overlay val="0"/>
    </c:title>
    <c:autoTitleDeleted val="0"/>
    <c:plotArea>
      <c:layout>
        <c:manualLayout>
          <c:layoutTarget val="inner"/>
          <c:xMode val="edge"/>
          <c:yMode val="edge"/>
          <c:x val="8.6744656917885271E-2"/>
          <c:y val="0.2111282004146369"/>
          <c:w val="0.90653934924801072"/>
          <c:h val="0.4962978849433704"/>
        </c:manualLayout>
      </c:layout>
      <c:lineChart>
        <c:grouping val="standard"/>
        <c:varyColors val="0"/>
        <c:ser>
          <c:idx val="0"/>
          <c:order val="0"/>
          <c:tx>
            <c:strRef>
              <c:f>Foaie1!$B$1</c:f>
              <c:strCache>
                <c:ptCount val="1"/>
                <c:pt idx="0">
                  <c:v>SSRM Constanţa -medie</c:v>
                </c:pt>
              </c:strCache>
            </c:strRef>
          </c:tx>
          <c:cat>
            <c:numRef>
              <c:f>Foaie1!$A$2:$A$7</c:f>
              <c:numCache>
                <c:formatCode>General</c:formatCode>
                <c:ptCount val="6"/>
                <c:pt idx="0">
                  <c:v>2010</c:v>
                </c:pt>
                <c:pt idx="1">
                  <c:v>2011</c:v>
                </c:pt>
                <c:pt idx="2">
                  <c:v>2012</c:v>
                </c:pt>
                <c:pt idx="3">
                  <c:v>2013</c:v>
                </c:pt>
                <c:pt idx="4">
                  <c:v>2014</c:v>
                </c:pt>
                <c:pt idx="5">
                  <c:v>2015</c:v>
                </c:pt>
              </c:numCache>
            </c:numRef>
          </c:cat>
          <c:val>
            <c:numRef>
              <c:f>Foaie1!$B$2:$B$7</c:f>
              <c:numCache>
                <c:formatCode>General</c:formatCode>
                <c:ptCount val="6"/>
                <c:pt idx="0">
                  <c:v>1.77</c:v>
                </c:pt>
                <c:pt idx="1">
                  <c:v>1.33</c:v>
                </c:pt>
                <c:pt idx="2">
                  <c:v>1.72</c:v>
                </c:pt>
                <c:pt idx="3">
                  <c:v>1.4</c:v>
                </c:pt>
                <c:pt idx="4">
                  <c:v>1.77</c:v>
                </c:pt>
                <c:pt idx="5">
                  <c:v>2.54</c:v>
                </c:pt>
              </c:numCache>
            </c:numRef>
          </c:val>
          <c:smooth val="0"/>
        </c:ser>
        <c:ser>
          <c:idx val="1"/>
          <c:order val="1"/>
          <c:tx>
            <c:strRef>
              <c:f>Foaie1!$C$1</c:f>
              <c:strCache>
                <c:ptCount val="1"/>
                <c:pt idx="0">
                  <c:v>SSRM Constanţa -maximă</c:v>
                </c:pt>
              </c:strCache>
            </c:strRef>
          </c:tx>
          <c:cat>
            <c:numRef>
              <c:f>Foaie1!$A$2:$A$7</c:f>
              <c:numCache>
                <c:formatCode>General</c:formatCode>
                <c:ptCount val="6"/>
                <c:pt idx="0">
                  <c:v>2010</c:v>
                </c:pt>
                <c:pt idx="1">
                  <c:v>2011</c:v>
                </c:pt>
                <c:pt idx="2">
                  <c:v>2012</c:v>
                </c:pt>
                <c:pt idx="3">
                  <c:v>2013</c:v>
                </c:pt>
                <c:pt idx="4">
                  <c:v>2014</c:v>
                </c:pt>
                <c:pt idx="5">
                  <c:v>2015</c:v>
                </c:pt>
              </c:numCache>
            </c:numRef>
          </c:cat>
          <c:val>
            <c:numRef>
              <c:f>Foaie1!$C$2:$C$7</c:f>
              <c:numCache>
                <c:formatCode>0.00</c:formatCode>
                <c:ptCount val="6"/>
                <c:pt idx="0">
                  <c:v>19.579999999999998</c:v>
                </c:pt>
                <c:pt idx="1">
                  <c:v>14.9</c:v>
                </c:pt>
                <c:pt idx="2">
                  <c:v>58.91</c:v>
                </c:pt>
                <c:pt idx="3">
                  <c:v>13.64</c:v>
                </c:pt>
                <c:pt idx="4">
                  <c:v>25.09</c:v>
                </c:pt>
                <c:pt idx="5">
                  <c:v>63.27</c:v>
                </c:pt>
              </c:numCache>
            </c:numRef>
          </c:val>
          <c:smooth val="0"/>
        </c:ser>
        <c:ser>
          <c:idx val="2"/>
          <c:order val="2"/>
          <c:tx>
            <c:strRef>
              <c:f>Foaie1!$D$1</c:f>
              <c:strCache>
                <c:ptCount val="1"/>
                <c:pt idx="0">
                  <c:v>SSRM Cernavoda-medie</c:v>
                </c:pt>
              </c:strCache>
            </c:strRef>
          </c:tx>
          <c:cat>
            <c:numRef>
              <c:f>Foaie1!$A$2:$A$7</c:f>
              <c:numCache>
                <c:formatCode>General</c:formatCode>
                <c:ptCount val="6"/>
                <c:pt idx="0">
                  <c:v>2010</c:v>
                </c:pt>
                <c:pt idx="1">
                  <c:v>2011</c:v>
                </c:pt>
                <c:pt idx="2">
                  <c:v>2012</c:v>
                </c:pt>
                <c:pt idx="3">
                  <c:v>2013</c:v>
                </c:pt>
                <c:pt idx="4">
                  <c:v>2014</c:v>
                </c:pt>
                <c:pt idx="5">
                  <c:v>2015</c:v>
                </c:pt>
              </c:numCache>
            </c:numRef>
          </c:cat>
          <c:val>
            <c:numRef>
              <c:f>Foaie1!$D$2:$D$7</c:f>
              <c:numCache>
                <c:formatCode>General</c:formatCode>
                <c:ptCount val="6"/>
                <c:pt idx="0">
                  <c:v>2.29</c:v>
                </c:pt>
                <c:pt idx="1">
                  <c:v>3.69</c:v>
                </c:pt>
                <c:pt idx="2">
                  <c:v>3.94</c:v>
                </c:pt>
                <c:pt idx="3">
                  <c:v>3.02</c:v>
                </c:pt>
                <c:pt idx="4">
                  <c:v>2.72</c:v>
                </c:pt>
                <c:pt idx="5">
                  <c:v>1.65</c:v>
                </c:pt>
              </c:numCache>
            </c:numRef>
          </c:val>
          <c:smooth val="0"/>
        </c:ser>
        <c:ser>
          <c:idx val="3"/>
          <c:order val="3"/>
          <c:tx>
            <c:strRef>
              <c:f>Foaie1!$E$1</c:f>
              <c:strCache>
                <c:ptCount val="1"/>
                <c:pt idx="0">
                  <c:v>SSRM Cernavoda-maximă</c:v>
                </c:pt>
              </c:strCache>
            </c:strRef>
          </c:tx>
          <c:cat>
            <c:numRef>
              <c:f>Foaie1!$A$2:$A$7</c:f>
              <c:numCache>
                <c:formatCode>General</c:formatCode>
                <c:ptCount val="6"/>
                <c:pt idx="0">
                  <c:v>2010</c:v>
                </c:pt>
                <c:pt idx="1">
                  <c:v>2011</c:v>
                </c:pt>
                <c:pt idx="2">
                  <c:v>2012</c:v>
                </c:pt>
                <c:pt idx="3">
                  <c:v>2013</c:v>
                </c:pt>
                <c:pt idx="4">
                  <c:v>2014</c:v>
                </c:pt>
                <c:pt idx="5">
                  <c:v>2015</c:v>
                </c:pt>
              </c:numCache>
            </c:numRef>
          </c:cat>
          <c:val>
            <c:numRef>
              <c:f>Foaie1!$E$2:$E$7</c:f>
              <c:numCache>
                <c:formatCode>General</c:formatCode>
                <c:ptCount val="6"/>
                <c:pt idx="0">
                  <c:v>18.77</c:v>
                </c:pt>
                <c:pt idx="1">
                  <c:v>40.46</c:v>
                </c:pt>
                <c:pt idx="2">
                  <c:v>49.63</c:v>
                </c:pt>
                <c:pt idx="3">
                  <c:v>24.25</c:v>
                </c:pt>
                <c:pt idx="4">
                  <c:v>65.14</c:v>
                </c:pt>
                <c:pt idx="5">
                  <c:v>13.65</c:v>
                </c:pt>
              </c:numCache>
            </c:numRef>
          </c:val>
          <c:smooth val="0"/>
        </c:ser>
        <c:dLbls>
          <c:showLegendKey val="0"/>
          <c:showVal val="0"/>
          <c:showCatName val="0"/>
          <c:showSerName val="0"/>
          <c:showPercent val="0"/>
          <c:showBubbleSize val="0"/>
        </c:dLbls>
        <c:marker val="1"/>
        <c:smooth val="0"/>
        <c:axId val="102814080"/>
        <c:axId val="102815616"/>
      </c:lineChart>
      <c:catAx>
        <c:axId val="102814080"/>
        <c:scaling>
          <c:orientation val="minMax"/>
        </c:scaling>
        <c:delete val="0"/>
        <c:axPos val="b"/>
        <c:numFmt formatCode="General" sourceLinked="1"/>
        <c:majorTickMark val="none"/>
        <c:minorTickMark val="none"/>
        <c:tickLblPos val="nextTo"/>
        <c:txPr>
          <a:bodyPr rot="0" vert="horz"/>
          <a:lstStyle/>
          <a:p>
            <a:pPr>
              <a:defRPr/>
            </a:pPr>
            <a:endParaRPr lang="en-US"/>
          </a:p>
        </c:txPr>
        <c:crossAx val="102815616"/>
        <c:crossesAt val="0"/>
        <c:auto val="1"/>
        <c:lblAlgn val="ctr"/>
        <c:lblOffset val="100"/>
        <c:noMultiLvlLbl val="0"/>
      </c:catAx>
      <c:valAx>
        <c:axId val="102815616"/>
        <c:scaling>
          <c:orientation val="minMax"/>
          <c:max val="80"/>
          <c:min val="0"/>
        </c:scaling>
        <c:delete val="0"/>
        <c:axPos val="l"/>
        <c:majorGridlines/>
        <c:title>
          <c:tx>
            <c:rich>
              <a:bodyPr rot="-5400000" vert="horz"/>
              <a:lstStyle/>
              <a:p>
                <a:pPr>
                  <a:defRPr sz="1050"/>
                </a:pPr>
                <a:r>
                  <a:rPr lang="ro-RO" sz="1050"/>
                  <a:t>Bq/mp*zi</a:t>
                </a:r>
              </a:p>
              <a:p>
                <a:pPr>
                  <a:defRPr sz="1050"/>
                </a:pPr>
                <a:endParaRPr lang="vi-VN" sz="1050"/>
              </a:p>
            </c:rich>
          </c:tx>
          <c:overlay val="0"/>
        </c:title>
        <c:numFmt formatCode="General" sourceLinked="0"/>
        <c:majorTickMark val="none"/>
        <c:minorTickMark val="none"/>
        <c:tickLblPos val="nextTo"/>
        <c:spPr>
          <a:ln cmpd="dbl"/>
        </c:spPr>
        <c:txPr>
          <a:bodyPr rot="0" vert="horz"/>
          <a:lstStyle/>
          <a:p>
            <a:pPr>
              <a:defRPr/>
            </a:pPr>
            <a:endParaRPr lang="en-US"/>
          </a:p>
        </c:txPr>
        <c:crossAx val="102814080"/>
        <c:crosses val="autoZero"/>
        <c:crossBetween val="between"/>
      </c:valAx>
    </c:plotArea>
    <c:legend>
      <c:legendPos val="b"/>
      <c:layout>
        <c:manualLayout>
          <c:xMode val="edge"/>
          <c:yMode val="edge"/>
          <c:x val="0.21428571428571427"/>
          <c:y val="0.81669318607901287"/>
          <c:w val="0.60491005291005295"/>
          <c:h val="0.16161325288884343"/>
        </c:manualLayout>
      </c:layout>
      <c:overlay val="0"/>
      <c:spPr>
        <a:ln w="12700">
          <a:noFill/>
        </a:ln>
      </c:spPr>
      <c:txPr>
        <a:bodyPr/>
        <a:lstStyle/>
        <a:p>
          <a:pPr>
            <a:defRPr sz="1050">
              <a:latin typeface="Calibri" panose="020F0502020204030204" pitchFamily="34" charset="0"/>
              <a:cs typeface="Arial" panose="020B0604020202020204" pitchFamily="34" charset="0"/>
            </a:defRPr>
          </a:pPr>
          <a:endParaRPr lang="en-US"/>
        </a:p>
      </c:txPr>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98" b="1" i="0" u="none" strike="noStrike" baseline="0">
                <a:solidFill>
                  <a:srgbClr val="000000"/>
                </a:solidFill>
                <a:latin typeface="+mn-lt"/>
                <a:ea typeface="Arial"/>
                <a:cs typeface="Arial"/>
              </a:defRPr>
            </a:pPr>
            <a:r>
              <a:rPr lang="en-US" sz="898">
                <a:latin typeface="+mn-lt"/>
              </a:rPr>
              <a:t>Figura IX.14. Concentraţii de Be-7 în depuneri atmosferice totale -  probe cumulate lunar 2015</a:t>
            </a:r>
          </a:p>
        </c:rich>
      </c:tx>
      <c:layout>
        <c:manualLayout>
          <c:xMode val="edge"/>
          <c:yMode val="edge"/>
          <c:x val="0.13312202852614896"/>
          <c:y val="2.1739510822016812E-2"/>
        </c:manualLayout>
      </c:layout>
      <c:overlay val="0"/>
      <c:spPr>
        <a:noFill/>
        <a:ln w="19016">
          <a:noFill/>
        </a:ln>
      </c:spPr>
    </c:title>
    <c:autoTitleDeleted val="0"/>
    <c:plotArea>
      <c:layout>
        <c:manualLayout>
          <c:layoutTarget val="inner"/>
          <c:xMode val="edge"/>
          <c:yMode val="edge"/>
          <c:x val="0.10140613981280956"/>
          <c:y val="0.21376811594202899"/>
          <c:w val="0.86699898601704994"/>
          <c:h val="0.58271662850654304"/>
        </c:manualLayout>
      </c:layout>
      <c:barChart>
        <c:barDir val="col"/>
        <c:grouping val="clustered"/>
        <c:varyColors val="0"/>
        <c:ser>
          <c:idx val="0"/>
          <c:order val="0"/>
          <c:tx>
            <c:v>Constanţa</c:v>
          </c:tx>
          <c:spPr>
            <a:solidFill>
              <a:srgbClr val="9999FF"/>
            </a:solidFill>
            <a:ln w="9508">
              <a:solidFill>
                <a:srgbClr val="000000"/>
              </a:solidFill>
              <a:prstDash val="solid"/>
            </a:ln>
          </c:spPr>
          <c:invertIfNegative val="0"/>
          <c:cat>
            <c:strRef>
              <c:f>Foaie1!$B$4:$M$4</c:f>
              <c:strCache>
                <c:ptCount val="12"/>
                <c:pt idx="0">
                  <c:v>Ian</c:v>
                </c:pt>
                <c:pt idx="1">
                  <c:v>Feb</c:v>
                </c:pt>
                <c:pt idx="2">
                  <c:v>Mar</c:v>
                </c:pt>
                <c:pt idx="3">
                  <c:v>Apr</c:v>
                </c:pt>
                <c:pt idx="4">
                  <c:v>Mai</c:v>
                </c:pt>
                <c:pt idx="5">
                  <c:v>Iun</c:v>
                </c:pt>
                <c:pt idx="6">
                  <c:v>Iul</c:v>
                </c:pt>
                <c:pt idx="7">
                  <c:v>Aug</c:v>
                </c:pt>
                <c:pt idx="8">
                  <c:v>Sep</c:v>
                </c:pt>
                <c:pt idx="9">
                  <c:v>Oct</c:v>
                </c:pt>
                <c:pt idx="10">
                  <c:v>Nov</c:v>
                </c:pt>
                <c:pt idx="11">
                  <c:v>Dec</c:v>
                </c:pt>
              </c:strCache>
            </c:strRef>
          </c:cat>
          <c:val>
            <c:numRef>
              <c:f>Foaie1!$B$5:$M$5</c:f>
              <c:numCache>
                <c:formatCode>0.000</c:formatCode>
                <c:ptCount val="12"/>
                <c:pt idx="0">
                  <c:v>0.88400000000000001</c:v>
                </c:pt>
                <c:pt idx="1">
                  <c:v>0.53900000000000003</c:v>
                </c:pt>
                <c:pt idx="2">
                  <c:v>1.861</c:v>
                </c:pt>
                <c:pt idx="3">
                  <c:v>1.1459999999999999</c:v>
                </c:pt>
                <c:pt idx="4">
                  <c:v>1.022</c:v>
                </c:pt>
                <c:pt idx="5">
                  <c:v>0.69699999999999995</c:v>
                </c:pt>
                <c:pt idx="6">
                  <c:v>1.992</c:v>
                </c:pt>
                <c:pt idx="7">
                  <c:v>1.6479999999999999</c:v>
                </c:pt>
                <c:pt idx="8">
                  <c:v>1.67</c:v>
                </c:pt>
                <c:pt idx="9">
                  <c:v>1.4910000000000001</c:v>
                </c:pt>
                <c:pt idx="10">
                  <c:v>0.86499999999999999</c:v>
                </c:pt>
                <c:pt idx="11">
                  <c:v>0.17199999999999999</c:v>
                </c:pt>
              </c:numCache>
            </c:numRef>
          </c:val>
        </c:ser>
        <c:ser>
          <c:idx val="1"/>
          <c:order val="1"/>
          <c:tx>
            <c:v>Cernavodă</c:v>
          </c:tx>
          <c:spPr>
            <a:solidFill>
              <a:srgbClr val="993366"/>
            </a:solidFill>
            <a:ln w="9508">
              <a:solidFill>
                <a:srgbClr val="000000"/>
              </a:solidFill>
              <a:prstDash val="solid"/>
            </a:ln>
          </c:spPr>
          <c:invertIfNegative val="0"/>
          <c:val>
            <c:numRef>
              <c:f>Foaie1!$B$6:$M$6</c:f>
              <c:numCache>
                <c:formatCode>0.000</c:formatCode>
                <c:ptCount val="12"/>
                <c:pt idx="0">
                  <c:v>0.32300000000000001</c:v>
                </c:pt>
                <c:pt idx="1">
                  <c:v>0.69199999999999995</c:v>
                </c:pt>
                <c:pt idx="2">
                  <c:v>1.23</c:v>
                </c:pt>
                <c:pt idx="3">
                  <c:v>1.3320000000000001</c:v>
                </c:pt>
                <c:pt idx="4">
                  <c:v>0.49099999999999999</c:v>
                </c:pt>
                <c:pt idx="5">
                  <c:v>0.76800000000000002</c:v>
                </c:pt>
                <c:pt idx="6">
                  <c:v>0.57199999999999995</c:v>
                </c:pt>
                <c:pt idx="7">
                  <c:v>0.77700000000000002</c:v>
                </c:pt>
                <c:pt idx="8">
                  <c:v>1.056</c:v>
                </c:pt>
                <c:pt idx="9">
                  <c:v>0.26300000000000001</c:v>
                </c:pt>
                <c:pt idx="10">
                  <c:v>0.53100000000000003</c:v>
                </c:pt>
                <c:pt idx="11">
                  <c:v>2.9000000000000001E-2</c:v>
                </c:pt>
              </c:numCache>
            </c:numRef>
          </c:val>
        </c:ser>
        <c:ser>
          <c:idx val="2"/>
          <c:order val="2"/>
          <c:tx>
            <c:v>Galaţi</c:v>
          </c:tx>
          <c:spPr>
            <a:solidFill>
              <a:srgbClr val="FFFFCC"/>
            </a:solidFill>
            <a:ln w="9508">
              <a:solidFill>
                <a:srgbClr val="000000"/>
              </a:solidFill>
              <a:prstDash val="solid"/>
            </a:ln>
          </c:spPr>
          <c:invertIfNegative val="0"/>
          <c:val>
            <c:numRef>
              <c:f>Foaie1!$B$7:$M$7</c:f>
              <c:numCache>
                <c:formatCode>0.000</c:formatCode>
                <c:ptCount val="12"/>
                <c:pt idx="0">
                  <c:v>0.184</c:v>
                </c:pt>
                <c:pt idx="1">
                  <c:v>0.54600000000000004</c:v>
                </c:pt>
                <c:pt idx="2">
                  <c:v>1.0449999999999999</c:v>
                </c:pt>
                <c:pt idx="3">
                  <c:v>1.161</c:v>
                </c:pt>
                <c:pt idx="4">
                  <c:v>0.53600000000000003</c:v>
                </c:pt>
                <c:pt idx="5">
                  <c:v>1.454</c:v>
                </c:pt>
                <c:pt idx="6">
                  <c:v>0.41499999999999998</c:v>
                </c:pt>
                <c:pt idx="7">
                  <c:v>1.9330000000000001</c:v>
                </c:pt>
                <c:pt idx="8">
                  <c:v>0.92900000000000005</c:v>
                </c:pt>
                <c:pt idx="9">
                  <c:v>0.69299999999999995</c:v>
                </c:pt>
                <c:pt idx="10">
                  <c:v>1.556</c:v>
                </c:pt>
                <c:pt idx="11">
                  <c:v>0.23300000000000001</c:v>
                </c:pt>
              </c:numCache>
            </c:numRef>
          </c:val>
        </c:ser>
        <c:ser>
          <c:idx val="3"/>
          <c:order val="3"/>
          <c:tx>
            <c:v>Buzău</c:v>
          </c:tx>
          <c:spPr>
            <a:solidFill>
              <a:srgbClr val="CCFFFF"/>
            </a:solidFill>
            <a:ln w="9508">
              <a:solidFill>
                <a:srgbClr val="000000"/>
              </a:solidFill>
              <a:prstDash val="solid"/>
            </a:ln>
          </c:spPr>
          <c:invertIfNegative val="0"/>
          <c:val>
            <c:numRef>
              <c:f>Foaie1!$B$8:$M$8</c:f>
              <c:numCache>
                <c:formatCode>0.000</c:formatCode>
                <c:ptCount val="12"/>
                <c:pt idx="0">
                  <c:v>0.11600000000000001</c:v>
                </c:pt>
                <c:pt idx="1">
                  <c:v>0.109</c:v>
                </c:pt>
                <c:pt idx="2">
                  <c:v>0.216</c:v>
                </c:pt>
                <c:pt idx="3">
                  <c:v>0.36599999999999999</c:v>
                </c:pt>
                <c:pt idx="4">
                  <c:v>0.30399999999999999</c:v>
                </c:pt>
                <c:pt idx="5">
                  <c:v>1.149</c:v>
                </c:pt>
                <c:pt idx="6">
                  <c:v>0.622</c:v>
                </c:pt>
                <c:pt idx="7">
                  <c:v>0.68200000000000005</c:v>
                </c:pt>
                <c:pt idx="8">
                  <c:v>0.27500000000000002</c:v>
                </c:pt>
                <c:pt idx="9">
                  <c:v>0.104</c:v>
                </c:pt>
                <c:pt idx="10">
                  <c:v>5.2999999999999999E-2</c:v>
                </c:pt>
                <c:pt idx="11">
                  <c:v>4.7E-2</c:v>
                </c:pt>
              </c:numCache>
            </c:numRef>
          </c:val>
        </c:ser>
        <c:ser>
          <c:idx val="4"/>
          <c:order val="4"/>
          <c:tx>
            <c:v>Tulcea</c:v>
          </c:tx>
          <c:spPr>
            <a:solidFill>
              <a:srgbClr val="660066"/>
            </a:solidFill>
            <a:ln w="9508">
              <a:solidFill>
                <a:srgbClr val="000000"/>
              </a:solidFill>
              <a:prstDash val="solid"/>
            </a:ln>
          </c:spPr>
          <c:invertIfNegative val="0"/>
          <c:val>
            <c:numRef>
              <c:f>Foaie1!$B$9:$M$9</c:f>
              <c:numCache>
                <c:formatCode>0.000</c:formatCode>
                <c:ptCount val="12"/>
                <c:pt idx="0">
                  <c:v>0.373</c:v>
                </c:pt>
                <c:pt idx="1">
                  <c:v>0.46500000000000002</c:v>
                </c:pt>
                <c:pt idx="2">
                  <c:v>0.69399999999999995</c:v>
                </c:pt>
                <c:pt idx="3">
                  <c:v>0.68500000000000005</c:v>
                </c:pt>
                <c:pt idx="4">
                  <c:v>0.38</c:v>
                </c:pt>
                <c:pt idx="5">
                  <c:v>1.071</c:v>
                </c:pt>
                <c:pt idx="6">
                  <c:v>1.0640000000000001</c:v>
                </c:pt>
                <c:pt idx="7">
                  <c:v>0.88500000000000001</c:v>
                </c:pt>
                <c:pt idx="8">
                  <c:v>0.67200000000000004</c:v>
                </c:pt>
                <c:pt idx="9">
                  <c:v>0.52400000000000002</c:v>
                </c:pt>
                <c:pt idx="10">
                  <c:v>1.288</c:v>
                </c:pt>
                <c:pt idx="11">
                  <c:v>9.5000000000000001E-2</c:v>
                </c:pt>
              </c:numCache>
            </c:numRef>
          </c:val>
        </c:ser>
        <c:ser>
          <c:idx val="5"/>
          <c:order val="5"/>
          <c:tx>
            <c:v>Sf. Gheorghe</c:v>
          </c:tx>
          <c:spPr>
            <a:solidFill>
              <a:srgbClr val="FF8080"/>
            </a:solidFill>
            <a:ln w="9508">
              <a:solidFill>
                <a:srgbClr val="000000"/>
              </a:solidFill>
              <a:prstDash val="solid"/>
            </a:ln>
          </c:spPr>
          <c:invertIfNegative val="0"/>
          <c:val>
            <c:numRef>
              <c:f>Foaie1!$B$10:$M$10</c:f>
              <c:numCache>
                <c:formatCode>0.000</c:formatCode>
                <c:ptCount val="12"/>
                <c:pt idx="0">
                  <c:v>0.51900000000000002</c:v>
                </c:pt>
                <c:pt idx="1">
                  <c:v>0.58599999999999997</c:v>
                </c:pt>
                <c:pt idx="2">
                  <c:v>0.63500000000000001</c:v>
                </c:pt>
                <c:pt idx="3">
                  <c:v>0.88900000000000001</c:v>
                </c:pt>
                <c:pt idx="5">
                  <c:v>0.223</c:v>
                </c:pt>
                <c:pt idx="6">
                  <c:v>0.55400000000000005</c:v>
                </c:pt>
                <c:pt idx="7">
                  <c:v>1.24</c:v>
                </c:pt>
                <c:pt idx="8">
                  <c:v>0.433</c:v>
                </c:pt>
                <c:pt idx="9">
                  <c:v>2.5619999999999998</c:v>
                </c:pt>
                <c:pt idx="10">
                  <c:v>0.72799999999999998</c:v>
                </c:pt>
                <c:pt idx="11">
                  <c:v>6.3E-2</c:v>
                </c:pt>
              </c:numCache>
            </c:numRef>
          </c:val>
        </c:ser>
        <c:dLbls>
          <c:showLegendKey val="0"/>
          <c:showVal val="0"/>
          <c:showCatName val="0"/>
          <c:showSerName val="0"/>
          <c:showPercent val="0"/>
          <c:showBubbleSize val="0"/>
        </c:dLbls>
        <c:gapWidth val="150"/>
        <c:axId val="102840576"/>
        <c:axId val="102948864"/>
      </c:barChart>
      <c:catAx>
        <c:axId val="102840576"/>
        <c:scaling>
          <c:orientation val="minMax"/>
        </c:scaling>
        <c:delete val="0"/>
        <c:axPos val="b"/>
        <c:numFmt formatCode="General" sourceLinked="1"/>
        <c:majorTickMark val="out"/>
        <c:minorTickMark val="none"/>
        <c:tickLblPos val="nextTo"/>
        <c:spPr>
          <a:ln w="2377">
            <a:solidFill>
              <a:srgbClr val="000000"/>
            </a:solidFill>
            <a:prstDash val="solid"/>
          </a:ln>
        </c:spPr>
        <c:txPr>
          <a:bodyPr rot="0" vert="horz"/>
          <a:lstStyle/>
          <a:p>
            <a:pPr>
              <a:defRPr sz="711" b="0" i="0" u="none" strike="noStrike" baseline="0">
                <a:solidFill>
                  <a:srgbClr val="000000"/>
                </a:solidFill>
                <a:latin typeface="Arial"/>
                <a:ea typeface="Arial"/>
                <a:cs typeface="Arial"/>
              </a:defRPr>
            </a:pPr>
            <a:endParaRPr lang="en-US"/>
          </a:p>
        </c:txPr>
        <c:crossAx val="102948864"/>
        <c:crosses val="autoZero"/>
        <c:auto val="1"/>
        <c:lblAlgn val="ctr"/>
        <c:lblOffset val="100"/>
        <c:tickLblSkip val="1"/>
        <c:tickMarkSkip val="1"/>
        <c:noMultiLvlLbl val="0"/>
      </c:catAx>
      <c:valAx>
        <c:axId val="102948864"/>
        <c:scaling>
          <c:orientation val="minMax"/>
        </c:scaling>
        <c:delete val="0"/>
        <c:axPos val="l"/>
        <c:majorGridlines>
          <c:spPr>
            <a:ln w="2377">
              <a:solidFill>
                <a:srgbClr val="000000"/>
              </a:solidFill>
              <a:prstDash val="solid"/>
            </a:ln>
          </c:spPr>
        </c:majorGridlines>
        <c:title>
          <c:tx>
            <c:rich>
              <a:bodyPr/>
              <a:lstStyle/>
              <a:p>
                <a:pPr>
                  <a:defRPr sz="824" b="1" i="0" u="none" strike="noStrike" baseline="0">
                    <a:solidFill>
                      <a:srgbClr val="000000"/>
                    </a:solidFill>
                    <a:latin typeface="+mn-lt"/>
                    <a:ea typeface="Arial"/>
                    <a:cs typeface="Arial"/>
                  </a:defRPr>
                </a:pPr>
                <a:r>
                  <a:rPr lang="en-US">
                    <a:latin typeface="+mn-lt"/>
                  </a:rPr>
                  <a:t>Bq/mp*zi</a:t>
                </a:r>
              </a:p>
            </c:rich>
          </c:tx>
          <c:layout>
            <c:manualLayout>
              <c:xMode val="edge"/>
              <c:yMode val="edge"/>
              <c:x val="2.5336444671832818E-2"/>
              <c:y val="0.31994560462550875"/>
            </c:manualLayout>
          </c:layout>
          <c:overlay val="0"/>
          <c:spPr>
            <a:noFill/>
            <a:ln w="19016">
              <a:noFill/>
            </a:ln>
          </c:spPr>
        </c:title>
        <c:numFmt formatCode="0" sourceLinked="0"/>
        <c:majorTickMark val="out"/>
        <c:minorTickMark val="none"/>
        <c:tickLblPos val="nextTo"/>
        <c:spPr>
          <a:ln w="2377">
            <a:solidFill>
              <a:srgbClr val="000000"/>
            </a:solidFill>
            <a:prstDash val="solid"/>
          </a:ln>
        </c:spPr>
        <c:txPr>
          <a:bodyPr rot="0" vert="horz"/>
          <a:lstStyle/>
          <a:p>
            <a:pPr>
              <a:defRPr sz="711" b="0" i="0" u="none" strike="noStrike" baseline="0">
                <a:solidFill>
                  <a:srgbClr val="000000"/>
                </a:solidFill>
                <a:latin typeface="Arial"/>
                <a:ea typeface="Arial"/>
                <a:cs typeface="Arial"/>
              </a:defRPr>
            </a:pPr>
            <a:endParaRPr lang="en-US"/>
          </a:p>
        </c:txPr>
        <c:crossAx val="102840576"/>
        <c:crosses val="autoZero"/>
        <c:crossBetween val="between"/>
        <c:majorUnit val="1"/>
        <c:minorUnit val="0.1"/>
      </c:valAx>
      <c:spPr>
        <a:gradFill rotWithShape="0">
          <a:gsLst>
            <a:gs pos="0">
              <a:srgbClr xmlns:mc="http://schemas.openxmlformats.org/markup-compatibility/2006" xmlns:a14="http://schemas.microsoft.com/office/drawing/2010/main" val="020202" mc:Ignorable="a14" a14:legacySpreadsheetColorIndex="9">
                <a:gamma/>
                <a:shade val="76078"/>
                <a:invGamma/>
              </a:srgbClr>
            </a:gs>
            <a:gs pos="50000">
              <a:srgbClr xmlns:mc="http://schemas.openxmlformats.org/markup-compatibility/2006" xmlns:a14="http://schemas.microsoft.com/office/drawing/2010/main" val="FFFFFF" mc:Ignorable="a14" a14:legacySpreadsheetColorIndex="9"/>
            </a:gs>
            <a:gs pos="100000">
              <a:srgbClr xmlns:mc="http://schemas.openxmlformats.org/markup-compatibility/2006" xmlns:a14="http://schemas.microsoft.com/office/drawing/2010/main" val="020202" mc:Ignorable="a14" a14:legacySpreadsheetColorIndex="9">
                <a:gamma/>
                <a:shade val="76078"/>
                <a:invGamma/>
              </a:srgbClr>
            </a:gs>
          </a:gsLst>
          <a:lin ang="5400000" scaled="1"/>
        </a:gradFill>
        <a:ln w="9508">
          <a:solidFill>
            <a:srgbClr val="808080"/>
          </a:solidFill>
          <a:prstDash val="solid"/>
        </a:ln>
      </c:spPr>
    </c:plotArea>
    <c:legend>
      <c:legendPos val="b"/>
      <c:overlay val="0"/>
      <c:spPr>
        <a:solidFill>
          <a:srgbClr val="FFFFFF"/>
        </a:solidFill>
        <a:ln w="19016">
          <a:noFill/>
        </a:ln>
      </c:spPr>
      <c:txPr>
        <a:bodyPr/>
        <a:lstStyle/>
        <a:p>
          <a:pPr>
            <a:defRPr sz="756"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2377">
      <a:solidFill>
        <a:srgbClr val="000000"/>
      </a:solidFill>
      <a:prstDash val="solid"/>
    </a:ln>
  </c:spPr>
  <c:txPr>
    <a:bodyPr/>
    <a:lstStyle/>
    <a:p>
      <a:pPr>
        <a:defRPr sz="1104" b="0" i="0" u="none" strike="noStrike" baseline="0">
          <a:solidFill>
            <a:srgbClr val="000000"/>
          </a:solidFill>
          <a:latin typeface="Arial"/>
          <a:ea typeface="Arial"/>
          <a:cs typeface="Arial"/>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98" b="0" i="0" u="none" strike="noStrike" baseline="0">
                <a:solidFill>
                  <a:srgbClr val="000000"/>
                </a:solidFill>
                <a:latin typeface="+mn-lt"/>
                <a:ea typeface="Arial"/>
                <a:cs typeface="Arial"/>
              </a:defRPr>
            </a:pPr>
            <a:r>
              <a:rPr lang="en-US" sz="898" b="1" i="0" u="none" strike="noStrike" baseline="0">
                <a:solidFill>
                  <a:srgbClr val="000000"/>
                </a:solidFill>
                <a:latin typeface="+mn-lt"/>
                <a:cs typeface="Arial"/>
              </a:rPr>
              <a:t>Figura IX.15. Concentraţii de Pb-210 în depuneri atmosferice totale - probe cumulate lunar 2015</a:t>
            </a:r>
          </a:p>
        </c:rich>
      </c:tx>
      <c:layout>
        <c:manualLayout>
          <c:xMode val="edge"/>
          <c:yMode val="edge"/>
          <c:x val="0.13312202852614896"/>
          <c:y val="2.1739130434782608E-2"/>
        </c:manualLayout>
      </c:layout>
      <c:overlay val="0"/>
      <c:spPr>
        <a:noFill/>
        <a:ln w="19016">
          <a:noFill/>
        </a:ln>
      </c:spPr>
    </c:title>
    <c:autoTitleDeleted val="0"/>
    <c:plotArea>
      <c:layout>
        <c:manualLayout>
          <c:layoutTarget val="inner"/>
          <c:xMode val="edge"/>
          <c:yMode val="edge"/>
          <c:x val="0.10338433170537227"/>
          <c:y val="0.18646421757007337"/>
          <c:w val="0.86276022459217916"/>
          <c:h val="0.61115010794299174"/>
        </c:manualLayout>
      </c:layout>
      <c:barChart>
        <c:barDir val="col"/>
        <c:grouping val="clustered"/>
        <c:varyColors val="0"/>
        <c:ser>
          <c:idx val="0"/>
          <c:order val="0"/>
          <c:tx>
            <c:v>Constanţa</c:v>
          </c:tx>
          <c:spPr>
            <a:solidFill>
              <a:srgbClr val="9999FF"/>
            </a:solidFill>
            <a:ln w="9508">
              <a:solidFill>
                <a:srgbClr val="000000"/>
              </a:solidFill>
              <a:prstDash val="solid"/>
            </a:ln>
          </c:spPr>
          <c:invertIfNegative val="0"/>
          <c:cat>
            <c:strRef>
              <c:f>Foaie1!$B$4:$M$4</c:f>
              <c:strCache>
                <c:ptCount val="12"/>
                <c:pt idx="0">
                  <c:v>Ian</c:v>
                </c:pt>
                <c:pt idx="1">
                  <c:v>Feb</c:v>
                </c:pt>
                <c:pt idx="2">
                  <c:v>Mar</c:v>
                </c:pt>
                <c:pt idx="3">
                  <c:v>Apr</c:v>
                </c:pt>
                <c:pt idx="4">
                  <c:v>Mai</c:v>
                </c:pt>
                <c:pt idx="5">
                  <c:v>Iun</c:v>
                </c:pt>
                <c:pt idx="6">
                  <c:v>Iul</c:v>
                </c:pt>
                <c:pt idx="7">
                  <c:v>Aug</c:v>
                </c:pt>
                <c:pt idx="8">
                  <c:v>Sep</c:v>
                </c:pt>
                <c:pt idx="9">
                  <c:v>Oct</c:v>
                </c:pt>
                <c:pt idx="10">
                  <c:v>Nov</c:v>
                </c:pt>
                <c:pt idx="11">
                  <c:v>Dec</c:v>
                </c:pt>
              </c:strCache>
            </c:strRef>
          </c:cat>
          <c:val>
            <c:numRef>
              <c:f>Foaie1!$B$5:$M$5</c:f>
              <c:numCache>
                <c:formatCode>0.000</c:formatCode>
                <c:ptCount val="12"/>
                <c:pt idx="0">
                  <c:v>0.16</c:v>
                </c:pt>
                <c:pt idx="1">
                  <c:v>0.186</c:v>
                </c:pt>
                <c:pt idx="2">
                  <c:v>0.32800000000000001</c:v>
                </c:pt>
                <c:pt idx="3">
                  <c:v>0.216</c:v>
                </c:pt>
                <c:pt idx="4">
                  <c:v>0.16500000000000001</c:v>
                </c:pt>
                <c:pt idx="5">
                  <c:v>0.191</c:v>
                </c:pt>
                <c:pt idx="6">
                  <c:v>0.252</c:v>
                </c:pt>
                <c:pt idx="7">
                  <c:v>0.255</c:v>
                </c:pt>
                <c:pt idx="8">
                  <c:v>0.40699999999999997</c:v>
                </c:pt>
                <c:pt idx="9">
                  <c:v>0.44500000000000001</c:v>
                </c:pt>
                <c:pt idx="10">
                  <c:v>0.16900000000000001</c:v>
                </c:pt>
                <c:pt idx="11">
                  <c:v>7.6999999999999999E-2</c:v>
                </c:pt>
              </c:numCache>
            </c:numRef>
          </c:val>
        </c:ser>
        <c:ser>
          <c:idx val="1"/>
          <c:order val="1"/>
          <c:tx>
            <c:v>Cernavodă</c:v>
          </c:tx>
          <c:spPr>
            <a:solidFill>
              <a:srgbClr val="993366"/>
            </a:solidFill>
            <a:ln w="9508">
              <a:solidFill>
                <a:srgbClr val="000000"/>
              </a:solidFill>
              <a:prstDash val="solid"/>
            </a:ln>
          </c:spPr>
          <c:invertIfNegative val="0"/>
          <c:val>
            <c:numRef>
              <c:f>Foaie1!$B$6:$M$6</c:f>
              <c:numCache>
                <c:formatCode>0.000</c:formatCode>
                <c:ptCount val="12"/>
                <c:pt idx="0">
                  <c:v>5.2999999999999999E-2</c:v>
                </c:pt>
                <c:pt idx="1">
                  <c:v>0.16200000000000001</c:v>
                </c:pt>
                <c:pt idx="2">
                  <c:v>0.16500000000000001</c:v>
                </c:pt>
                <c:pt idx="3">
                  <c:v>0.183</c:v>
                </c:pt>
                <c:pt idx="4">
                  <c:v>0.13</c:v>
                </c:pt>
                <c:pt idx="5">
                  <c:v>0.14699999999999999</c:v>
                </c:pt>
                <c:pt idx="6">
                  <c:v>8.7999999999999995E-2</c:v>
                </c:pt>
                <c:pt idx="7">
                  <c:v>0.104</c:v>
                </c:pt>
                <c:pt idx="8">
                  <c:v>0.20799999999999999</c:v>
                </c:pt>
                <c:pt idx="9">
                  <c:v>5.7000000000000002E-2</c:v>
                </c:pt>
                <c:pt idx="10">
                  <c:v>6.5000000000000002E-2</c:v>
                </c:pt>
              </c:numCache>
            </c:numRef>
          </c:val>
        </c:ser>
        <c:ser>
          <c:idx val="2"/>
          <c:order val="2"/>
          <c:tx>
            <c:v>Galaţi</c:v>
          </c:tx>
          <c:spPr>
            <a:solidFill>
              <a:srgbClr val="FFFFCC"/>
            </a:solidFill>
            <a:ln w="9508">
              <a:solidFill>
                <a:srgbClr val="000000"/>
              </a:solidFill>
              <a:prstDash val="solid"/>
            </a:ln>
          </c:spPr>
          <c:invertIfNegative val="0"/>
          <c:val>
            <c:numRef>
              <c:f>Foaie1!$B$7:$M$7</c:f>
              <c:numCache>
                <c:formatCode>0.000</c:formatCode>
                <c:ptCount val="12"/>
                <c:pt idx="0">
                  <c:v>0.06</c:v>
                </c:pt>
                <c:pt idx="1">
                  <c:v>0.1</c:v>
                </c:pt>
                <c:pt idx="2">
                  <c:v>0.105</c:v>
                </c:pt>
                <c:pt idx="3">
                  <c:v>0.13</c:v>
                </c:pt>
                <c:pt idx="4">
                  <c:v>8.3000000000000004E-2</c:v>
                </c:pt>
                <c:pt idx="5">
                  <c:v>0.218</c:v>
                </c:pt>
                <c:pt idx="6">
                  <c:v>9.4E-2</c:v>
                </c:pt>
                <c:pt idx="7">
                  <c:v>0.36599999999999999</c:v>
                </c:pt>
                <c:pt idx="8">
                  <c:v>0.125</c:v>
                </c:pt>
                <c:pt idx="9">
                  <c:v>7.2999999999999995E-2</c:v>
                </c:pt>
                <c:pt idx="10">
                  <c:v>0.29799999999999999</c:v>
                </c:pt>
                <c:pt idx="11">
                  <c:v>8.6999999999999994E-2</c:v>
                </c:pt>
              </c:numCache>
            </c:numRef>
          </c:val>
        </c:ser>
        <c:ser>
          <c:idx val="3"/>
          <c:order val="3"/>
          <c:tx>
            <c:v>Buzău</c:v>
          </c:tx>
          <c:spPr>
            <a:solidFill>
              <a:srgbClr val="CCFFFF"/>
            </a:solidFill>
            <a:ln w="9508">
              <a:solidFill>
                <a:srgbClr val="000000"/>
              </a:solidFill>
              <a:prstDash val="solid"/>
            </a:ln>
          </c:spPr>
          <c:invertIfNegative val="0"/>
          <c:val>
            <c:numRef>
              <c:f>Foaie1!$B$8:$M$8</c:f>
              <c:numCache>
                <c:formatCode>0.000</c:formatCode>
                <c:ptCount val="12"/>
                <c:pt idx="0">
                  <c:v>8.1000000000000003E-2</c:v>
                </c:pt>
                <c:pt idx="1">
                  <c:v>0.115</c:v>
                </c:pt>
                <c:pt idx="2">
                  <c:v>5.6000000000000001E-2</c:v>
                </c:pt>
                <c:pt idx="3">
                  <c:v>9.4E-2</c:v>
                </c:pt>
                <c:pt idx="4">
                  <c:v>7.8E-2</c:v>
                </c:pt>
                <c:pt idx="5">
                  <c:v>0.20499999999999999</c:v>
                </c:pt>
                <c:pt idx="6">
                  <c:v>0.11700000000000001</c:v>
                </c:pt>
                <c:pt idx="7">
                  <c:v>0.13400000000000001</c:v>
                </c:pt>
                <c:pt idx="8">
                  <c:v>8.5999999999999993E-2</c:v>
                </c:pt>
                <c:pt idx="9">
                  <c:v>2.1000000000000001E-2</c:v>
                </c:pt>
                <c:pt idx="10">
                  <c:v>0.03</c:v>
                </c:pt>
                <c:pt idx="11">
                  <c:v>4.2000000000000003E-2</c:v>
                </c:pt>
              </c:numCache>
            </c:numRef>
          </c:val>
        </c:ser>
        <c:ser>
          <c:idx val="4"/>
          <c:order val="4"/>
          <c:tx>
            <c:v>Tulcea</c:v>
          </c:tx>
          <c:spPr>
            <a:solidFill>
              <a:srgbClr val="660066"/>
            </a:solidFill>
            <a:ln w="9508">
              <a:solidFill>
                <a:srgbClr val="000000"/>
              </a:solidFill>
              <a:prstDash val="solid"/>
            </a:ln>
          </c:spPr>
          <c:invertIfNegative val="0"/>
          <c:val>
            <c:numRef>
              <c:f>Foaie1!$B$9:$M$9</c:f>
              <c:numCache>
                <c:formatCode>0.000</c:formatCode>
                <c:ptCount val="12"/>
                <c:pt idx="0">
                  <c:v>0.16700000000000001</c:v>
                </c:pt>
                <c:pt idx="1">
                  <c:v>0.186</c:v>
                </c:pt>
                <c:pt idx="2">
                  <c:v>0.221</c:v>
                </c:pt>
                <c:pt idx="3">
                  <c:v>0.21299999999999999</c:v>
                </c:pt>
                <c:pt idx="4">
                  <c:v>0.254</c:v>
                </c:pt>
                <c:pt idx="5">
                  <c:v>0.315</c:v>
                </c:pt>
                <c:pt idx="6">
                  <c:v>0.32400000000000001</c:v>
                </c:pt>
                <c:pt idx="7">
                  <c:v>0.71699999999999997</c:v>
                </c:pt>
                <c:pt idx="8">
                  <c:v>0.28100000000000003</c:v>
                </c:pt>
                <c:pt idx="9">
                  <c:v>0.193</c:v>
                </c:pt>
                <c:pt idx="10">
                  <c:v>0.222</c:v>
                </c:pt>
                <c:pt idx="11">
                  <c:v>7.4999999999999997E-2</c:v>
                </c:pt>
              </c:numCache>
            </c:numRef>
          </c:val>
        </c:ser>
        <c:ser>
          <c:idx val="5"/>
          <c:order val="5"/>
          <c:tx>
            <c:v>Sf. Gheorghe</c:v>
          </c:tx>
          <c:spPr>
            <a:solidFill>
              <a:srgbClr val="FF8080"/>
            </a:solidFill>
            <a:ln w="9508">
              <a:solidFill>
                <a:srgbClr val="000000"/>
              </a:solidFill>
              <a:prstDash val="solid"/>
            </a:ln>
          </c:spPr>
          <c:invertIfNegative val="0"/>
          <c:val>
            <c:numRef>
              <c:f>Foaie1!$B$10:$M$10</c:f>
              <c:numCache>
                <c:formatCode>General</c:formatCode>
                <c:ptCount val="12"/>
                <c:pt idx="0">
                  <c:v>8.7999999999999995E-2</c:v>
                </c:pt>
                <c:pt idx="1">
                  <c:v>9.1999999999999998E-2</c:v>
                </c:pt>
                <c:pt idx="2">
                  <c:v>0.11899999999999999</c:v>
                </c:pt>
                <c:pt idx="3">
                  <c:v>0.14599999999999999</c:v>
                </c:pt>
                <c:pt idx="5">
                  <c:v>7.0999999999999994E-2</c:v>
                </c:pt>
                <c:pt idx="6">
                  <c:v>6.7000000000000004E-2</c:v>
                </c:pt>
                <c:pt idx="7">
                  <c:v>0.14499999999999999</c:v>
                </c:pt>
                <c:pt idx="8">
                  <c:v>0.11600000000000001</c:v>
                </c:pt>
                <c:pt idx="9">
                  <c:v>0.27400000000000002</c:v>
                </c:pt>
                <c:pt idx="10">
                  <c:v>7.6999999999999999E-2</c:v>
                </c:pt>
                <c:pt idx="11">
                  <c:v>3.4000000000000002E-2</c:v>
                </c:pt>
              </c:numCache>
            </c:numRef>
          </c:val>
        </c:ser>
        <c:dLbls>
          <c:showLegendKey val="0"/>
          <c:showVal val="0"/>
          <c:showCatName val="0"/>
          <c:showSerName val="0"/>
          <c:showPercent val="0"/>
          <c:showBubbleSize val="0"/>
        </c:dLbls>
        <c:gapWidth val="150"/>
        <c:axId val="103014784"/>
        <c:axId val="103016320"/>
      </c:barChart>
      <c:catAx>
        <c:axId val="103014784"/>
        <c:scaling>
          <c:orientation val="minMax"/>
        </c:scaling>
        <c:delete val="0"/>
        <c:axPos val="b"/>
        <c:numFmt formatCode="General" sourceLinked="1"/>
        <c:majorTickMark val="out"/>
        <c:minorTickMark val="none"/>
        <c:tickLblPos val="nextTo"/>
        <c:spPr>
          <a:ln w="2377">
            <a:solidFill>
              <a:srgbClr val="000000"/>
            </a:solidFill>
            <a:prstDash val="solid"/>
          </a:ln>
        </c:spPr>
        <c:txPr>
          <a:bodyPr rot="0" vert="horz"/>
          <a:lstStyle/>
          <a:p>
            <a:pPr>
              <a:defRPr sz="711" b="0" i="0" u="none" strike="noStrike" baseline="0">
                <a:solidFill>
                  <a:srgbClr val="000000"/>
                </a:solidFill>
                <a:latin typeface="Arial"/>
                <a:ea typeface="Arial"/>
                <a:cs typeface="Arial"/>
              </a:defRPr>
            </a:pPr>
            <a:endParaRPr lang="en-US"/>
          </a:p>
        </c:txPr>
        <c:crossAx val="103016320"/>
        <c:crosses val="autoZero"/>
        <c:auto val="1"/>
        <c:lblAlgn val="ctr"/>
        <c:lblOffset val="100"/>
        <c:tickLblSkip val="1"/>
        <c:tickMarkSkip val="1"/>
        <c:noMultiLvlLbl val="0"/>
      </c:catAx>
      <c:valAx>
        <c:axId val="103016320"/>
        <c:scaling>
          <c:orientation val="minMax"/>
          <c:max val="0.8"/>
        </c:scaling>
        <c:delete val="0"/>
        <c:axPos val="l"/>
        <c:majorGridlines>
          <c:spPr>
            <a:ln w="2377">
              <a:solidFill>
                <a:srgbClr val="000000"/>
              </a:solidFill>
              <a:prstDash val="solid"/>
            </a:ln>
          </c:spPr>
        </c:majorGridlines>
        <c:title>
          <c:tx>
            <c:rich>
              <a:bodyPr/>
              <a:lstStyle/>
              <a:p>
                <a:pPr>
                  <a:defRPr sz="824" b="1" i="0" u="none" strike="noStrike" baseline="0">
                    <a:solidFill>
                      <a:srgbClr val="000000"/>
                    </a:solidFill>
                    <a:latin typeface="+mn-lt"/>
                    <a:ea typeface="Arial"/>
                    <a:cs typeface="Arial"/>
                  </a:defRPr>
                </a:pPr>
                <a:r>
                  <a:rPr lang="en-US" sz="824">
                    <a:latin typeface="+mn-lt"/>
                  </a:rPr>
                  <a:t>Bq/mp*zi</a:t>
                </a:r>
              </a:p>
            </c:rich>
          </c:tx>
          <c:layout>
            <c:manualLayout>
              <c:xMode val="edge"/>
              <c:yMode val="edge"/>
              <c:x val="1.9037398455145564E-2"/>
              <c:y val="0.39712883715622505"/>
            </c:manualLayout>
          </c:layout>
          <c:overlay val="0"/>
          <c:spPr>
            <a:noFill/>
            <a:ln w="19016">
              <a:noFill/>
            </a:ln>
          </c:spPr>
        </c:title>
        <c:numFmt formatCode="General" sourceLinked="0"/>
        <c:majorTickMark val="out"/>
        <c:minorTickMark val="none"/>
        <c:tickLblPos val="nextTo"/>
        <c:spPr>
          <a:ln w="2377">
            <a:solidFill>
              <a:srgbClr val="000000"/>
            </a:solidFill>
            <a:prstDash val="solid"/>
          </a:ln>
        </c:spPr>
        <c:txPr>
          <a:bodyPr rot="0" vert="horz"/>
          <a:lstStyle/>
          <a:p>
            <a:pPr>
              <a:defRPr sz="674" b="0" i="0" u="none" strike="noStrike" baseline="0">
                <a:solidFill>
                  <a:srgbClr val="000000"/>
                </a:solidFill>
                <a:latin typeface="Arial"/>
                <a:ea typeface="Arial"/>
                <a:cs typeface="Arial"/>
              </a:defRPr>
            </a:pPr>
            <a:endParaRPr lang="en-US"/>
          </a:p>
        </c:txPr>
        <c:crossAx val="103014784"/>
        <c:crosses val="autoZero"/>
        <c:crossBetween val="between"/>
        <c:majorUnit val="0.2"/>
        <c:minorUnit val="0.1"/>
      </c:valAx>
      <c:spPr>
        <a:gradFill rotWithShape="0">
          <a:gsLst>
            <a:gs pos="0">
              <a:srgbClr xmlns:mc="http://schemas.openxmlformats.org/markup-compatibility/2006" xmlns:a14="http://schemas.microsoft.com/office/drawing/2010/main" val="020202" mc:Ignorable="a14" a14:legacySpreadsheetColorIndex="9">
                <a:gamma/>
                <a:shade val="76078"/>
                <a:invGamma/>
              </a:srgbClr>
            </a:gs>
            <a:gs pos="50000">
              <a:srgbClr xmlns:mc="http://schemas.openxmlformats.org/markup-compatibility/2006" xmlns:a14="http://schemas.microsoft.com/office/drawing/2010/main" val="FFFFFF" mc:Ignorable="a14" a14:legacySpreadsheetColorIndex="9"/>
            </a:gs>
            <a:gs pos="100000">
              <a:srgbClr xmlns:mc="http://schemas.openxmlformats.org/markup-compatibility/2006" xmlns:a14="http://schemas.microsoft.com/office/drawing/2010/main" val="020202" mc:Ignorable="a14" a14:legacySpreadsheetColorIndex="9">
                <a:gamma/>
                <a:shade val="76078"/>
                <a:invGamma/>
              </a:srgbClr>
            </a:gs>
          </a:gsLst>
          <a:lin ang="5400000" scaled="1"/>
        </a:gradFill>
        <a:ln w="9508">
          <a:solidFill>
            <a:srgbClr val="808080"/>
          </a:solidFill>
          <a:prstDash val="solid"/>
        </a:ln>
      </c:spPr>
    </c:plotArea>
    <c:legend>
      <c:legendPos val="r"/>
      <c:legendEntry>
        <c:idx val="1"/>
        <c:txPr>
          <a:bodyPr/>
          <a:lstStyle/>
          <a:p>
            <a:pPr>
              <a:defRPr sz="749" b="0" i="0" u="none" strike="noStrike" baseline="0">
                <a:solidFill>
                  <a:srgbClr val="000000"/>
                </a:solidFill>
                <a:latin typeface="+mn-lt"/>
                <a:ea typeface="Arial"/>
                <a:cs typeface="Arial"/>
              </a:defRPr>
            </a:pPr>
            <a:endParaRPr lang="en-US"/>
          </a:p>
        </c:txPr>
      </c:legendEntry>
      <c:legendEntry>
        <c:idx val="3"/>
        <c:txPr>
          <a:bodyPr/>
          <a:lstStyle/>
          <a:p>
            <a:pPr>
              <a:defRPr sz="749" b="0" i="0" u="none" strike="noStrike" baseline="0">
                <a:solidFill>
                  <a:srgbClr val="000000"/>
                </a:solidFill>
                <a:latin typeface="+mn-lt"/>
                <a:ea typeface="Arial"/>
                <a:cs typeface="Arial"/>
              </a:defRPr>
            </a:pPr>
            <a:endParaRPr lang="en-US"/>
          </a:p>
        </c:txPr>
      </c:legendEntry>
      <c:legendEntry>
        <c:idx val="5"/>
        <c:txPr>
          <a:bodyPr/>
          <a:lstStyle/>
          <a:p>
            <a:pPr>
              <a:defRPr sz="786" b="0" i="0" u="none" strike="noStrike" baseline="0">
                <a:solidFill>
                  <a:srgbClr val="000000"/>
                </a:solidFill>
                <a:latin typeface="+mn-lt"/>
                <a:ea typeface="Arial"/>
                <a:cs typeface="Arial"/>
              </a:defRPr>
            </a:pPr>
            <a:endParaRPr lang="en-US"/>
          </a:p>
        </c:txPr>
      </c:legendEntry>
      <c:layout>
        <c:manualLayout>
          <c:xMode val="edge"/>
          <c:yMode val="edge"/>
          <c:x val="8.7163232963549928E-2"/>
          <c:y val="0.88799231617786911"/>
          <c:w val="0.8605388272583202"/>
          <c:h val="0.10305603103959826"/>
        </c:manualLayout>
      </c:layout>
      <c:overlay val="0"/>
      <c:spPr>
        <a:solidFill>
          <a:srgbClr val="FFFFFF"/>
        </a:solidFill>
        <a:ln w="19016">
          <a:noFill/>
        </a:ln>
      </c:spPr>
      <c:txPr>
        <a:bodyPr/>
        <a:lstStyle/>
        <a:p>
          <a:pPr>
            <a:defRPr sz="786" b="0" i="0" u="none" strike="noStrike" baseline="0">
              <a:solidFill>
                <a:srgbClr val="000000"/>
              </a:solidFill>
              <a:latin typeface="+mn-lt"/>
              <a:ea typeface="Arial"/>
              <a:cs typeface="Arial"/>
            </a:defRPr>
          </a:pPr>
          <a:endParaRPr lang="en-US"/>
        </a:p>
      </c:txPr>
    </c:legend>
    <c:plotVisOnly val="1"/>
    <c:dispBlanksAs val="gap"/>
    <c:showDLblsOverMax val="0"/>
  </c:chart>
  <c:spPr>
    <a:solidFill>
      <a:srgbClr val="FFFFFF"/>
    </a:solidFill>
    <a:ln w="2377">
      <a:solidFill>
        <a:srgbClr val="000000"/>
      </a:solidFill>
      <a:prstDash val="solid"/>
    </a:ln>
  </c:spPr>
  <c:txPr>
    <a:bodyPr/>
    <a:lstStyle/>
    <a:p>
      <a:pPr>
        <a:defRPr sz="1104" b="0" i="0" u="none" strike="noStrike" baseline="0">
          <a:solidFill>
            <a:srgbClr val="000000"/>
          </a:solidFill>
          <a:latin typeface="Arial"/>
          <a:ea typeface="Arial"/>
          <a:cs typeface="Arial"/>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a:t>Figura IX.16. A</a:t>
            </a:r>
            <a:r>
              <a:rPr lang="en-US"/>
              <a:t>ctivit</a:t>
            </a:r>
            <a:r>
              <a:rPr lang="ro-RO"/>
              <a:t>atea volumică a</a:t>
            </a:r>
            <a:r>
              <a:rPr lang="en-US"/>
              <a:t> tritiului în probele de precipitaţii</a:t>
            </a:r>
            <a:r>
              <a:rPr lang="ro-RO"/>
              <a:t> </a:t>
            </a:r>
            <a:r>
              <a:rPr lang="en-US"/>
              <a:t>atmosferice, înregistrate la SSRM Cernavodă în anul 2015</a:t>
            </a:r>
            <a:endParaRPr lang="ro-RO"/>
          </a:p>
        </c:rich>
      </c:tx>
      <c:overlay val="0"/>
    </c:title>
    <c:autoTitleDeleted val="0"/>
    <c:plotArea>
      <c:layout>
        <c:manualLayout>
          <c:layoutTarget val="inner"/>
          <c:xMode val="edge"/>
          <c:yMode val="edge"/>
          <c:x val="0.14456455463260956"/>
          <c:y val="0.2325063912465487"/>
          <c:w val="0.83364142487035642"/>
          <c:h val="0.5167245003465476"/>
        </c:manualLayout>
      </c:layout>
      <c:lineChart>
        <c:grouping val="standard"/>
        <c:varyColors val="0"/>
        <c:ser>
          <c:idx val="0"/>
          <c:order val="0"/>
          <c:tx>
            <c:strRef>
              <c:f>Foaie1!$B$1</c:f>
              <c:strCache>
                <c:ptCount val="1"/>
                <c:pt idx="0">
                  <c:v>medie lunară</c:v>
                </c:pt>
              </c:strCache>
            </c:strRef>
          </c:tx>
          <c:cat>
            <c:strRef>
              <c:f>Foaie1!$A$2:$A$13</c:f>
              <c:strCache>
                <c:ptCount val="12"/>
                <c:pt idx="0">
                  <c:v>ian</c:v>
                </c:pt>
                <c:pt idx="1">
                  <c:v>feb</c:v>
                </c:pt>
                <c:pt idx="2">
                  <c:v>mar</c:v>
                </c:pt>
                <c:pt idx="3">
                  <c:v>apr</c:v>
                </c:pt>
                <c:pt idx="4">
                  <c:v>mai</c:v>
                </c:pt>
                <c:pt idx="5">
                  <c:v>iun</c:v>
                </c:pt>
                <c:pt idx="6">
                  <c:v>iul</c:v>
                </c:pt>
                <c:pt idx="7">
                  <c:v>aug</c:v>
                </c:pt>
                <c:pt idx="8">
                  <c:v>sept</c:v>
                </c:pt>
                <c:pt idx="9">
                  <c:v>oct</c:v>
                </c:pt>
                <c:pt idx="10">
                  <c:v>nov</c:v>
                </c:pt>
                <c:pt idx="11">
                  <c:v>dec</c:v>
                </c:pt>
              </c:strCache>
            </c:strRef>
          </c:cat>
          <c:val>
            <c:numRef>
              <c:f>Foaie1!$B$2:$B$13</c:f>
              <c:numCache>
                <c:formatCode>General</c:formatCode>
                <c:ptCount val="12"/>
                <c:pt idx="0">
                  <c:v>86.23</c:v>
                </c:pt>
                <c:pt idx="1">
                  <c:v>433.74</c:v>
                </c:pt>
                <c:pt idx="2">
                  <c:v>226.99</c:v>
                </c:pt>
                <c:pt idx="3">
                  <c:v>230.87</c:v>
                </c:pt>
                <c:pt idx="4">
                  <c:v>78.78</c:v>
                </c:pt>
                <c:pt idx="5">
                  <c:v>4.8</c:v>
                </c:pt>
                <c:pt idx="6">
                  <c:v>2.68</c:v>
                </c:pt>
                <c:pt idx="7">
                  <c:v>47.01</c:v>
                </c:pt>
                <c:pt idx="8">
                  <c:v>91.47</c:v>
                </c:pt>
                <c:pt idx="9">
                  <c:v>109.15</c:v>
                </c:pt>
                <c:pt idx="10">
                  <c:v>95.63</c:v>
                </c:pt>
                <c:pt idx="11">
                  <c:v>23.12</c:v>
                </c:pt>
              </c:numCache>
            </c:numRef>
          </c:val>
          <c:smooth val="0"/>
        </c:ser>
        <c:ser>
          <c:idx val="1"/>
          <c:order val="1"/>
          <c:tx>
            <c:strRef>
              <c:f>Foaie1!$C$1</c:f>
              <c:strCache>
                <c:ptCount val="1"/>
                <c:pt idx="0">
                  <c:v>maximă lunară</c:v>
                </c:pt>
              </c:strCache>
            </c:strRef>
          </c:tx>
          <c:cat>
            <c:strRef>
              <c:f>Foaie1!$A$2:$A$13</c:f>
              <c:strCache>
                <c:ptCount val="12"/>
                <c:pt idx="0">
                  <c:v>ian</c:v>
                </c:pt>
                <c:pt idx="1">
                  <c:v>feb</c:v>
                </c:pt>
                <c:pt idx="2">
                  <c:v>mar</c:v>
                </c:pt>
                <c:pt idx="3">
                  <c:v>apr</c:v>
                </c:pt>
                <c:pt idx="4">
                  <c:v>mai</c:v>
                </c:pt>
                <c:pt idx="5">
                  <c:v>iun</c:v>
                </c:pt>
                <c:pt idx="6">
                  <c:v>iul</c:v>
                </c:pt>
                <c:pt idx="7">
                  <c:v>aug</c:v>
                </c:pt>
                <c:pt idx="8">
                  <c:v>sept</c:v>
                </c:pt>
                <c:pt idx="9">
                  <c:v>oct</c:v>
                </c:pt>
                <c:pt idx="10">
                  <c:v>nov</c:v>
                </c:pt>
                <c:pt idx="11">
                  <c:v>dec</c:v>
                </c:pt>
              </c:strCache>
            </c:strRef>
          </c:cat>
          <c:val>
            <c:numRef>
              <c:f>Foaie1!$C$2:$C$13</c:f>
              <c:numCache>
                <c:formatCode>0.00</c:formatCode>
                <c:ptCount val="12"/>
                <c:pt idx="0">
                  <c:v>135.80000000000001</c:v>
                </c:pt>
                <c:pt idx="1">
                  <c:v>1882.79</c:v>
                </c:pt>
                <c:pt idx="2">
                  <c:v>771.42</c:v>
                </c:pt>
                <c:pt idx="3">
                  <c:v>707.9</c:v>
                </c:pt>
                <c:pt idx="4">
                  <c:v>104.59</c:v>
                </c:pt>
                <c:pt idx="5">
                  <c:v>5.44</c:v>
                </c:pt>
                <c:pt idx="6">
                  <c:v>2.75</c:v>
                </c:pt>
                <c:pt idx="7">
                  <c:v>58.78</c:v>
                </c:pt>
                <c:pt idx="8">
                  <c:v>364.29</c:v>
                </c:pt>
                <c:pt idx="9">
                  <c:v>200.84</c:v>
                </c:pt>
                <c:pt idx="10">
                  <c:v>505.41</c:v>
                </c:pt>
                <c:pt idx="11">
                  <c:v>26.06</c:v>
                </c:pt>
              </c:numCache>
            </c:numRef>
          </c:val>
          <c:smooth val="0"/>
        </c:ser>
        <c:dLbls>
          <c:showLegendKey val="0"/>
          <c:showVal val="0"/>
          <c:showCatName val="0"/>
          <c:showSerName val="0"/>
          <c:showPercent val="0"/>
          <c:showBubbleSize val="0"/>
        </c:dLbls>
        <c:marker val="1"/>
        <c:smooth val="0"/>
        <c:axId val="102449536"/>
        <c:axId val="102451072"/>
      </c:lineChart>
      <c:catAx>
        <c:axId val="102449536"/>
        <c:scaling>
          <c:orientation val="minMax"/>
        </c:scaling>
        <c:delete val="0"/>
        <c:axPos val="b"/>
        <c:numFmt formatCode="General" sourceLinked="1"/>
        <c:majorTickMark val="none"/>
        <c:minorTickMark val="none"/>
        <c:tickLblPos val="nextTo"/>
        <c:txPr>
          <a:bodyPr rot="-2280000" vert="horz"/>
          <a:lstStyle/>
          <a:p>
            <a:pPr>
              <a:defRPr/>
            </a:pPr>
            <a:endParaRPr lang="en-US"/>
          </a:p>
        </c:txPr>
        <c:crossAx val="102451072"/>
        <c:crossesAt val="0"/>
        <c:auto val="1"/>
        <c:lblAlgn val="ctr"/>
        <c:lblOffset val="100"/>
        <c:noMultiLvlLbl val="0"/>
      </c:catAx>
      <c:valAx>
        <c:axId val="102451072"/>
        <c:scaling>
          <c:orientation val="minMax"/>
          <c:max val="2000"/>
        </c:scaling>
        <c:delete val="0"/>
        <c:axPos val="l"/>
        <c:majorGridlines/>
        <c:title>
          <c:tx>
            <c:rich>
              <a:bodyPr rot="-5400000" vert="horz"/>
              <a:lstStyle/>
              <a:p>
                <a:pPr>
                  <a:defRPr/>
                </a:pPr>
                <a:r>
                  <a:rPr lang="ro-RO"/>
                  <a:t>Bq/l</a:t>
                </a:r>
              </a:p>
              <a:p>
                <a:pPr>
                  <a:defRPr/>
                </a:pPr>
                <a:endParaRPr lang="vi-VN"/>
              </a:p>
            </c:rich>
          </c:tx>
          <c:overlay val="0"/>
        </c:title>
        <c:numFmt formatCode="0" sourceLinked="0"/>
        <c:majorTickMark val="none"/>
        <c:minorTickMark val="none"/>
        <c:tickLblPos val="nextTo"/>
        <c:spPr>
          <a:ln cmpd="dbl"/>
        </c:spPr>
        <c:txPr>
          <a:bodyPr rot="0" vert="horz"/>
          <a:lstStyle/>
          <a:p>
            <a:pPr>
              <a:defRPr/>
            </a:pPr>
            <a:endParaRPr lang="en-US"/>
          </a:p>
        </c:txPr>
        <c:crossAx val="102449536"/>
        <c:crosses val="autoZero"/>
        <c:crossBetween val="between"/>
      </c:valAx>
    </c:plotArea>
    <c:legend>
      <c:legendPos val="b"/>
      <c:layout>
        <c:manualLayout>
          <c:xMode val="edge"/>
          <c:yMode val="edge"/>
          <c:x val="0.33280423280423282"/>
          <c:y val="0.89743286326497318"/>
          <c:w val="0.45897362183523505"/>
          <c:h val="0.10256717910261218"/>
        </c:manualLayout>
      </c:layout>
      <c:overlay val="0"/>
    </c:legend>
    <c:plotVisOnly val="1"/>
    <c:dispBlanksAs val="gap"/>
    <c:showDLblsOverMax val="0"/>
  </c:chart>
  <c:spPr>
    <a:ln>
      <a:solidFill>
        <a:schemeClr val="tx1"/>
      </a:solidFill>
    </a:ln>
  </c:spPr>
  <c:txPr>
    <a:bodyPr/>
    <a:lstStyle/>
    <a:p>
      <a:pPr>
        <a:defRPr sz="1100">
          <a:latin typeface="Arial" pitchFamily="34" charset="0"/>
          <a:cs typeface="Arial" pitchFamily="34" charset="0"/>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502" b="0" i="0" u="none" strike="noStrike" baseline="0">
                <a:solidFill>
                  <a:srgbClr val="000000"/>
                </a:solidFill>
                <a:latin typeface="+mn-lt"/>
                <a:ea typeface="Arial"/>
                <a:cs typeface="Arial"/>
              </a:defRPr>
            </a:pPr>
            <a:r>
              <a:rPr lang="en-US" sz="897" b="1" i="0" u="none" strike="noStrike" baseline="0">
                <a:solidFill>
                  <a:srgbClr val="000000"/>
                </a:solidFill>
                <a:latin typeface="+mn-lt"/>
                <a:cs typeface="Arial"/>
              </a:rPr>
              <a:t>Figura IX.17. Ape brute </a:t>
            </a:r>
          </a:p>
          <a:p>
            <a:pPr>
              <a:defRPr sz="502" b="0" i="0" u="none" strike="noStrike" baseline="0">
                <a:solidFill>
                  <a:srgbClr val="000000"/>
                </a:solidFill>
                <a:latin typeface="+mn-lt"/>
                <a:ea typeface="Arial"/>
                <a:cs typeface="Arial"/>
              </a:defRPr>
            </a:pPr>
            <a:r>
              <a:rPr lang="en-US" sz="897" b="1" i="0" u="none" strike="noStrike" baseline="0">
                <a:solidFill>
                  <a:srgbClr val="000000"/>
                </a:solidFill>
                <a:latin typeface="+mn-lt"/>
                <a:cs typeface="Arial"/>
              </a:rPr>
              <a:t>Activitate specifică beta globală - măsurători imediate  </a:t>
            </a:r>
          </a:p>
          <a:p>
            <a:pPr>
              <a:defRPr sz="502" b="0" i="0" u="none" strike="noStrike" baseline="0">
                <a:solidFill>
                  <a:srgbClr val="000000"/>
                </a:solidFill>
                <a:latin typeface="+mn-lt"/>
                <a:ea typeface="Arial"/>
                <a:cs typeface="Arial"/>
              </a:defRPr>
            </a:pPr>
            <a:r>
              <a:rPr lang="en-US" sz="897" b="1" i="0" u="none" strike="noStrike" baseline="0">
                <a:solidFill>
                  <a:srgbClr val="000000"/>
                </a:solidFill>
                <a:latin typeface="+mn-lt"/>
                <a:cs typeface="Arial"/>
              </a:rPr>
              <a:t>- medii si maxime lunare 2015 -</a:t>
            </a:r>
          </a:p>
        </c:rich>
      </c:tx>
      <c:layout>
        <c:manualLayout>
          <c:xMode val="edge"/>
          <c:yMode val="edge"/>
          <c:x val="0.22187005804085216"/>
          <c:y val="0"/>
        </c:manualLayout>
      </c:layout>
      <c:overlay val="0"/>
      <c:spPr>
        <a:noFill/>
        <a:ln w="18992">
          <a:noFill/>
        </a:ln>
      </c:spPr>
    </c:title>
    <c:autoTitleDeleted val="0"/>
    <c:view3D>
      <c:rotX val="8"/>
      <c:hPercent val="28"/>
      <c:rotY val="19"/>
      <c:depthPercent val="170"/>
      <c:rAngAx val="1"/>
    </c:view3D>
    <c:floor>
      <c:thickness val="0"/>
      <c:spPr>
        <a:solidFill>
          <a:srgbClr val="FFFFFF"/>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0.10567929008873891"/>
          <c:y val="0.24442020719141555"/>
          <c:w val="0.87167556736795915"/>
          <c:h val="0.54585422405238215"/>
        </c:manualLayout>
      </c:layout>
      <c:bar3DChart>
        <c:barDir val="col"/>
        <c:grouping val="standard"/>
        <c:varyColors val="0"/>
        <c:ser>
          <c:idx val="0"/>
          <c:order val="0"/>
          <c:tx>
            <c:strRef>
              <c:f>'apa bruta'!$A$3</c:f>
              <c:strCache>
                <c:ptCount val="1"/>
                <c:pt idx="0">
                  <c:v>media Lac Tăbăcărie</c:v>
                </c:pt>
              </c:strCache>
            </c:strRef>
          </c:tx>
          <c:spPr>
            <a:solidFill>
              <a:srgbClr val="9999FF"/>
            </a:solidFill>
            <a:ln w="9496">
              <a:solidFill>
                <a:srgbClr val="000000"/>
              </a:solidFill>
              <a:prstDash val="solid"/>
            </a:ln>
          </c:spPr>
          <c:invertIfNegative val="0"/>
          <c:cat>
            <c:strRef>
              <c:f>'apa bruta'!$B$2:$M$2</c:f>
              <c:strCache>
                <c:ptCount val="12"/>
                <c:pt idx="0">
                  <c:v>Ian</c:v>
                </c:pt>
                <c:pt idx="1">
                  <c:v>Feb</c:v>
                </c:pt>
                <c:pt idx="2">
                  <c:v>Mar</c:v>
                </c:pt>
                <c:pt idx="3">
                  <c:v>Apr</c:v>
                </c:pt>
                <c:pt idx="4">
                  <c:v>Mai</c:v>
                </c:pt>
                <c:pt idx="5">
                  <c:v>Iun</c:v>
                </c:pt>
                <c:pt idx="6">
                  <c:v>Iul</c:v>
                </c:pt>
                <c:pt idx="7">
                  <c:v>Aug</c:v>
                </c:pt>
                <c:pt idx="8">
                  <c:v>Sep</c:v>
                </c:pt>
                <c:pt idx="9">
                  <c:v>Oct</c:v>
                </c:pt>
                <c:pt idx="10">
                  <c:v>Nov</c:v>
                </c:pt>
                <c:pt idx="11">
                  <c:v>Dec</c:v>
                </c:pt>
              </c:strCache>
            </c:strRef>
          </c:cat>
          <c:val>
            <c:numRef>
              <c:f>'apa bruta'!$B$3:$M$3</c:f>
              <c:numCache>
                <c:formatCode>0.000</c:formatCode>
                <c:ptCount val="12"/>
                <c:pt idx="0">
                  <c:v>0.26600000000000001</c:v>
                </c:pt>
                <c:pt idx="1">
                  <c:v>0.28499999999999998</c:v>
                </c:pt>
                <c:pt idx="2">
                  <c:v>0.27300000000000002</c:v>
                </c:pt>
                <c:pt idx="3">
                  <c:v>0.27100000000000002</c:v>
                </c:pt>
                <c:pt idx="4">
                  <c:v>0.253</c:v>
                </c:pt>
                <c:pt idx="5">
                  <c:v>0.253</c:v>
                </c:pt>
                <c:pt idx="6">
                  <c:v>0.23988999999999999</c:v>
                </c:pt>
                <c:pt idx="7">
                  <c:v>0.24656</c:v>
                </c:pt>
                <c:pt idx="8">
                  <c:v>0.25313999999999998</c:v>
                </c:pt>
                <c:pt idx="9">
                  <c:v>0.27422999999999997</c:v>
                </c:pt>
                <c:pt idx="10">
                  <c:v>0.24179</c:v>
                </c:pt>
                <c:pt idx="11">
                  <c:v>0.26505000000000001</c:v>
                </c:pt>
              </c:numCache>
            </c:numRef>
          </c:val>
        </c:ser>
        <c:ser>
          <c:idx val="1"/>
          <c:order val="1"/>
          <c:tx>
            <c:strRef>
              <c:f>'apa bruta'!$A$4</c:f>
              <c:strCache>
                <c:ptCount val="1"/>
                <c:pt idx="0">
                  <c:v>media Dunăre la Cernavodă</c:v>
                </c:pt>
              </c:strCache>
            </c:strRef>
          </c:tx>
          <c:spPr>
            <a:solidFill>
              <a:srgbClr val="993366"/>
            </a:solidFill>
            <a:ln w="9496">
              <a:solidFill>
                <a:srgbClr val="000000"/>
              </a:solidFill>
              <a:prstDash val="solid"/>
            </a:ln>
          </c:spPr>
          <c:invertIfNegative val="0"/>
          <c:cat>
            <c:strRef>
              <c:f>'apa bruta'!$B$2:$M$2</c:f>
              <c:strCache>
                <c:ptCount val="12"/>
                <c:pt idx="0">
                  <c:v>Ian</c:v>
                </c:pt>
                <c:pt idx="1">
                  <c:v>Feb</c:v>
                </c:pt>
                <c:pt idx="2">
                  <c:v>Mar</c:v>
                </c:pt>
                <c:pt idx="3">
                  <c:v>Apr</c:v>
                </c:pt>
                <c:pt idx="4">
                  <c:v>Mai</c:v>
                </c:pt>
                <c:pt idx="5">
                  <c:v>Iun</c:v>
                </c:pt>
                <c:pt idx="6">
                  <c:v>Iul</c:v>
                </c:pt>
                <c:pt idx="7">
                  <c:v>Aug</c:v>
                </c:pt>
                <c:pt idx="8">
                  <c:v>Sep</c:v>
                </c:pt>
                <c:pt idx="9">
                  <c:v>Oct</c:v>
                </c:pt>
                <c:pt idx="10">
                  <c:v>Nov</c:v>
                </c:pt>
                <c:pt idx="11">
                  <c:v>Dec</c:v>
                </c:pt>
              </c:strCache>
            </c:strRef>
          </c:cat>
          <c:val>
            <c:numRef>
              <c:f>'apa bruta'!$B$4:$M$4</c:f>
              <c:numCache>
                <c:formatCode>General</c:formatCode>
                <c:ptCount val="12"/>
                <c:pt idx="0">
                  <c:v>0.23</c:v>
                </c:pt>
                <c:pt idx="1">
                  <c:v>0.20699999999999999</c:v>
                </c:pt>
                <c:pt idx="2">
                  <c:v>0.253</c:v>
                </c:pt>
                <c:pt idx="3">
                  <c:v>0.23</c:v>
                </c:pt>
                <c:pt idx="4">
                  <c:v>0.217</c:v>
                </c:pt>
                <c:pt idx="5">
                  <c:v>0.2</c:v>
                </c:pt>
                <c:pt idx="6">
                  <c:v>0.17</c:v>
                </c:pt>
                <c:pt idx="7">
                  <c:v>0.21199999999999999</c:v>
                </c:pt>
                <c:pt idx="8">
                  <c:v>0.17</c:v>
                </c:pt>
                <c:pt idx="9">
                  <c:v>0.224</c:v>
                </c:pt>
                <c:pt idx="10">
                  <c:v>0.20599999999999999</c:v>
                </c:pt>
                <c:pt idx="11">
                  <c:v>0.20200000000000001</c:v>
                </c:pt>
              </c:numCache>
            </c:numRef>
          </c:val>
        </c:ser>
        <c:ser>
          <c:idx val="2"/>
          <c:order val="2"/>
          <c:tx>
            <c:strRef>
              <c:f>'apa bruta'!$A$5</c:f>
              <c:strCache>
                <c:ptCount val="1"/>
                <c:pt idx="0">
                  <c:v>maxima Lac Tăbăcărie</c:v>
                </c:pt>
              </c:strCache>
            </c:strRef>
          </c:tx>
          <c:invertIfNegative val="0"/>
          <c:cat>
            <c:strRef>
              <c:f>'apa bruta'!$B$2:$M$2</c:f>
              <c:strCache>
                <c:ptCount val="12"/>
                <c:pt idx="0">
                  <c:v>Ian</c:v>
                </c:pt>
                <c:pt idx="1">
                  <c:v>Feb</c:v>
                </c:pt>
                <c:pt idx="2">
                  <c:v>Mar</c:v>
                </c:pt>
                <c:pt idx="3">
                  <c:v>Apr</c:v>
                </c:pt>
                <c:pt idx="4">
                  <c:v>Mai</c:v>
                </c:pt>
                <c:pt idx="5">
                  <c:v>Iun</c:v>
                </c:pt>
                <c:pt idx="6">
                  <c:v>Iul</c:v>
                </c:pt>
                <c:pt idx="7">
                  <c:v>Aug</c:v>
                </c:pt>
                <c:pt idx="8">
                  <c:v>Sep</c:v>
                </c:pt>
                <c:pt idx="9">
                  <c:v>Oct</c:v>
                </c:pt>
                <c:pt idx="10">
                  <c:v>Nov</c:v>
                </c:pt>
                <c:pt idx="11">
                  <c:v>Dec</c:v>
                </c:pt>
              </c:strCache>
            </c:strRef>
          </c:cat>
          <c:val>
            <c:numRef>
              <c:f>'apa bruta'!$B$5:$M$5</c:f>
              <c:numCache>
                <c:formatCode>0.000</c:formatCode>
                <c:ptCount val="12"/>
                <c:pt idx="0">
                  <c:v>0.32969999999999999</c:v>
                </c:pt>
                <c:pt idx="1">
                  <c:v>0.3528</c:v>
                </c:pt>
                <c:pt idx="2">
                  <c:v>0.37309999999999999</c:v>
                </c:pt>
                <c:pt idx="3">
                  <c:v>0.41139999999999999</c:v>
                </c:pt>
                <c:pt idx="4">
                  <c:v>0.30570000000000003</c:v>
                </c:pt>
                <c:pt idx="5">
                  <c:v>0.32469999999999999</c:v>
                </c:pt>
                <c:pt idx="6">
                  <c:v>0.28849999999999998</c:v>
                </c:pt>
                <c:pt idx="7">
                  <c:v>0.27860000000000001</c:v>
                </c:pt>
                <c:pt idx="8">
                  <c:v>0.3226</c:v>
                </c:pt>
                <c:pt idx="9">
                  <c:v>0.3584</c:v>
                </c:pt>
                <c:pt idx="10">
                  <c:v>0.30180000000000001</c:v>
                </c:pt>
                <c:pt idx="11">
                  <c:v>0.37140000000000001</c:v>
                </c:pt>
              </c:numCache>
            </c:numRef>
          </c:val>
        </c:ser>
        <c:ser>
          <c:idx val="3"/>
          <c:order val="3"/>
          <c:tx>
            <c:strRef>
              <c:f>'apa bruta'!$A$6</c:f>
              <c:strCache>
                <c:ptCount val="1"/>
                <c:pt idx="0">
                  <c:v>maxima Dunăre la Cernavodă</c:v>
                </c:pt>
              </c:strCache>
            </c:strRef>
          </c:tx>
          <c:invertIfNegative val="0"/>
          <c:cat>
            <c:strRef>
              <c:f>'apa bruta'!$B$2:$M$2</c:f>
              <c:strCache>
                <c:ptCount val="12"/>
                <c:pt idx="0">
                  <c:v>Ian</c:v>
                </c:pt>
                <c:pt idx="1">
                  <c:v>Feb</c:v>
                </c:pt>
                <c:pt idx="2">
                  <c:v>Mar</c:v>
                </c:pt>
                <c:pt idx="3">
                  <c:v>Apr</c:v>
                </c:pt>
                <c:pt idx="4">
                  <c:v>Mai</c:v>
                </c:pt>
                <c:pt idx="5">
                  <c:v>Iun</c:v>
                </c:pt>
                <c:pt idx="6">
                  <c:v>Iul</c:v>
                </c:pt>
                <c:pt idx="7">
                  <c:v>Aug</c:v>
                </c:pt>
                <c:pt idx="8">
                  <c:v>Sep</c:v>
                </c:pt>
                <c:pt idx="9">
                  <c:v>Oct</c:v>
                </c:pt>
                <c:pt idx="10">
                  <c:v>Nov</c:v>
                </c:pt>
                <c:pt idx="11">
                  <c:v>Dec</c:v>
                </c:pt>
              </c:strCache>
            </c:strRef>
          </c:cat>
          <c:val>
            <c:numRef>
              <c:f>'apa bruta'!$B$6:$M$6</c:f>
              <c:numCache>
                <c:formatCode>General</c:formatCode>
                <c:ptCount val="12"/>
                <c:pt idx="0">
                  <c:v>0.48799999999999999</c:v>
                </c:pt>
                <c:pt idx="1">
                  <c:v>0.36399999999999999</c:v>
                </c:pt>
                <c:pt idx="2">
                  <c:v>0.52400000000000002</c:v>
                </c:pt>
                <c:pt idx="3">
                  <c:v>0.48399999999999999</c:v>
                </c:pt>
                <c:pt idx="4">
                  <c:v>0.49399999999999999</c:v>
                </c:pt>
                <c:pt idx="5">
                  <c:v>0.34300000000000003</c:v>
                </c:pt>
                <c:pt idx="6">
                  <c:v>0.23699999999999999</c:v>
                </c:pt>
                <c:pt idx="7">
                  <c:v>0.39600000000000002</c:v>
                </c:pt>
                <c:pt idx="8">
                  <c:v>0.255</c:v>
                </c:pt>
                <c:pt idx="9">
                  <c:v>0.47199999999999998</c:v>
                </c:pt>
                <c:pt idx="10">
                  <c:v>0.40500000000000003</c:v>
                </c:pt>
                <c:pt idx="11">
                  <c:v>0.42799999999999999</c:v>
                </c:pt>
              </c:numCache>
            </c:numRef>
          </c:val>
        </c:ser>
        <c:dLbls>
          <c:showLegendKey val="0"/>
          <c:showVal val="0"/>
          <c:showCatName val="0"/>
          <c:showSerName val="0"/>
          <c:showPercent val="0"/>
          <c:showBubbleSize val="0"/>
        </c:dLbls>
        <c:gapWidth val="340"/>
        <c:gapDepth val="130"/>
        <c:shape val="box"/>
        <c:axId val="103097472"/>
        <c:axId val="103099008"/>
        <c:axId val="102871936"/>
      </c:bar3DChart>
      <c:catAx>
        <c:axId val="103097472"/>
        <c:scaling>
          <c:orientation val="minMax"/>
        </c:scaling>
        <c:delete val="0"/>
        <c:axPos val="b"/>
        <c:numFmt formatCode="General" sourceLinked="1"/>
        <c:majorTickMark val="out"/>
        <c:minorTickMark val="none"/>
        <c:tickLblPos val="low"/>
        <c:spPr>
          <a:ln w="2374">
            <a:solidFill>
              <a:srgbClr val="000000"/>
            </a:solidFill>
            <a:prstDash val="solid"/>
          </a:ln>
        </c:spPr>
        <c:txPr>
          <a:bodyPr rot="0" vert="horz"/>
          <a:lstStyle/>
          <a:p>
            <a:pPr rtl="0">
              <a:defRPr sz="617" b="0" i="0" u="none" strike="noStrike" baseline="0">
                <a:solidFill>
                  <a:srgbClr val="000000"/>
                </a:solidFill>
                <a:latin typeface="Arial"/>
                <a:ea typeface="Arial"/>
                <a:cs typeface="Arial"/>
              </a:defRPr>
            </a:pPr>
            <a:endParaRPr lang="en-US"/>
          </a:p>
        </c:txPr>
        <c:crossAx val="103099008"/>
        <c:crosses val="autoZero"/>
        <c:auto val="1"/>
        <c:lblAlgn val="ctr"/>
        <c:lblOffset val="100"/>
        <c:tickLblSkip val="1"/>
        <c:tickMarkSkip val="1"/>
        <c:noMultiLvlLbl val="0"/>
      </c:catAx>
      <c:valAx>
        <c:axId val="103099008"/>
        <c:scaling>
          <c:orientation val="minMax"/>
        </c:scaling>
        <c:delete val="0"/>
        <c:axPos val="l"/>
        <c:majorGridlines>
          <c:spPr>
            <a:ln w="2374">
              <a:solidFill>
                <a:srgbClr val="000000"/>
              </a:solidFill>
              <a:prstDash val="solid"/>
            </a:ln>
          </c:spPr>
        </c:majorGridlines>
        <c:title>
          <c:tx>
            <c:rich>
              <a:bodyPr/>
              <a:lstStyle/>
              <a:p>
                <a:pPr>
                  <a:defRPr sz="822" b="1" i="0" u="none" strike="noStrike" baseline="0">
                    <a:solidFill>
                      <a:srgbClr val="000000"/>
                    </a:solidFill>
                    <a:latin typeface="+mn-lt"/>
                    <a:ea typeface="Arial"/>
                    <a:cs typeface="Arial"/>
                  </a:defRPr>
                </a:pPr>
                <a:r>
                  <a:rPr lang="en-US" sz="822">
                    <a:latin typeface="+mn-lt"/>
                  </a:rPr>
                  <a:t>Bq/l</a:t>
                </a:r>
              </a:p>
            </c:rich>
          </c:tx>
          <c:layout>
            <c:manualLayout>
              <c:xMode val="edge"/>
              <c:yMode val="edge"/>
              <c:x val="1.4771189878867665E-2"/>
              <c:y val="0.46212103005196642"/>
            </c:manualLayout>
          </c:layout>
          <c:overlay val="0"/>
          <c:spPr>
            <a:noFill/>
            <a:ln w="18992">
              <a:noFill/>
            </a:ln>
          </c:spPr>
        </c:title>
        <c:numFmt formatCode="#,##0.0" sourceLinked="0"/>
        <c:majorTickMark val="out"/>
        <c:minorTickMark val="none"/>
        <c:tickLblPos val="nextTo"/>
        <c:spPr>
          <a:ln w="2374">
            <a:solidFill>
              <a:srgbClr val="000000"/>
            </a:solidFill>
            <a:prstDash val="solid"/>
          </a:ln>
        </c:spPr>
        <c:txPr>
          <a:bodyPr rot="0" vert="horz"/>
          <a:lstStyle/>
          <a:p>
            <a:pPr>
              <a:defRPr sz="673" b="0" i="0" u="none" strike="noStrike" baseline="0">
                <a:solidFill>
                  <a:srgbClr val="000000"/>
                </a:solidFill>
                <a:latin typeface="Arial"/>
                <a:ea typeface="Arial"/>
                <a:cs typeface="Arial"/>
              </a:defRPr>
            </a:pPr>
            <a:endParaRPr lang="en-US"/>
          </a:p>
        </c:txPr>
        <c:crossAx val="103097472"/>
        <c:crosses val="autoZero"/>
        <c:crossBetween val="between"/>
        <c:majorUnit val="0.2"/>
      </c:valAx>
      <c:serAx>
        <c:axId val="102871936"/>
        <c:scaling>
          <c:orientation val="minMax"/>
        </c:scaling>
        <c:delete val="1"/>
        <c:axPos val="b"/>
        <c:majorTickMark val="out"/>
        <c:minorTickMark val="none"/>
        <c:tickLblPos val="nextTo"/>
        <c:crossAx val="103099008"/>
        <c:crosses val="autoZero"/>
      </c:serAx>
      <c:spPr>
        <a:noFill/>
        <a:ln w="18992">
          <a:noFill/>
        </a:ln>
      </c:spPr>
    </c:plotArea>
    <c:legend>
      <c:legendPos val="b"/>
      <c:layout>
        <c:manualLayout>
          <c:xMode val="edge"/>
          <c:yMode val="edge"/>
          <c:x val="4.4921135646687697E-2"/>
          <c:y val="0.88826993011415745"/>
          <c:w val="0.95507886435331235"/>
          <c:h val="7.8533556799376014E-2"/>
        </c:manualLayout>
      </c:layout>
      <c:overlay val="0"/>
      <c:spPr>
        <a:solidFill>
          <a:srgbClr val="FFFFFF"/>
        </a:solidFill>
        <a:ln w="18992">
          <a:noFill/>
        </a:ln>
      </c:spPr>
      <c:txPr>
        <a:bodyPr/>
        <a:lstStyle/>
        <a:p>
          <a:pPr>
            <a:defRPr sz="673" b="0" i="0" u="none" strike="noStrike" baseline="0">
              <a:solidFill>
                <a:srgbClr val="000000"/>
              </a:solidFill>
              <a:latin typeface="+mn-lt"/>
              <a:ea typeface="Arial"/>
              <a:cs typeface="Arial"/>
            </a:defRPr>
          </a:pPr>
          <a:endParaRPr lang="en-US"/>
        </a:p>
      </c:txPr>
    </c:legend>
    <c:plotVisOnly val="1"/>
    <c:dispBlanksAs val="gap"/>
    <c:showDLblsOverMax val="0"/>
  </c:chart>
  <c:spPr>
    <a:solidFill>
      <a:srgbClr val="FFFFFF"/>
    </a:solidFill>
    <a:ln w="2374">
      <a:solidFill>
        <a:srgbClr val="000000"/>
      </a:solidFill>
      <a:prstDash val="solid"/>
    </a:ln>
  </c:spPr>
  <c:txPr>
    <a:bodyPr/>
    <a:lstStyle/>
    <a:p>
      <a:pPr>
        <a:defRPr sz="598" b="0" i="0" u="none" strike="noStrike" baseline="0">
          <a:solidFill>
            <a:srgbClr val="000000"/>
          </a:solidFill>
          <a:latin typeface="Arial"/>
          <a:ea typeface="Arial"/>
          <a:cs typeface="Arial"/>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o-RO" sz="1200"/>
              <a:t>Figura </a:t>
            </a:r>
            <a:r>
              <a:rPr lang="ro-RO" sz="1200" b="1" i="0" u="none" strike="noStrike" kern="1200" baseline="0">
                <a:solidFill>
                  <a:sysClr val="windowText" lastClr="000000"/>
                </a:solidFill>
                <a:latin typeface="+mn-lt"/>
                <a:ea typeface="+mn-ea"/>
                <a:cs typeface="+mn-cs"/>
              </a:rPr>
              <a:t>IX</a:t>
            </a:r>
            <a:r>
              <a:rPr lang="ro-RO" sz="1200"/>
              <a:t>.18. Activitatea beta globală  la măsurarea imediată a apelor de suprafață din Lac Tăbăcărie și Dunăre la Cernavodă (Gara fluvială)</a:t>
            </a:r>
          </a:p>
        </c:rich>
      </c:tx>
      <c:overlay val="0"/>
    </c:title>
    <c:autoTitleDeleted val="0"/>
    <c:plotArea>
      <c:layout>
        <c:manualLayout>
          <c:layoutTarget val="inner"/>
          <c:xMode val="edge"/>
          <c:yMode val="edge"/>
          <c:x val="0.12483989501312336"/>
          <c:y val="0.25561986569860584"/>
          <c:w val="0.86844411115277254"/>
          <c:h val="0.45618479508243287"/>
        </c:manualLayout>
      </c:layout>
      <c:lineChart>
        <c:grouping val="standard"/>
        <c:varyColors val="0"/>
        <c:ser>
          <c:idx val="0"/>
          <c:order val="0"/>
          <c:tx>
            <c:strRef>
              <c:f>Foaie1!$B$1</c:f>
              <c:strCache>
                <c:ptCount val="1"/>
                <c:pt idx="0">
                  <c:v>SSRM Constanţa -medie</c:v>
                </c:pt>
              </c:strCache>
            </c:strRef>
          </c:tx>
          <c:cat>
            <c:numRef>
              <c:f>Foaie1!$A$2:$A$7</c:f>
              <c:numCache>
                <c:formatCode>General</c:formatCode>
                <c:ptCount val="6"/>
                <c:pt idx="0">
                  <c:v>2010</c:v>
                </c:pt>
                <c:pt idx="1">
                  <c:v>2011</c:v>
                </c:pt>
                <c:pt idx="2">
                  <c:v>2012</c:v>
                </c:pt>
                <c:pt idx="3">
                  <c:v>2013</c:v>
                </c:pt>
                <c:pt idx="4">
                  <c:v>2014</c:v>
                </c:pt>
                <c:pt idx="5">
                  <c:v>2015</c:v>
                </c:pt>
              </c:numCache>
            </c:numRef>
          </c:cat>
          <c:val>
            <c:numRef>
              <c:f>Foaie1!$B$2:$B$7</c:f>
              <c:numCache>
                <c:formatCode>General</c:formatCode>
                <c:ptCount val="6"/>
                <c:pt idx="0">
                  <c:v>0.25</c:v>
                </c:pt>
                <c:pt idx="1">
                  <c:v>0.26</c:v>
                </c:pt>
                <c:pt idx="2">
                  <c:v>0.26100000000000001</c:v>
                </c:pt>
                <c:pt idx="3">
                  <c:v>0.248</c:v>
                </c:pt>
                <c:pt idx="4">
                  <c:v>0.26</c:v>
                </c:pt>
                <c:pt idx="5">
                  <c:v>0.26</c:v>
                </c:pt>
              </c:numCache>
            </c:numRef>
          </c:val>
          <c:smooth val="0"/>
        </c:ser>
        <c:ser>
          <c:idx val="1"/>
          <c:order val="1"/>
          <c:tx>
            <c:strRef>
              <c:f>Foaie1!$C$1</c:f>
              <c:strCache>
                <c:ptCount val="1"/>
                <c:pt idx="0">
                  <c:v>SSRM Constanţa -maximă</c:v>
                </c:pt>
              </c:strCache>
            </c:strRef>
          </c:tx>
          <c:cat>
            <c:numRef>
              <c:f>Foaie1!$A$2:$A$7</c:f>
              <c:numCache>
                <c:formatCode>General</c:formatCode>
                <c:ptCount val="6"/>
                <c:pt idx="0">
                  <c:v>2010</c:v>
                </c:pt>
                <c:pt idx="1">
                  <c:v>2011</c:v>
                </c:pt>
                <c:pt idx="2">
                  <c:v>2012</c:v>
                </c:pt>
                <c:pt idx="3">
                  <c:v>2013</c:v>
                </c:pt>
                <c:pt idx="4">
                  <c:v>2014</c:v>
                </c:pt>
                <c:pt idx="5">
                  <c:v>2015</c:v>
                </c:pt>
              </c:numCache>
            </c:numRef>
          </c:cat>
          <c:val>
            <c:numRef>
              <c:f>Foaie1!$C$2:$C$7</c:f>
              <c:numCache>
                <c:formatCode>0.00</c:formatCode>
                <c:ptCount val="6"/>
                <c:pt idx="0">
                  <c:v>0.38</c:v>
                </c:pt>
                <c:pt idx="1">
                  <c:v>0.56000000000000005</c:v>
                </c:pt>
                <c:pt idx="2">
                  <c:v>0.50800000000000001</c:v>
                </c:pt>
                <c:pt idx="3">
                  <c:v>0.38500000000000001</c:v>
                </c:pt>
                <c:pt idx="4">
                  <c:v>0.38100000000000001</c:v>
                </c:pt>
                <c:pt idx="5">
                  <c:v>0.41099999999999998</c:v>
                </c:pt>
              </c:numCache>
            </c:numRef>
          </c:val>
          <c:smooth val="0"/>
        </c:ser>
        <c:ser>
          <c:idx val="2"/>
          <c:order val="2"/>
          <c:tx>
            <c:strRef>
              <c:f>Foaie1!$D$1</c:f>
              <c:strCache>
                <c:ptCount val="1"/>
                <c:pt idx="0">
                  <c:v>SSRM Cernavoda-medie</c:v>
                </c:pt>
              </c:strCache>
            </c:strRef>
          </c:tx>
          <c:cat>
            <c:numRef>
              <c:f>Foaie1!$A$2:$A$7</c:f>
              <c:numCache>
                <c:formatCode>General</c:formatCode>
                <c:ptCount val="6"/>
                <c:pt idx="0">
                  <c:v>2010</c:v>
                </c:pt>
                <c:pt idx="1">
                  <c:v>2011</c:v>
                </c:pt>
                <c:pt idx="2">
                  <c:v>2012</c:v>
                </c:pt>
                <c:pt idx="3">
                  <c:v>2013</c:v>
                </c:pt>
                <c:pt idx="4">
                  <c:v>2014</c:v>
                </c:pt>
                <c:pt idx="5">
                  <c:v>2015</c:v>
                </c:pt>
              </c:numCache>
            </c:numRef>
          </c:cat>
          <c:val>
            <c:numRef>
              <c:f>Foaie1!$D$2:$D$7</c:f>
              <c:numCache>
                <c:formatCode>General</c:formatCode>
                <c:ptCount val="6"/>
                <c:pt idx="0">
                  <c:v>0.17499999999999999</c:v>
                </c:pt>
                <c:pt idx="1">
                  <c:v>0.17399999999999999</c:v>
                </c:pt>
                <c:pt idx="2">
                  <c:v>0.20100000000000001</c:v>
                </c:pt>
                <c:pt idx="3">
                  <c:v>0.217</c:v>
                </c:pt>
                <c:pt idx="4">
                  <c:v>0.19500000000000001</c:v>
                </c:pt>
                <c:pt idx="5">
                  <c:v>0.21</c:v>
                </c:pt>
              </c:numCache>
            </c:numRef>
          </c:val>
          <c:smooth val="0"/>
        </c:ser>
        <c:ser>
          <c:idx val="3"/>
          <c:order val="3"/>
          <c:tx>
            <c:strRef>
              <c:f>Foaie1!$E$1</c:f>
              <c:strCache>
                <c:ptCount val="1"/>
                <c:pt idx="0">
                  <c:v>SSRM Cernavoda-maximă</c:v>
                </c:pt>
              </c:strCache>
            </c:strRef>
          </c:tx>
          <c:cat>
            <c:numRef>
              <c:f>Foaie1!$A$2:$A$7</c:f>
              <c:numCache>
                <c:formatCode>General</c:formatCode>
                <c:ptCount val="6"/>
                <c:pt idx="0">
                  <c:v>2010</c:v>
                </c:pt>
                <c:pt idx="1">
                  <c:v>2011</c:v>
                </c:pt>
                <c:pt idx="2">
                  <c:v>2012</c:v>
                </c:pt>
                <c:pt idx="3">
                  <c:v>2013</c:v>
                </c:pt>
                <c:pt idx="4">
                  <c:v>2014</c:v>
                </c:pt>
                <c:pt idx="5">
                  <c:v>2015</c:v>
                </c:pt>
              </c:numCache>
            </c:numRef>
          </c:cat>
          <c:val>
            <c:numRef>
              <c:f>Foaie1!$E$2:$E$7</c:f>
              <c:numCache>
                <c:formatCode>General</c:formatCode>
                <c:ptCount val="6"/>
                <c:pt idx="0">
                  <c:v>0.39400000000000002</c:v>
                </c:pt>
                <c:pt idx="1">
                  <c:v>0.32</c:v>
                </c:pt>
                <c:pt idx="2">
                  <c:v>0.49099999999999999</c:v>
                </c:pt>
                <c:pt idx="3">
                  <c:v>0.56799999999999995</c:v>
                </c:pt>
                <c:pt idx="4">
                  <c:v>0.44</c:v>
                </c:pt>
                <c:pt idx="5">
                  <c:v>0.52400000000000002</c:v>
                </c:pt>
              </c:numCache>
            </c:numRef>
          </c:val>
          <c:smooth val="0"/>
        </c:ser>
        <c:dLbls>
          <c:showLegendKey val="0"/>
          <c:showVal val="0"/>
          <c:showCatName val="0"/>
          <c:showSerName val="0"/>
          <c:showPercent val="0"/>
          <c:showBubbleSize val="0"/>
        </c:dLbls>
        <c:marker val="1"/>
        <c:smooth val="0"/>
        <c:axId val="103189120"/>
        <c:axId val="103195008"/>
      </c:lineChart>
      <c:catAx>
        <c:axId val="103189120"/>
        <c:scaling>
          <c:orientation val="minMax"/>
        </c:scaling>
        <c:delete val="0"/>
        <c:axPos val="b"/>
        <c:numFmt formatCode="General" sourceLinked="1"/>
        <c:majorTickMark val="none"/>
        <c:minorTickMark val="none"/>
        <c:tickLblPos val="nextTo"/>
        <c:txPr>
          <a:bodyPr rot="120000" vert="horz"/>
          <a:lstStyle/>
          <a:p>
            <a:pPr>
              <a:defRPr/>
            </a:pPr>
            <a:endParaRPr lang="en-US"/>
          </a:p>
        </c:txPr>
        <c:crossAx val="103195008"/>
        <c:crossesAt val="0"/>
        <c:auto val="1"/>
        <c:lblAlgn val="ctr"/>
        <c:lblOffset val="100"/>
        <c:noMultiLvlLbl val="0"/>
      </c:catAx>
      <c:valAx>
        <c:axId val="103195008"/>
        <c:scaling>
          <c:orientation val="minMax"/>
          <c:min val="0"/>
        </c:scaling>
        <c:delete val="0"/>
        <c:axPos val="l"/>
        <c:majorGridlines/>
        <c:title>
          <c:tx>
            <c:rich>
              <a:bodyPr rot="-5400000" vert="horz"/>
              <a:lstStyle/>
              <a:p>
                <a:pPr>
                  <a:defRPr sz="1100"/>
                </a:pPr>
                <a:r>
                  <a:rPr lang="ro-RO" sz="1100"/>
                  <a:t>Bq/l</a:t>
                </a:r>
              </a:p>
              <a:p>
                <a:pPr>
                  <a:defRPr sz="1100"/>
                </a:pPr>
                <a:endParaRPr lang="vi-VN" sz="1100"/>
              </a:p>
            </c:rich>
          </c:tx>
          <c:overlay val="0"/>
        </c:title>
        <c:numFmt formatCode="#,##0.0" sourceLinked="0"/>
        <c:majorTickMark val="none"/>
        <c:minorTickMark val="none"/>
        <c:tickLblPos val="nextTo"/>
        <c:spPr>
          <a:ln cmpd="dbl"/>
        </c:spPr>
        <c:txPr>
          <a:bodyPr rot="0" vert="horz"/>
          <a:lstStyle/>
          <a:p>
            <a:pPr>
              <a:defRPr/>
            </a:pPr>
            <a:endParaRPr lang="en-US"/>
          </a:p>
        </c:txPr>
        <c:crossAx val="103189120"/>
        <c:crosses val="autoZero"/>
        <c:crossBetween val="between"/>
      </c:valAx>
    </c:plotArea>
    <c:legend>
      <c:legendPos val="b"/>
      <c:legendEntry>
        <c:idx val="0"/>
        <c:txPr>
          <a:bodyPr/>
          <a:lstStyle/>
          <a:p>
            <a:pPr>
              <a:defRPr>
                <a:latin typeface="Calibri" panose="020F0502020204030204" pitchFamily="34" charset="0"/>
              </a:defRPr>
            </a:pPr>
            <a:endParaRPr lang="en-US"/>
          </a:p>
        </c:txPr>
      </c:legendEntry>
      <c:legendEntry>
        <c:idx val="1"/>
        <c:txPr>
          <a:bodyPr/>
          <a:lstStyle/>
          <a:p>
            <a:pPr>
              <a:defRPr>
                <a:latin typeface="Calibri" panose="020F0502020204030204" pitchFamily="34" charset="0"/>
              </a:defRPr>
            </a:pPr>
            <a:endParaRPr lang="en-US"/>
          </a:p>
        </c:txPr>
      </c:legendEntry>
      <c:legendEntry>
        <c:idx val="2"/>
        <c:txPr>
          <a:bodyPr/>
          <a:lstStyle/>
          <a:p>
            <a:pPr>
              <a:defRPr>
                <a:latin typeface="Calibri" panose="020F0502020204030204" pitchFamily="34" charset="0"/>
              </a:defRPr>
            </a:pPr>
            <a:endParaRPr lang="en-US"/>
          </a:p>
        </c:txPr>
      </c:legendEntry>
      <c:legendEntry>
        <c:idx val="3"/>
        <c:txPr>
          <a:bodyPr/>
          <a:lstStyle/>
          <a:p>
            <a:pPr>
              <a:defRPr>
                <a:latin typeface="Calibri" panose="020F0502020204030204" pitchFamily="34" charset="0"/>
              </a:defRPr>
            </a:pPr>
            <a:endParaRPr lang="en-US"/>
          </a:p>
        </c:txPr>
      </c:legendEntry>
      <c:layout>
        <c:manualLayout>
          <c:xMode val="edge"/>
          <c:yMode val="edge"/>
          <c:x val="1.5343915343915344E-2"/>
          <c:y val="0.84185047623764009"/>
          <c:w val="0.92660317460317465"/>
          <c:h val="0.13044442172001228"/>
        </c:manualLayout>
      </c:layout>
      <c:overlay val="0"/>
      <c:txPr>
        <a:bodyPr/>
        <a:lstStyle/>
        <a:p>
          <a:pPr>
            <a:defRPr>
              <a:latin typeface="Calibri" panose="020F0502020204030204" pitchFamily="34" charset="0"/>
            </a:defRPr>
          </a:pPr>
          <a:endParaRPr lang="en-US"/>
        </a:p>
      </c:txPr>
    </c:legend>
    <c:plotVisOnly val="1"/>
    <c:dispBlanksAs val="gap"/>
    <c:showDLblsOverMax val="0"/>
  </c:chart>
  <c:txPr>
    <a:bodyPr/>
    <a:lstStyle/>
    <a:p>
      <a:pPr>
        <a:defRPr sz="900"/>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Calibri" panose="020F0502020204030204" pitchFamily="34" charset="0"/>
                <a:ea typeface="Arial"/>
                <a:cs typeface="Arial"/>
              </a:defRPr>
            </a:pPr>
            <a:r>
              <a:rPr lang="vi-VN">
                <a:latin typeface="Calibri" panose="020F0502020204030204" pitchFamily="34" charset="0"/>
              </a:rPr>
              <a:t>Figura </a:t>
            </a:r>
            <a:r>
              <a:rPr lang="ro-RO" sz="1200" b="1" i="0" u="none" strike="noStrike" kern="1200" baseline="0">
                <a:solidFill>
                  <a:srgbClr val="000000"/>
                </a:solidFill>
                <a:latin typeface="Calibri" panose="020F0502020204030204" pitchFamily="34" charset="0"/>
                <a:cs typeface="Arial"/>
              </a:rPr>
              <a:t>IX</a:t>
            </a:r>
            <a:r>
              <a:rPr lang="ro-RO">
                <a:latin typeface="Calibri" panose="020F0502020204030204" pitchFamily="34" charset="0"/>
              </a:rPr>
              <a:t>.21</a:t>
            </a:r>
            <a:r>
              <a:rPr lang="vi-VN">
                <a:latin typeface="Calibri" panose="020F0502020204030204" pitchFamily="34" charset="0"/>
              </a:rPr>
              <a:t>.</a:t>
            </a:r>
            <a:r>
              <a:rPr lang="ro-RO">
                <a:latin typeface="Calibri" panose="020F0502020204030204" pitchFamily="34" charset="0"/>
              </a:rPr>
              <a:t> </a:t>
            </a:r>
            <a:r>
              <a:rPr lang="vi-VN">
                <a:latin typeface="Calibri" panose="020F0502020204030204" pitchFamily="34" charset="0"/>
              </a:rPr>
              <a:t>Concentraţii de K-40 în Canalele de deversare ale CNE Cernavodă - probe cumulate lunar </a:t>
            </a:r>
            <a:r>
              <a:rPr lang="ro-RO">
                <a:latin typeface="Calibri" panose="020F0502020204030204" pitchFamily="34" charset="0"/>
              </a:rPr>
              <a:t> în </a:t>
            </a:r>
            <a:r>
              <a:rPr lang="en-US" sz="1200" b="1" i="0" u="none" strike="noStrike" kern="1200" baseline="0">
                <a:solidFill>
                  <a:srgbClr val="000000"/>
                </a:solidFill>
                <a:latin typeface="Calibri" panose="020F0502020204030204" pitchFamily="34" charset="0"/>
                <a:cs typeface="Arial"/>
              </a:rPr>
              <a:t>201</a:t>
            </a:r>
            <a:r>
              <a:rPr lang="ro-RO" sz="1200" b="1" i="0" u="none" strike="noStrike" kern="1200" baseline="0">
                <a:solidFill>
                  <a:srgbClr val="000000"/>
                </a:solidFill>
                <a:latin typeface="Calibri" panose="020F0502020204030204" pitchFamily="34" charset="0"/>
                <a:cs typeface="Arial"/>
              </a:rPr>
              <a:t>5</a:t>
            </a:r>
            <a:endParaRPr lang="vi-VN">
              <a:latin typeface="Calibri" panose="020F0502020204030204" pitchFamily="34" charset="0"/>
            </a:endParaRPr>
          </a:p>
        </c:rich>
      </c:tx>
      <c:layout>
        <c:manualLayout>
          <c:xMode val="edge"/>
          <c:yMode val="edge"/>
          <c:x val="0.10673234811165845"/>
          <c:y val="1.8518518518518517E-2"/>
        </c:manualLayout>
      </c:layout>
      <c:overlay val="0"/>
      <c:spPr>
        <a:noFill/>
        <a:ln w="25400">
          <a:noFill/>
        </a:ln>
      </c:spPr>
    </c:title>
    <c:autoTitleDeleted val="0"/>
    <c:plotArea>
      <c:layout>
        <c:manualLayout>
          <c:layoutTarget val="inner"/>
          <c:xMode val="edge"/>
          <c:yMode val="edge"/>
          <c:x val="0.12354004214739717"/>
          <c:y val="0.23333333333333334"/>
          <c:w val="0.84526138594549671"/>
          <c:h val="0.52669220945083017"/>
        </c:manualLayout>
      </c:layout>
      <c:barChart>
        <c:barDir val="col"/>
        <c:grouping val="clustered"/>
        <c:varyColors val="0"/>
        <c:ser>
          <c:idx val="0"/>
          <c:order val="0"/>
          <c:tx>
            <c:strRef>
              <c:f>Sheet1!$A$2</c:f>
              <c:strCache>
                <c:ptCount val="1"/>
                <c:pt idx="0">
                  <c:v>Canal Seimeni</c:v>
                </c:pt>
              </c:strCache>
            </c:strRef>
          </c:tx>
          <c:spPr>
            <a:solidFill>
              <a:srgbClr val="FF0000"/>
            </a:solidFill>
            <a:ln w="12700">
              <a:solidFill>
                <a:srgbClr val="000000"/>
              </a:solidFill>
              <a:prstDash val="solid"/>
            </a:ln>
          </c:spPr>
          <c:invertIfNegative val="0"/>
          <c:cat>
            <c:strRef>
              <c:f>Sheet1!$B$1:$M$1</c:f>
              <c:strCache>
                <c:ptCount val="12"/>
                <c:pt idx="0">
                  <c:v>ian</c:v>
                </c:pt>
                <c:pt idx="1">
                  <c:v>feb</c:v>
                </c:pt>
                <c:pt idx="2">
                  <c:v>mar</c:v>
                </c:pt>
                <c:pt idx="3">
                  <c:v>apr</c:v>
                </c:pt>
                <c:pt idx="4">
                  <c:v>mai</c:v>
                </c:pt>
                <c:pt idx="5">
                  <c:v>iun</c:v>
                </c:pt>
                <c:pt idx="6">
                  <c:v>iul</c:v>
                </c:pt>
                <c:pt idx="7">
                  <c:v>aug</c:v>
                </c:pt>
                <c:pt idx="8">
                  <c:v>sep</c:v>
                </c:pt>
                <c:pt idx="9">
                  <c:v>oct</c:v>
                </c:pt>
                <c:pt idx="10">
                  <c:v>nov</c:v>
                </c:pt>
                <c:pt idx="11">
                  <c:v>dec</c:v>
                </c:pt>
              </c:strCache>
            </c:strRef>
          </c:cat>
          <c:val>
            <c:numRef>
              <c:f>Sheet1!$B$2:$M$2</c:f>
              <c:numCache>
                <c:formatCode>General</c:formatCode>
                <c:ptCount val="12"/>
                <c:pt idx="0">
                  <c:v>7.4081999999999995E-2</c:v>
                </c:pt>
                <c:pt idx="1">
                  <c:v>6.6303000000000001E-2</c:v>
                </c:pt>
                <c:pt idx="2">
                  <c:v>8.3053000000000002E-2</c:v>
                </c:pt>
                <c:pt idx="3">
                  <c:v>7.5539999999999996E-2</c:v>
                </c:pt>
                <c:pt idx="4">
                  <c:v>6.1462000000000003E-2</c:v>
                </c:pt>
                <c:pt idx="5">
                  <c:v>3.9865999999999999E-2</c:v>
                </c:pt>
                <c:pt idx="6">
                  <c:v>6.3668000000000002E-2</c:v>
                </c:pt>
                <c:pt idx="7">
                  <c:v>6.2993999999999994E-2</c:v>
                </c:pt>
                <c:pt idx="8">
                  <c:v>7.0532999999999998E-2</c:v>
                </c:pt>
                <c:pt idx="9">
                  <c:v>6.1898000000000002E-2</c:v>
                </c:pt>
                <c:pt idx="10">
                  <c:v>5.8590000000000003E-2</c:v>
                </c:pt>
                <c:pt idx="11">
                  <c:v>7.4659000000000003E-2</c:v>
                </c:pt>
              </c:numCache>
            </c:numRef>
          </c:val>
        </c:ser>
        <c:ser>
          <c:idx val="1"/>
          <c:order val="1"/>
          <c:tx>
            <c:strRef>
              <c:f>Sheet1!$A$3</c:f>
              <c:strCache>
                <c:ptCount val="1"/>
                <c:pt idx="0">
                  <c:v>Canal Ecluză</c:v>
                </c:pt>
              </c:strCache>
            </c:strRef>
          </c:tx>
          <c:spPr>
            <a:solidFill>
              <a:srgbClr val="00B050"/>
            </a:solidFill>
            <a:ln w="12700">
              <a:solidFill>
                <a:srgbClr val="000000"/>
              </a:solidFill>
              <a:prstDash val="solid"/>
            </a:ln>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dPt>
          <c:dPt>
            <c:idx val="8"/>
            <c:invertIfNegative val="0"/>
            <c:bubble3D val="0"/>
          </c:dPt>
          <c:dPt>
            <c:idx val="9"/>
            <c:invertIfNegative val="0"/>
            <c:bubble3D val="0"/>
          </c:dPt>
          <c:dPt>
            <c:idx val="10"/>
            <c:invertIfNegative val="0"/>
            <c:bubble3D val="0"/>
          </c:dPt>
          <c:dPt>
            <c:idx val="11"/>
            <c:invertIfNegative val="0"/>
            <c:bubble3D val="0"/>
          </c:dPt>
          <c:cat>
            <c:strRef>
              <c:f>Sheet1!$B$1:$M$1</c:f>
              <c:strCache>
                <c:ptCount val="12"/>
                <c:pt idx="0">
                  <c:v>ian</c:v>
                </c:pt>
                <c:pt idx="1">
                  <c:v>feb</c:v>
                </c:pt>
                <c:pt idx="2">
                  <c:v>mar</c:v>
                </c:pt>
                <c:pt idx="3">
                  <c:v>apr</c:v>
                </c:pt>
                <c:pt idx="4">
                  <c:v>mai</c:v>
                </c:pt>
                <c:pt idx="5">
                  <c:v>iun</c:v>
                </c:pt>
                <c:pt idx="6">
                  <c:v>iul</c:v>
                </c:pt>
                <c:pt idx="7">
                  <c:v>aug</c:v>
                </c:pt>
                <c:pt idx="8">
                  <c:v>sep</c:v>
                </c:pt>
                <c:pt idx="9">
                  <c:v>oct</c:v>
                </c:pt>
                <c:pt idx="10">
                  <c:v>nov</c:v>
                </c:pt>
                <c:pt idx="11">
                  <c:v>dec</c:v>
                </c:pt>
              </c:strCache>
            </c:strRef>
          </c:cat>
          <c:val>
            <c:numRef>
              <c:f>Sheet1!$B$3:$M$3</c:f>
              <c:numCache>
                <c:formatCode>General</c:formatCode>
                <c:ptCount val="12"/>
                <c:pt idx="0">
                  <c:v>6.6387000000000002E-2</c:v>
                </c:pt>
                <c:pt idx="1">
                  <c:v>8.9592000000000005E-2</c:v>
                </c:pt>
                <c:pt idx="2">
                  <c:v>6.8125000000000005E-2</c:v>
                </c:pt>
                <c:pt idx="3">
                  <c:v>7.2708999999999996E-2</c:v>
                </c:pt>
                <c:pt idx="4">
                  <c:v>6.8522E-2</c:v>
                </c:pt>
                <c:pt idx="5">
                  <c:v>4.9782E-2</c:v>
                </c:pt>
                <c:pt idx="6">
                  <c:v>6.7221000000000003E-2</c:v>
                </c:pt>
                <c:pt idx="7">
                  <c:v>8.2365999999999995E-2</c:v>
                </c:pt>
                <c:pt idx="8">
                  <c:v>6.7569000000000004E-2</c:v>
                </c:pt>
                <c:pt idx="9">
                  <c:v>7.0463999999999999E-2</c:v>
                </c:pt>
                <c:pt idx="10">
                  <c:v>5.5787999999999997E-2</c:v>
                </c:pt>
                <c:pt idx="11">
                  <c:v>6.9471000000000005E-2</c:v>
                </c:pt>
              </c:numCache>
            </c:numRef>
          </c:val>
        </c:ser>
        <c:dLbls>
          <c:showLegendKey val="0"/>
          <c:showVal val="0"/>
          <c:showCatName val="0"/>
          <c:showSerName val="0"/>
          <c:showPercent val="0"/>
          <c:showBubbleSize val="0"/>
        </c:dLbls>
        <c:gapWidth val="150"/>
        <c:axId val="107723776"/>
        <c:axId val="107725568"/>
      </c:barChart>
      <c:catAx>
        <c:axId val="10772377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50" b="0" i="0" u="none" strike="noStrike" baseline="0">
                <a:solidFill>
                  <a:srgbClr val="000000"/>
                </a:solidFill>
                <a:latin typeface="Arial"/>
                <a:ea typeface="Arial"/>
                <a:cs typeface="Arial"/>
              </a:defRPr>
            </a:pPr>
            <a:endParaRPr lang="en-US"/>
          </a:p>
        </c:txPr>
        <c:crossAx val="107725568"/>
        <c:crosses val="autoZero"/>
        <c:auto val="1"/>
        <c:lblAlgn val="ctr"/>
        <c:lblOffset val="100"/>
        <c:tickLblSkip val="1"/>
        <c:tickMarkSkip val="1"/>
        <c:noMultiLvlLbl val="0"/>
      </c:catAx>
      <c:valAx>
        <c:axId val="107725568"/>
        <c:scaling>
          <c:orientation val="minMax"/>
        </c:scaling>
        <c:delete val="0"/>
        <c:axPos val="l"/>
        <c:majorGridlines>
          <c:spPr>
            <a:ln w="3175">
              <a:solidFill>
                <a:srgbClr val="000000"/>
              </a:solidFill>
              <a:prstDash val="solid"/>
            </a:ln>
          </c:spPr>
        </c:majorGridlines>
        <c:title>
          <c:tx>
            <c:rich>
              <a:bodyPr/>
              <a:lstStyle/>
              <a:p>
                <a:pPr>
                  <a:defRPr sz="1100" b="1" i="0" u="none" strike="noStrike" baseline="0">
                    <a:solidFill>
                      <a:srgbClr val="000000"/>
                    </a:solidFill>
                    <a:latin typeface="Calibri" panose="020F0502020204030204" pitchFamily="34" charset="0"/>
                    <a:ea typeface="Arial"/>
                    <a:cs typeface="Arial"/>
                  </a:defRPr>
                </a:pPr>
                <a:r>
                  <a:rPr lang="en-US" sz="1100">
                    <a:latin typeface="Calibri" panose="020F0502020204030204" pitchFamily="34" charset="0"/>
                  </a:rPr>
                  <a:t>Bq/</a:t>
                </a:r>
                <a:r>
                  <a:rPr lang="ro-RO" sz="1100">
                    <a:latin typeface="Calibri" panose="020F0502020204030204" pitchFamily="34" charset="0"/>
                  </a:rPr>
                  <a:t>l</a:t>
                </a:r>
                <a:endParaRPr lang="en-US" sz="1100">
                  <a:latin typeface="Calibri" panose="020F0502020204030204" pitchFamily="34" charset="0"/>
                </a:endParaRPr>
              </a:p>
            </c:rich>
          </c:tx>
          <c:layout>
            <c:manualLayout>
              <c:xMode val="edge"/>
              <c:yMode val="edge"/>
              <c:x val="0"/>
              <c:y val="0.43703703703703706"/>
            </c:manualLayout>
          </c:layout>
          <c:overlay val="0"/>
          <c:spPr>
            <a:noFill/>
            <a:ln w="25400">
              <a:noFill/>
            </a:ln>
          </c:spPr>
        </c:title>
        <c:numFmt formatCode="#,##0.00" sourceLinked="0"/>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107723776"/>
        <c:crosses val="autoZero"/>
        <c:crossBetween val="between"/>
        <c:majorUnit val="2.0000000000000004E-2"/>
      </c:valAx>
      <c:spPr>
        <a:gradFill rotWithShape="0">
          <a:gsLst>
            <a:gs pos="0">
              <a:srgbClr xmlns:mc="http://schemas.openxmlformats.org/markup-compatibility/2006" xmlns:a14="http://schemas.microsoft.com/office/drawing/2010/main" val="FFFFFF" mc:Ignorable="a14" a14:legacySpreadsheetColorIndex="9"/>
            </a:gs>
            <a:gs pos="100000">
              <a:srgbClr xmlns:mc="http://schemas.openxmlformats.org/markup-compatibility/2006" xmlns:a14="http://schemas.microsoft.com/office/drawing/2010/main" val="010101" mc:Ignorable="a14" a14:legacySpreadsheetColorIndex="9">
                <a:gamma/>
                <a:shade val="66275"/>
                <a:invGamma/>
              </a:srgbClr>
            </a:gs>
          </a:gsLst>
          <a:path path="rect">
            <a:fillToRect r="100000" b="100000"/>
          </a:path>
        </a:gradFill>
        <a:ln w="12700">
          <a:solidFill>
            <a:srgbClr val="808080"/>
          </a:solidFill>
          <a:prstDash val="solid"/>
        </a:ln>
      </c:spPr>
    </c:plotArea>
    <c:legend>
      <c:legendPos val="r"/>
      <c:layout>
        <c:manualLayout>
          <c:xMode val="edge"/>
          <c:yMode val="edge"/>
          <c:x val="0.17354381590831031"/>
          <c:y val="0.88646212326907414"/>
          <c:w val="0.72906403940886699"/>
          <c:h val="7.7777777777777779E-2"/>
        </c:manualLayout>
      </c:layout>
      <c:overlay val="0"/>
      <c:spPr>
        <a:noFill/>
        <a:ln w="3175">
          <a:noFill/>
          <a:prstDash val="solid"/>
        </a:ln>
      </c:spPr>
      <c:txPr>
        <a:bodyPr/>
        <a:lstStyle/>
        <a:p>
          <a:pPr>
            <a:defRPr sz="1050" b="0" i="0" u="none" strike="noStrike" baseline="0">
              <a:solidFill>
                <a:srgbClr val="000000"/>
              </a:solidFill>
              <a:latin typeface="Calibri" panose="020F0502020204030204" pitchFamily="34" charset="0"/>
              <a:ea typeface="Arial"/>
              <a:cs typeface="Arial"/>
            </a:defRPr>
          </a:pPr>
          <a:endParaRPr lang="en-US"/>
        </a:p>
      </c:txPr>
    </c:legend>
    <c:plotVisOnly val="1"/>
    <c:dispBlanksAs val="gap"/>
    <c:showDLblsOverMax val="0"/>
  </c:chart>
  <c:spPr>
    <a:noFill/>
    <a:ln w="6350" cap="flat" cmpd="sng" algn="ctr">
      <a:solidFill>
        <a:srgbClr val="000000"/>
      </a:solidFill>
      <a:prstDash val="solid"/>
      <a:miter lim="800000"/>
      <a:headEnd type="none" w="med" len="med"/>
      <a:tailEnd type="none" w="med" len="med"/>
    </a:ln>
  </c:spPr>
  <c:txPr>
    <a:bodyPr/>
    <a:lstStyle/>
    <a:p>
      <a:pPr>
        <a:defRPr sz="1175" b="1"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98" b="1" i="0" u="none" strike="noStrike" baseline="0">
                <a:solidFill>
                  <a:srgbClr val="000000"/>
                </a:solidFill>
                <a:latin typeface="Calibri" panose="020F0502020204030204" pitchFamily="34" charset="0"/>
                <a:ea typeface="Arial"/>
                <a:cs typeface="Arial"/>
              </a:defRPr>
            </a:pPr>
            <a:r>
              <a:rPr lang="vi-VN" sz="898">
                <a:latin typeface="Calibri" panose="020F0502020204030204" pitchFamily="34" charset="0"/>
              </a:rPr>
              <a:t>Figura </a:t>
            </a:r>
            <a:r>
              <a:rPr lang="en-US" sz="898">
                <a:latin typeface="Calibri" panose="020F0502020204030204" pitchFamily="34" charset="0"/>
              </a:rPr>
              <a:t>IX</a:t>
            </a:r>
            <a:r>
              <a:rPr lang="vi-VN" sz="898">
                <a:latin typeface="Calibri" panose="020F0502020204030204" pitchFamily="34" charset="0"/>
              </a:rPr>
              <a:t>.2. Distribuţia procentuală a analizelor gama spectrometrice efectuate la SSRM Constanţa în anul 201</a:t>
            </a:r>
            <a:r>
              <a:rPr lang="en-US" sz="898">
                <a:latin typeface="Calibri" panose="020F0502020204030204" pitchFamily="34" charset="0"/>
              </a:rPr>
              <a:t>5</a:t>
            </a:r>
            <a:endParaRPr lang="vi-VN" sz="1200">
              <a:latin typeface="Calibri" panose="020F0502020204030204" pitchFamily="34" charset="0"/>
            </a:endParaRPr>
          </a:p>
        </c:rich>
      </c:tx>
      <c:layout>
        <c:manualLayout>
          <c:xMode val="edge"/>
          <c:yMode val="edge"/>
          <c:x val="0.10876806801685447"/>
          <c:y val="1.3051057297083148E-2"/>
        </c:manualLayout>
      </c:layout>
      <c:overlay val="0"/>
      <c:spPr>
        <a:noFill/>
        <a:ln w="19016">
          <a:noFill/>
        </a:ln>
      </c:spPr>
    </c:title>
    <c:autoTitleDeleted val="0"/>
    <c:view3D>
      <c:rotX val="25"/>
      <c:hPercent val="50"/>
      <c:rotY val="10"/>
      <c:rAngAx val="0"/>
      <c:perspective val="30"/>
    </c:view3D>
    <c:floor>
      <c:thickness val="0"/>
    </c:floor>
    <c:sideWall>
      <c:thickness val="0"/>
    </c:sideWall>
    <c:backWall>
      <c:thickness val="0"/>
    </c:backWall>
    <c:plotArea>
      <c:layout>
        <c:manualLayout>
          <c:layoutTarget val="inner"/>
          <c:xMode val="edge"/>
          <c:yMode val="edge"/>
          <c:x val="6.6518185226846646E-2"/>
          <c:y val="0.36793428599202876"/>
          <c:w val="0.86273872659736872"/>
          <c:h val="0.61663782521481392"/>
        </c:manualLayout>
      </c:layout>
      <c:pie3DChart>
        <c:varyColors val="1"/>
        <c:ser>
          <c:idx val="0"/>
          <c:order val="0"/>
          <c:tx>
            <c:v>constanta</c:v>
          </c:tx>
          <c:spPr>
            <a:ln w="19016">
              <a:noFill/>
            </a:ln>
          </c:spPr>
          <c:explosion val="7"/>
          <c:dPt>
            <c:idx val="0"/>
            <c:bubble3D val="0"/>
            <c:spPr>
              <a:solidFill>
                <a:srgbClr val="9999FF"/>
              </a:solidFill>
              <a:ln w="19016">
                <a:noFill/>
              </a:ln>
            </c:spPr>
          </c:dPt>
          <c:dPt>
            <c:idx val="1"/>
            <c:bubble3D val="0"/>
            <c:explosion val="2"/>
            <c:spPr>
              <a:solidFill>
                <a:srgbClr val="993366"/>
              </a:solidFill>
              <a:ln w="19016">
                <a:noFill/>
              </a:ln>
            </c:spPr>
          </c:dPt>
          <c:dPt>
            <c:idx val="2"/>
            <c:bubble3D val="0"/>
            <c:explosion val="3"/>
            <c:spPr>
              <a:solidFill>
                <a:srgbClr val="FFFFCC"/>
              </a:solidFill>
              <a:ln w="19016">
                <a:noFill/>
              </a:ln>
            </c:spPr>
          </c:dPt>
          <c:dPt>
            <c:idx val="3"/>
            <c:bubble3D val="0"/>
            <c:spPr>
              <a:solidFill>
                <a:srgbClr val="CCFFFF"/>
              </a:solidFill>
              <a:ln w="19016">
                <a:noFill/>
              </a:ln>
            </c:spPr>
          </c:dPt>
          <c:dPt>
            <c:idx val="4"/>
            <c:bubble3D val="0"/>
            <c:spPr>
              <a:solidFill>
                <a:srgbClr val="660066"/>
              </a:solidFill>
              <a:ln w="19016">
                <a:noFill/>
              </a:ln>
            </c:spPr>
          </c:dPt>
          <c:dPt>
            <c:idx val="5"/>
            <c:bubble3D val="0"/>
          </c:dPt>
          <c:dLbls>
            <c:dLbl>
              <c:idx val="0"/>
              <c:layout>
                <c:manualLayout>
                  <c:x val="-7.1675391297508443E-3"/>
                  <c:y val="-7.1939131588975493E-3"/>
                </c:manualLayout>
              </c:layout>
              <c:dLblPos val="bestFit"/>
              <c:showLegendKey val="1"/>
              <c:showVal val="0"/>
              <c:showCatName val="1"/>
              <c:showSerName val="0"/>
              <c:showPercent val="0"/>
              <c:showBubbleSize val="0"/>
            </c:dLbl>
            <c:dLbl>
              <c:idx val="1"/>
              <c:layout>
                <c:manualLayout>
                  <c:x val="-1.3720004492306924E-2"/>
                  <c:y val="-5.3620749877748168E-2"/>
                </c:manualLayout>
              </c:layout>
              <c:dLblPos val="bestFit"/>
              <c:showLegendKey val="1"/>
              <c:showVal val="0"/>
              <c:showCatName val="1"/>
              <c:showSerName val="0"/>
              <c:showPercent val="0"/>
              <c:showBubbleSize val="0"/>
            </c:dLbl>
            <c:dLbl>
              <c:idx val="2"/>
              <c:layout>
                <c:manualLayout>
                  <c:x val="-4.5895404120443739E-2"/>
                  <c:y val="-1.8758320609163399E-2"/>
                </c:manualLayout>
              </c:layout>
              <c:dLblPos val="bestFit"/>
              <c:showLegendKey val="1"/>
              <c:showVal val="0"/>
              <c:showCatName val="1"/>
              <c:showSerName val="0"/>
              <c:showPercent val="0"/>
              <c:showBubbleSize val="0"/>
            </c:dLbl>
            <c:dLbl>
              <c:idx val="3"/>
              <c:layout>
                <c:manualLayout>
                  <c:x val="-1.2659599570031519E-2"/>
                  <c:y val="8.1324581572491533E-3"/>
                </c:manualLayout>
              </c:layout>
              <c:dLblPos val="bestFit"/>
              <c:showLegendKey val="1"/>
              <c:showVal val="0"/>
              <c:showCatName val="1"/>
              <c:showSerName val="0"/>
              <c:showPercent val="0"/>
              <c:showBubbleSize val="0"/>
            </c:dLbl>
            <c:dLbl>
              <c:idx val="4"/>
              <c:layout>
                <c:manualLayout>
                  <c:x val="6.3383622213625826E-2"/>
                  <c:y val="-1.7566739518776884E-2"/>
                </c:manualLayout>
              </c:layout>
              <c:dLblPos val="bestFit"/>
              <c:showLegendKey val="1"/>
              <c:showVal val="0"/>
              <c:showCatName val="1"/>
              <c:showSerName val="0"/>
              <c:showPercent val="0"/>
              <c:showBubbleSize val="0"/>
            </c:dLbl>
            <c:dLbl>
              <c:idx val="5"/>
              <c:layout>
                <c:manualLayout>
                  <c:x val="8.5107420209557805E-2"/>
                  <c:y val="-2.4350568346257097E-5"/>
                </c:manualLayout>
              </c:layout>
              <c:dLblPos val="bestFit"/>
              <c:showLegendKey val="1"/>
              <c:showVal val="0"/>
              <c:showCatName val="1"/>
              <c:showSerName val="0"/>
              <c:showPercent val="0"/>
              <c:showBubbleSize val="0"/>
            </c:dLbl>
            <c:dLbl>
              <c:idx val="6"/>
              <c:layout>
                <c:manualLayout>
                  <c:xMode val="edge"/>
                  <c:yMode val="edge"/>
                  <c:x val="8.8790233074361822E-3"/>
                  <c:y val="0.23164763458401305"/>
                </c:manualLayout>
              </c:layout>
              <c:dLblPos val="bestFit"/>
              <c:showLegendKey val="1"/>
              <c:showVal val="0"/>
              <c:showCatName val="1"/>
              <c:showSerName val="0"/>
              <c:showPercent val="0"/>
              <c:showBubbleSize val="0"/>
            </c:dLbl>
            <c:dLbl>
              <c:idx val="7"/>
              <c:dLblPos val="bestFit"/>
              <c:showLegendKey val="1"/>
              <c:showVal val="0"/>
              <c:showCatName val="1"/>
              <c:showSerName val="0"/>
              <c:showPercent val="0"/>
              <c:showBubbleSize val="0"/>
            </c:dLbl>
            <c:spPr>
              <a:solidFill>
                <a:srgbClr val="FFFFFF"/>
              </a:solidFill>
              <a:ln w="19016">
                <a:noFill/>
              </a:ln>
            </c:spPr>
            <c:txPr>
              <a:bodyPr/>
              <a:lstStyle/>
              <a:p>
                <a:pPr algn="ctr" rtl="1">
                  <a:defRPr sz="786" b="1" i="0" u="none" strike="noStrike" baseline="0">
                    <a:solidFill>
                      <a:srgbClr val="000000"/>
                    </a:solidFill>
                    <a:latin typeface="+mn-lt"/>
                    <a:ea typeface="Arial"/>
                    <a:cs typeface="Arial"/>
                  </a:defRPr>
                </a:pPr>
                <a:endParaRPr lang="en-US"/>
              </a:p>
            </c:txPr>
            <c:dLblPos val="outEnd"/>
            <c:showLegendKey val="1"/>
            <c:showVal val="0"/>
            <c:showCatName val="1"/>
            <c:showSerName val="0"/>
            <c:showPercent val="0"/>
            <c:showBubbleSize val="0"/>
            <c:showLeaderLines val="0"/>
          </c:dLbls>
          <c:cat>
            <c:strRef>
              <c:f>Foaie1!$D$3:$I$3</c:f>
              <c:strCache>
                <c:ptCount val="6"/>
                <c:pt idx="0">
                  <c:v>aer</c:v>
                </c:pt>
                <c:pt idx="1">
                  <c:v>depuneri atmosferice</c:v>
                </c:pt>
                <c:pt idx="2">
                  <c:v>ape</c:v>
                </c:pt>
                <c:pt idx="3">
                  <c:v>sol </c:v>
                </c:pt>
                <c:pt idx="4">
                  <c:v>vegetaţie </c:v>
                </c:pt>
                <c:pt idx="5">
                  <c:v>alte probe</c:v>
                </c:pt>
              </c:strCache>
            </c:strRef>
          </c:cat>
          <c:val>
            <c:numRef>
              <c:f>Foaie1!$D$4:$I$4</c:f>
              <c:numCache>
                <c:formatCode>General</c:formatCode>
                <c:ptCount val="6"/>
                <c:pt idx="0">
                  <c:v>17.826086956521738</c:v>
                </c:pt>
                <c:pt idx="1">
                  <c:v>18.913043478260871</c:v>
                </c:pt>
                <c:pt idx="2">
                  <c:v>39.347826086956523</c:v>
                </c:pt>
                <c:pt idx="3">
                  <c:v>10.869565217391305</c:v>
                </c:pt>
                <c:pt idx="4">
                  <c:v>7.3913043478260869</c:v>
                </c:pt>
                <c:pt idx="5">
                  <c:v>5.6521739130434785</c:v>
                </c:pt>
              </c:numCache>
            </c:numRef>
          </c:val>
        </c:ser>
        <c:dLbls>
          <c:showLegendKey val="0"/>
          <c:showVal val="0"/>
          <c:showCatName val="0"/>
          <c:showSerName val="0"/>
          <c:showPercent val="0"/>
          <c:showBubbleSize val="0"/>
          <c:showLeaderLines val="0"/>
        </c:dLbls>
      </c:pie3DChart>
      <c:spPr>
        <a:noFill/>
        <a:ln w="19016">
          <a:noFill/>
        </a:ln>
      </c:spPr>
    </c:plotArea>
    <c:plotVisOnly val="1"/>
    <c:dispBlanksAs val="zero"/>
    <c:showDLblsOverMax val="0"/>
  </c:chart>
  <c:spPr>
    <a:solidFill>
      <a:srgbClr val="FFFFFF"/>
    </a:solidFill>
    <a:ln w="6350" cap="flat" cmpd="sng" algn="ctr">
      <a:solidFill>
        <a:srgbClr val="000000"/>
      </a:solidFill>
      <a:prstDash val="solid"/>
      <a:miter lim="800000"/>
      <a:headEnd type="none" w="med" len="med"/>
      <a:tailEnd type="none" w="med" len="med"/>
    </a:ln>
  </c:spPr>
  <c:txPr>
    <a:bodyPr/>
    <a:lstStyle/>
    <a:p>
      <a:pPr>
        <a:defRPr sz="824" b="1" i="0" u="none" strike="noStrike" baseline="0">
          <a:solidFill>
            <a:srgbClr val="000000"/>
          </a:solidFill>
          <a:latin typeface="Arial"/>
          <a:ea typeface="Arial"/>
          <a:cs typeface="Arial"/>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latin typeface="Calibri" panose="020F0502020204030204" pitchFamily="34" charset="0"/>
              </a:defRPr>
            </a:pPr>
            <a:r>
              <a:rPr lang="vi-VN" sz="1200" b="1">
                <a:latin typeface="Calibri" panose="020F0502020204030204" pitchFamily="34" charset="0"/>
              </a:rPr>
              <a:t>Figura </a:t>
            </a:r>
            <a:r>
              <a:rPr lang="ro-RO" sz="1200" b="1" i="0" u="none" strike="noStrike" kern="1200" baseline="0">
                <a:solidFill>
                  <a:srgbClr val="000000"/>
                </a:solidFill>
                <a:latin typeface="Calibri" panose="020F0502020204030204" pitchFamily="34" charset="0"/>
                <a:cs typeface="Arial"/>
              </a:rPr>
              <a:t>IX</a:t>
            </a:r>
            <a:r>
              <a:rPr lang="vi-VN" sz="1200" b="1">
                <a:latin typeface="Calibri" panose="020F0502020204030204" pitchFamily="34" charset="0"/>
              </a:rPr>
              <a:t>.2</a:t>
            </a:r>
            <a:r>
              <a:rPr lang="ro-RO" sz="1200" b="1">
                <a:latin typeface="Calibri" panose="020F0502020204030204" pitchFamily="34" charset="0"/>
              </a:rPr>
              <a:t>2</a:t>
            </a:r>
            <a:r>
              <a:rPr lang="vi-VN" sz="1200" b="1">
                <a:latin typeface="Calibri" panose="020F0502020204030204" pitchFamily="34" charset="0"/>
              </a:rPr>
              <a:t>.Concentraţii de tritiu în Canalele de deversare ale CNE Cernavodă  -  medii lunare </a:t>
            </a:r>
            <a:r>
              <a:rPr lang="ro-RO" sz="1200" b="1">
                <a:latin typeface="Calibri" panose="020F0502020204030204" pitchFamily="34" charset="0"/>
              </a:rPr>
              <a:t>în </a:t>
            </a:r>
            <a:r>
              <a:rPr lang="en-US" sz="1200" b="1">
                <a:latin typeface="Calibri" panose="020F0502020204030204" pitchFamily="34" charset="0"/>
              </a:rPr>
              <a:t>2015</a:t>
            </a:r>
            <a:endParaRPr lang="vi-VN" sz="1200" b="1">
              <a:latin typeface="Calibri" panose="020F0502020204030204" pitchFamily="34" charset="0"/>
            </a:endParaRPr>
          </a:p>
        </c:rich>
      </c:tx>
      <c:layout>
        <c:manualLayout>
          <c:xMode val="edge"/>
          <c:yMode val="edge"/>
          <c:x val="0.1181959564541213"/>
          <c:y val="7.6628352490421452E-3"/>
        </c:manualLayout>
      </c:layout>
      <c:overlay val="0"/>
      <c:spPr>
        <a:noFill/>
        <a:ln w="25400">
          <a:noFill/>
        </a:ln>
      </c:spPr>
    </c:title>
    <c:autoTitleDeleted val="0"/>
    <c:plotArea>
      <c:layout>
        <c:manualLayout>
          <c:layoutTarget val="inner"/>
          <c:xMode val="edge"/>
          <c:yMode val="edge"/>
          <c:x val="0.10362751363583381"/>
          <c:y val="0.21210274288233055"/>
          <c:w val="0.82794322991402491"/>
          <c:h val="0.55639435695538053"/>
        </c:manualLayout>
      </c:layout>
      <c:barChart>
        <c:barDir val="col"/>
        <c:grouping val="clustered"/>
        <c:varyColors val="0"/>
        <c:ser>
          <c:idx val="0"/>
          <c:order val="0"/>
          <c:tx>
            <c:strRef>
              <c:f>Sheet1!$A$2</c:f>
              <c:strCache>
                <c:ptCount val="1"/>
                <c:pt idx="0">
                  <c:v>Canal Seimeni</c:v>
                </c:pt>
              </c:strCache>
            </c:strRef>
          </c:tx>
          <c:spPr>
            <a:solidFill>
              <a:srgbClr val="FF0000"/>
            </a:solidFill>
            <a:ln w="12700">
              <a:solidFill>
                <a:srgbClr val="000000"/>
              </a:solidFill>
              <a:prstDash val="solid"/>
            </a:ln>
          </c:spPr>
          <c:invertIfNegative val="0"/>
          <c:cat>
            <c:strRef>
              <c:f>Sheet1!$B$1:$M$1</c:f>
              <c:strCache>
                <c:ptCount val="12"/>
                <c:pt idx="0">
                  <c:v>ian</c:v>
                </c:pt>
                <c:pt idx="1">
                  <c:v>feb</c:v>
                </c:pt>
                <c:pt idx="2">
                  <c:v>mar</c:v>
                </c:pt>
                <c:pt idx="3">
                  <c:v>apr</c:v>
                </c:pt>
                <c:pt idx="4">
                  <c:v>mai</c:v>
                </c:pt>
                <c:pt idx="5">
                  <c:v>iun</c:v>
                </c:pt>
                <c:pt idx="6">
                  <c:v>iul</c:v>
                </c:pt>
                <c:pt idx="7">
                  <c:v>aug</c:v>
                </c:pt>
                <c:pt idx="8">
                  <c:v>sep</c:v>
                </c:pt>
                <c:pt idx="9">
                  <c:v>oct</c:v>
                </c:pt>
                <c:pt idx="10">
                  <c:v>nov</c:v>
                </c:pt>
                <c:pt idx="11">
                  <c:v>dec</c:v>
                </c:pt>
              </c:strCache>
            </c:strRef>
          </c:cat>
          <c:val>
            <c:numRef>
              <c:f>Sheet1!$B$2:$M$2</c:f>
              <c:numCache>
                <c:formatCode>General</c:formatCode>
                <c:ptCount val="12"/>
                <c:pt idx="0">
                  <c:v>149.53</c:v>
                </c:pt>
                <c:pt idx="1">
                  <c:v>134.02000000000001</c:v>
                </c:pt>
                <c:pt idx="2">
                  <c:v>13.04</c:v>
                </c:pt>
                <c:pt idx="3">
                  <c:v>22.44</c:v>
                </c:pt>
                <c:pt idx="4">
                  <c:v>50.77</c:v>
                </c:pt>
                <c:pt idx="5">
                  <c:v>8.6300000000000008</c:v>
                </c:pt>
                <c:pt idx="6">
                  <c:v>280.29000000000002</c:v>
                </c:pt>
                <c:pt idx="7">
                  <c:v>5.19</c:v>
                </c:pt>
                <c:pt idx="8">
                  <c:v>6.79</c:v>
                </c:pt>
                <c:pt idx="9">
                  <c:v>43.79</c:v>
                </c:pt>
                <c:pt idx="10">
                  <c:v>6.19</c:v>
                </c:pt>
                <c:pt idx="11">
                  <c:v>33.54</c:v>
                </c:pt>
              </c:numCache>
            </c:numRef>
          </c:val>
        </c:ser>
        <c:ser>
          <c:idx val="1"/>
          <c:order val="1"/>
          <c:tx>
            <c:strRef>
              <c:f>Sheet1!$A$3</c:f>
              <c:strCache>
                <c:ptCount val="1"/>
                <c:pt idx="0">
                  <c:v>Canal Ecluză</c:v>
                </c:pt>
              </c:strCache>
            </c:strRef>
          </c:tx>
          <c:spPr>
            <a:solidFill>
              <a:srgbClr val="00FF00"/>
            </a:solidFill>
            <a:ln w="12700">
              <a:solidFill>
                <a:srgbClr val="000000"/>
              </a:solidFill>
              <a:prstDash val="solid"/>
            </a:ln>
          </c:spPr>
          <c:invertIfNegative val="0"/>
          <c:cat>
            <c:strRef>
              <c:f>Sheet1!$B$1:$M$1</c:f>
              <c:strCache>
                <c:ptCount val="12"/>
                <c:pt idx="0">
                  <c:v>ian</c:v>
                </c:pt>
                <c:pt idx="1">
                  <c:v>feb</c:v>
                </c:pt>
                <c:pt idx="2">
                  <c:v>mar</c:v>
                </c:pt>
                <c:pt idx="3">
                  <c:v>apr</c:v>
                </c:pt>
                <c:pt idx="4">
                  <c:v>mai</c:v>
                </c:pt>
                <c:pt idx="5">
                  <c:v>iun</c:v>
                </c:pt>
                <c:pt idx="6">
                  <c:v>iul</c:v>
                </c:pt>
                <c:pt idx="7">
                  <c:v>aug</c:v>
                </c:pt>
                <c:pt idx="8">
                  <c:v>sep</c:v>
                </c:pt>
                <c:pt idx="9">
                  <c:v>oct</c:v>
                </c:pt>
                <c:pt idx="10">
                  <c:v>nov</c:v>
                </c:pt>
                <c:pt idx="11">
                  <c:v>dec</c:v>
                </c:pt>
              </c:strCache>
            </c:strRef>
          </c:cat>
          <c:val>
            <c:numRef>
              <c:f>Sheet1!$B$3:$M$3</c:f>
              <c:numCache>
                <c:formatCode>General</c:formatCode>
                <c:ptCount val="12"/>
                <c:pt idx="0">
                  <c:v>4.7699999999999996</c:v>
                </c:pt>
                <c:pt idx="1">
                  <c:v>29.84</c:v>
                </c:pt>
                <c:pt idx="2">
                  <c:v>11.45</c:v>
                </c:pt>
                <c:pt idx="3">
                  <c:v>3.25</c:v>
                </c:pt>
                <c:pt idx="4">
                  <c:v>4.26</c:v>
                </c:pt>
                <c:pt idx="5">
                  <c:v>3.55</c:v>
                </c:pt>
                <c:pt idx="6">
                  <c:v>3.52</c:v>
                </c:pt>
                <c:pt idx="7">
                  <c:v>4.1100000000000003</c:v>
                </c:pt>
                <c:pt idx="8">
                  <c:v>4.3899999999999997</c:v>
                </c:pt>
                <c:pt idx="9">
                  <c:v>5.15</c:v>
                </c:pt>
                <c:pt idx="10">
                  <c:v>6.68</c:v>
                </c:pt>
                <c:pt idx="11">
                  <c:v>6.36</c:v>
                </c:pt>
              </c:numCache>
            </c:numRef>
          </c:val>
        </c:ser>
        <c:dLbls>
          <c:showLegendKey val="0"/>
          <c:showVal val="0"/>
          <c:showCatName val="0"/>
          <c:showSerName val="0"/>
          <c:showPercent val="0"/>
          <c:showBubbleSize val="0"/>
        </c:dLbls>
        <c:gapWidth val="150"/>
        <c:axId val="102741504"/>
        <c:axId val="102743040"/>
      </c:barChart>
      <c:catAx>
        <c:axId val="10274150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en-US"/>
          </a:p>
        </c:txPr>
        <c:crossAx val="102743040"/>
        <c:crosses val="autoZero"/>
        <c:auto val="1"/>
        <c:lblAlgn val="ctr"/>
        <c:lblOffset val="100"/>
        <c:tickLblSkip val="1"/>
        <c:tickMarkSkip val="1"/>
        <c:noMultiLvlLbl val="0"/>
      </c:catAx>
      <c:valAx>
        <c:axId val="102743040"/>
        <c:scaling>
          <c:orientation val="minMax"/>
        </c:scaling>
        <c:delete val="0"/>
        <c:axPos val="l"/>
        <c:majorGridlines>
          <c:spPr>
            <a:ln w="3175">
              <a:solidFill>
                <a:srgbClr val="000000"/>
              </a:solidFill>
              <a:prstDash val="solid"/>
            </a:ln>
          </c:spPr>
        </c:majorGridlines>
        <c:title>
          <c:tx>
            <c:rich>
              <a:bodyPr/>
              <a:lstStyle/>
              <a:p>
                <a:pPr>
                  <a:defRPr sz="1100" b="1" i="0" baseline="0">
                    <a:latin typeface="Calibri" panose="020F0502020204030204" pitchFamily="34" charset="0"/>
                  </a:defRPr>
                </a:pPr>
                <a:r>
                  <a:rPr lang="en-US" sz="1100" b="1" i="0" baseline="0">
                    <a:latin typeface="Calibri" panose="020F0502020204030204" pitchFamily="34" charset="0"/>
                  </a:rPr>
                  <a:t>Bq/ l</a:t>
                </a:r>
              </a:p>
            </c:rich>
          </c:tx>
          <c:layout>
            <c:manualLayout>
              <c:xMode val="edge"/>
              <c:yMode val="edge"/>
              <c:x val="1.0209290454313425E-2"/>
              <c:y val="0.45593873031496063"/>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a:pPr>
            <a:endParaRPr lang="en-US"/>
          </a:p>
        </c:txPr>
        <c:crossAx val="102741504"/>
        <c:crosses val="autoZero"/>
        <c:crossBetween val="between"/>
      </c:valAx>
      <c:spPr>
        <a:gradFill rotWithShape="0">
          <a:gsLst>
            <a:gs pos="0">
              <a:srgbClr xmlns:mc="http://schemas.openxmlformats.org/markup-compatibility/2006" xmlns:a14="http://schemas.microsoft.com/office/drawing/2010/main" val="FFFFFF" mc:Ignorable="a14" a14:legacySpreadsheetColorIndex="9"/>
            </a:gs>
            <a:gs pos="100000">
              <a:srgbClr xmlns:mc="http://schemas.openxmlformats.org/markup-compatibility/2006" xmlns:a14="http://schemas.microsoft.com/office/drawing/2010/main" val="010101" mc:Ignorable="a14" a14:legacySpreadsheetColorIndex="9">
                <a:gamma/>
                <a:shade val="66275"/>
                <a:invGamma/>
              </a:srgbClr>
            </a:gs>
          </a:gsLst>
          <a:path path="rect">
            <a:fillToRect r="100000" b="100000"/>
          </a:path>
        </a:gradFill>
        <a:ln w="12700">
          <a:solidFill>
            <a:srgbClr val="808080"/>
          </a:solidFill>
          <a:prstDash val="solid"/>
        </a:ln>
      </c:spPr>
    </c:plotArea>
    <c:legend>
      <c:legendPos val="b"/>
      <c:layout>
        <c:manualLayout>
          <c:xMode val="edge"/>
          <c:yMode val="edge"/>
          <c:x val="0.18409665866804933"/>
          <c:y val="0.89906496062992125"/>
          <c:w val="0.69051321928460341"/>
          <c:h val="8.0459770114942528E-2"/>
        </c:manualLayout>
      </c:layout>
      <c:overlay val="0"/>
      <c:spPr>
        <a:noFill/>
        <a:ln w="3175">
          <a:noFill/>
          <a:prstDash val="solid"/>
        </a:ln>
      </c:spPr>
      <c:txPr>
        <a:bodyPr/>
        <a:lstStyle/>
        <a:p>
          <a:pPr>
            <a:defRPr sz="1100">
              <a:latin typeface="Calibri" panose="020F0502020204030204" pitchFamily="34" charset="0"/>
            </a:defRPr>
          </a:pPr>
          <a:endParaRPr lang="en-US"/>
        </a:p>
      </c:txPr>
    </c:legend>
    <c:plotVisOnly val="1"/>
    <c:dispBlanksAs val="gap"/>
    <c:showDLblsOverMax val="0"/>
  </c:chart>
  <c:spPr>
    <a:noFill/>
    <a:ln w="6350" cap="flat" cmpd="sng" algn="ctr">
      <a:solidFill>
        <a:srgbClr val="000000"/>
      </a:solidFill>
      <a:prstDash val="solid"/>
      <a:miter lim="800000"/>
      <a:headEnd type="none" w="med" len="med"/>
      <a:tailEnd type="none" w="med" len="med"/>
    </a:ln>
  </c:spPr>
  <c:txPr>
    <a:bodyPr/>
    <a:lstStyle/>
    <a:p>
      <a:pPr>
        <a:defRPr sz="1150" b="0" i="0" u="none" strike="noStrike" baseline="0">
          <a:solidFill>
            <a:srgbClr val="000000"/>
          </a:solidFill>
          <a:latin typeface="Arial"/>
          <a:ea typeface="Arial"/>
          <a:cs typeface="Arial"/>
        </a:defRPr>
      </a:pPr>
      <a:endParaRPr lang="en-US"/>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Calibri" panose="020F0502020204030204" pitchFamily="34" charset="0"/>
                <a:ea typeface="Arial"/>
                <a:cs typeface="Arial"/>
              </a:defRPr>
            </a:pPr>
            <a:r>
              <a:rPr lang="vi-VN">
                <a:latin typeface="Calibri" panose="020F0502020204030204" pitchFamily="34" charset="0"/>
              </a:rPr>
              <a:t>Figura </a:t>
            </a:r>
            <a:r>
              <a:rPr lang="ro-RO" sz="1200" b="1" i="0" u="none" strike="noStrike" kern="1200" baseline="0">
                <a:solidFill>
                  <a:srgbClr val="000000"/>
                </a:solidFill>
                <a:latin typeface="Calibri" panose="020F0502020204030204" pitchFamily="34" charset="0"/>
                <a:cs typeface="Arial"/>
              </a:rPr>
              <a:t>IX</a:t>
            </a:r>
            <a:r>
              <a:rPr lang="vi-VN">
                <a:latin typeface="Calibri" panose="020F0502020204030204" pitchFamily="34" charset="0"/>
              </a:rPr>
              <a:t>.2</a:t>
            </a:r>
            <a:r>
              <a:rPr lang="ro-RO">
                <a:latin typeface="Calibri" panose="020F0502020204030204" pitchFamily="34" charset="0"/>
              </a:rPr>
              <a:t>3</a:t>
            </a:r>
            <a:r>
              <a:rPr lang="vi-VN">
                <a:latin typeface="Calibri" panose="020F0502020204030204" pitchFamily="34" charset="0"/>
              </a:rPr>
              <a:t>.Concentraţii de tritiu în Canal</a:t>
            </a:r>
            <a:r>
              <a:rPr lang="ro-RO">
                <a:latin typeface="Calibri" panose="020F0502020204030204" pitchFamily="34" charset="0"/>
              </a:rPr>
              <a:t> Dunare-Marea</a:t>
            </a:r>
            <a:r>
              <a:rPr lang="ro-RO" baseline="0">
                <a:latin typeface="Calibri" panose="020F0502020204030204" pitchFamily="34" charset="0"/>
              </a:rPr>
              <a:t> Neagră la Medgidia și Saligny </a:t>
            </a:r>
            <a:r>
              <a:rPr lang="vi-VN">
                <a:latin typeface="Calibri" panose="020F0502020204030204" pitchFamily="34" charset="0"/>
              </a:rPr>
              <a:t> -  medii lunare </a:t>
            </a:r>
            <a:r>
              <a:rPr lang="en-US" sz="1200" b="1" i="0" u="none" strike="noStrike" kern="1200" baseline="0">
                <a:solidFill>
                  <a:srgbClr val="000000"/>
                </a:solidFill>
                <a:latin typeface="Calibri" panose="020F0502020204030204" pitchFamily="34" charset="0"/>
                <a:cs typeface="Arial"/>
              </a:rPr>
              <a:t>2014</a:t>
            </a:r>
            <a:endParaRPr lang="vi-VN">
              <a:latin typeface="Calibri" panose="020F0502020204030204" pitchFamily="34" charset="0"/>
            </a:endParaRPr>
          </a:p>
        </c:rich>
      </c:tx>
      <c:layout>
        <c:manualLayout>
          <c:xMode val="edge"/>
          <c:yMode val="edge"/>
          <c:x val="0.1181959564541213"/>
          <c:y val="7.6628352490421452E-3"/>
        </c:manualLayout>
      </c:layout>
      <c:overlay val="0"/>
      <c:spPr>
        <a:noFill/>
        <a:ln w="25400">
          <a:noFill/>
        </a:ln>
      </c:spPr>
    </c:title>
    <c:autoTitleDeleted val="0"/>
    <c:plotArea>
      <c:layout>
        <c:manualLayout>
          <c:layoutTarget val="inner"/>
          <c:xMode val="edge"/>
          <c:yMode val="edge"/>
          <c:x val="8.1321924542713891E-2"/>
          <c:y val="0.20421434820647422"/>
          <c:w val="0.85024889690646255"/>
          <c:h val="0.57260542432195971"/>
        </c:manualLayout>
      </c:layout>
      <c:barChart>
        <c:barDir val="col"/>
        <c:grouping val="clustered"/>
        <c:varyColors val="0"/>
        <c:ser>
          <c:idx val="0"/>
          <c:order val="0"/>
          <c:tx>
            <c:strRef>
              <c:f>Sheet1!$A$2</c:f>
              <c:strCache>
                <c:ptCount val="1"/>
                <c:pt idx="0">
                  <c:v>Medgidia</c:v>
                </c:pt>
              </c:strCache>
            </c:strRef>
          </c:tx>
          <c:spPr>
            <a:solidFill>
              <a:srgbClr val="FF0000"/>
            </a:solidFill>
            <a:ln w="12700">
              <a:solidFill>
                <a:srgbClr val="000000"/>
              </a:solidFill>
              <a:prstDash val="solid"/>
            </a:ln>
          </c:spPr>
          <c:invertIfNegative val="0"/>
          <c:cat>
            <c:strRef>
              <c:f>Sheet1!$B$1:$M$1</c:f>
              <c:strCache>
                <c:ptCount val="12"/>
                <c:pt idx="0">
                  <c:v>ian</c:v>
                </c:pt>
                <c:pt idx="1">
                  <c:v>feb</c:v>
                </c:pt>
                <c:pt idx="2">
                  <c:v>mar</c:v>
                </c:pt>
                <c:pt idx="3">
                  <c:v>apr</c:v>
                </c:pt>
                <c:pt idx="4">
                  <c:v>mai</c:v>
                </c:pt>
                <c:pt idx="5">
                  <c:v>iun</c:v>
                </c:pt>
                <c:pt idx="6">
                  <c:v>iul</c:v>
                </c:pt>
                <c:pt idx="7">
                  <c:v>aug</c:v>
                </c:pt>
                <c:pt idx="8">
                  <c:v>sep</c:v>
                </c:pt>
                <c:pt idx="9">
                  <c:v>oct</c:v>
                </c:pt>
                <c:pt idx="10">
                  <c:v>nov</c:v>
                </c:pt>
                <c:pt idx="11">
                  <c:v>dec</c:v>
                </c:pt>
              </c:strCache>
            </c:strRef>
          </c:cat>
          <c:val>
            <c:numRef>
              <c:f>Sheet1!$B$2:$M$2</c:f>
              <c:numCache>
                <c:formatCode>General</c:formatCode>
                <c:ptCount val="12"/>
                <c:pt idx="7">
                  <c:v>3.68</c:v>
                </c:pt>
                <c:pt idx="8">
                  <c:v>4.8099999999999996</c:v>
                </c:pt>
                <c:pt idx="10">
                  <c:v>8.2100000000000009</c:v>
                </c:pt>
                <c:pt idx="11">
                  <c:v>8.86</c:v>
                </c:pt>
              </c:numCache>
            </c:numRef>
          </c:val>
        </c:ser>
        <c:ser>
          <c:idx val="1"/>
          <c:order val="1"/>
          <c:tx>
            <c:strRef>
              <c:f>Sheet1!$A$3</c:f>
              <c:strCache>
                <c:ptCount val="1"/>
                <c:pt idx="0">
                  <c:v>Saligny</c:v>
                </c:pt>
              </c:strCache>
            </c:strRef>
          </c:tx>
          <c:spPr>
            <a:solidFill>
              <a:srgbClr val="00FF00"/>
            </a:solidFill>
            <a:ln w="12700">
              <a:solidFill>
                <a:srgbClr val="000000"/>
              </a:solidFill>
              <a:prstDash val="solid"/>
            </a:ln>
          </c:spPr>
          <c:invertIfNegative val="0"/>
          <c:cat>
            <c:strRef>
              <c:f>Sheet1!$B$1:$M$1</c:f>
              <c:strCache>
                <c:ptCount val="12"/>
                <c:pt idx="0">
                  <c:v>ian</c:v>
                </c:pt>
                <c:pt idx="1">
                  <c:v>feb</c:v>
                </c:pt>
                <c:pt idx="2">
                  <c:v>mar</c:v>
                </c:pt>
                <c:pt idx="3">
                  <c:v>apr</c:v>
                </c:pt>
                <c:pt idx="4">
                  <c:v>mai</c:v>
                </c:pt>
                <c:pt idx="5">
                  <c:v>iun</c:v>
                </c:pt>
                <c:pt idx="6">
                  <c:v>iul</c:v>
                </c:pt>
                <c:pt idx="7">
                  <c:v>aug</c:v>
                </c:pt>
                <c:pt idx="8">
                  <c:v>sep</c:v>
                </c:pt>
                <c:pt idx="9">
                  <c:v>oct</c:v>
                </c:pt>
                <c:pt idx="10">
                  <c:v>nov</c:v>
                </c:pt>
                <c:pt idx="11">
                  <c:v>dec</c:v>
                </c:pt>
              </c:strCache>
            </c:strRef>
          </c:cat>
          <c:val>
            <c:numRef>
              <c:f>Sheet1!$B$3:$M$3</c:f>
              <c:numCache>
                <c:formatCode>General</c:formatCode>
                <c:ptCount val="12"/>
                <c:pt idx="0">
                  <c:v>4.08</c:v>
                </c:pt>
                <c:pt idx="1">
                  <c:v>10.23</c:v>
                </c:pt>
                <c:pt idx="2">
                  <c:v>6.98</c:v>
                </c:pt>
                <c:pt idx="3">
                  <c:v>3.85</c:v>
                </c:pt>
                <c:pt idx="4">
                  <c:v>3.56</c:v>
                </c:pt>
                <c:pt idx="5">
                  <c:v>3.5</c:v>
                </c:pt>
                <c:pt idx="6">
                  <c:v>3.87</c:v>
                </c:pt>
                <c:pt idx="7">
                  <c:v>4.0199999999999996</c:v>
                </c:pt>
                <c:pt idx="8">
                  <c:v>5.46</c:v>
                </c:pt>
                <c:pt idx="9">
                  <c:v>6.23</c:v>
                </c:pt>
                <c:pt idx="10">
                  <c:v>6.23</c:v>
                </c:pt>
                <c:pt idx="11">
                  <c:v>5.41</c:v>
                </c:pt>
              </c:numCache>
            </c:numRef>
          </c:val>
        </c:ser>
        <c:dLbls>
          <c:showLegendKey val="0"/>
          <c:showVal val="0"/>
          <c:showCatName val="0"/>
          <c:showSerName val="0"/>
          <c:showPercent val="0"/>
          <c:showBubbleSize val="0"/>
        </c:dLbls>
        <c:gapWidth val="150"/>
        <c:axId val="107688320"/>
        <c:axId val="107689856"/>
      </c:barChart>
      <c:catAx>
        <c:axId val="10768832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07689856"/>
        <c:crosses val="autoZero"/>
        <c:auto val="1"/>
        <c:lblAlgn val="ctr"/>
        <c:lblOffset val="100"/>
        <c:tickLblSkip val="1"/>
        <c:tickMarkSkip val="1"/>
        <c:noMultiLvlLbl val="0"/>
      </c:catAx>
      <c:valAx>
        <c:axId val="107689856"/>
        <c:scaling>
          <c:orientation val="minMax"/>
        </c:scaling>
        <c:delete val="0"/>
        <c:axPos val="l"/>
        <c:majorGridlines>
          <c:spPr>
            <a:ln w="3175">
              <a:solidFill>
                <a:srgbClr val="000000"/>
              </a:solidFill>
              <a:prstDash val="solid"/>
            </a:ln>
          </c:spPr>
        </c:majorGridlines>
        <c:title>
          <c:tx>
            <c:rich>
              <a:bodyPr/>
              <a:lstStyle/>
              <a:p>
                <a:pPr>
                  <a:defRPr sz="1100" b="1" i="0" u="none" strike="noStrike" baseline="0">
                    <a:solidFill>
                      <a:srgbClr val="000000"/>
                    </a:solidFill>
                    <a:latin typeface="+mn-lt"/>
                    <a:ea typeface="Arial"/>
                    <a:cs typeface="Arial"/>
                  </a:defRPr>
                </a:pPr>
                <a:r>
                  <a:rPr lang="en-US" sz="1100">
                    <a:latin typeface="+mn-lt"/>
                  </a:rPr>
                  <a:t>Bq/ l</a:t>
                </a:r>
              </a:p>
            </c:rich>
          </c:tx>
          <c:layout>
            <c:manualLayout>
              <c:xMode val="edge"/>
              <c:yMode val="edge"/>
              <c:x val="1.0319917440660475E-2"/>
              <c:y val="0.45593865472698264"/>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950" b="0" i="0" u="none" strike="noStrike" baseline="0">
                <a:solidFill>
                  <a:srgbClr val="000000"/>
                </a:solidFill>
                <a:latin typeface="Arial"/>
                <a:ea typeface="Arial"/>
                <a:cs typeface="Arial"/>
              </a:defRPr>
            </a:pPr>
            <a:endParaRPr lang="en-US"/>
          </a:p>
        </c:txPr>
        <c:crossAx val="107688320"/>
        <c:crosses val="autoZero"/>
        <c:crossBetween val="between"/>
      </c:valAx>
      <c:spPr>
        <a:gradFill rotWithShape="0">
          <a:gsLst>
            <a:gs pos="0">
              <a:srgbClr xmlns:mc="http://schemas.openxmlformats.org/markup-compatibility/2006" xmlns:a14="http://schemas.microsoft.com/office/drawing/2010/main" val="FFFFFF" mc:Ignorable="a14" a14:legacySpreadsheetColorIndex="9"/>
            </a:gs>
            <a:gs pos="100000">
              <a:srgbClr xmlns:mc="http://schemas.openxmlformats.org/markup-compatibility/2006" xmlns:a14="http://schemas.microsoft.com/office/drawing/2010/main" val="010101" mc:Ignorable="a14" a14:legacySpreadsheetColorIndex="9">
                <a:gamma/>
                <a:shade val="66275"/>
                <a:invGamma/>
              </a:srgbClr>
            </a:gs>
          </a:gsLst>
          <a:path path="rect">
            <a:fillToRect r="100000" b="100000"/>
          </a:path>
        </a:gradFill>
        <a:ln w="12700">
          <a:solidFill>
            <a:srgbClr val="808080"/>
          </a:solidFill>
          <a:prstDash val="solid"/>
        </a:ln>
      </c:spPr>
    </c:plotArea>
    <c:legend>
      <c:legendPos val="b"/>
      <c:layout>
        <c:manualLayout>
          <c:xMode val="edge"/>
          <c:yMode val="edge"/>
          <c:x val="0.18818040435458788"/>
          <c:y val="0.92337164750957856"/>
          <c:w val="0.69051321928460341"/>
          <c:h val="8.0459770114942528E-2"/>
        </c:manualLayout>
      </c:layout>
      <c:overlay val="0"/>
      <c:spPr>
        <a:noFill/>
        <a:ln w="3175">
          <a:noFill/>
          <a:prstDash val="solid"/>
        </a:ln>
      </c:spPr>
      <c:txPr>
        <a:bodyPr/>
        <a:lstStyle/>
        <a:p>
          <a:pPr>
            <a:defRPr sz="1050" b="0" i="0" u="none" strike="noStrike" baseline="0">
              <a:solidFill>
                <a:srgbClr val="000000"/>
              </a:solidFill>
              <a:latin typeface="Calibri" panose="020F0502020204030204" pitchFamily="34" charset="0"/>
              <a:ea typeface="Arial"/>
              <a:cs typeface="Arial"/>
            </a:defRPr>
          </a:pPr>
          <a:endParaRPr lang="en-US"/>
        </a:p>
      </c:txPr>
    </c:legend>
    <c:plotVisOnly val="1"/>
    <c:dispBlanksAs val="gap"/>
    <c:showDLblsOverMax val="0"/>
  </c:chart>
  <c:spPr>
    <a:noFill/>
    <a:ln w="6350" cap="flat" cmpd="sng" algn="ctr">
      <a:solidFill>
        <a:srgbClr val="000000"/>
      </a:solidFill>
      <a:prstDash val="solid"/>
      <a:miter lim="800000"/>
      <a:headEnd type="none" w="med" len="med"/>
      <a:tailEnd type="none" w="med" len="med"/>
    </a:ln>
  </c:spPr>
  <c:txPr>
    <a:bodyPr/>
    <a:lstStyle/>
    <a:p>
      <a:pPr>
        <a:defRPr sz="1150" b="1" i="0" u="none" strike="noStrike" baseline="0">
          <a:solidFill>
            <a:srgbClr val="000000"/>
          </a:solidFill>
          <a:latin typeface="Arial"/>
          <a:ea typeface="Arial"/>
          <a:cs typeface="Arial"/>
        </a:defRPr>
      </a:pPr>
      <a:endParaRPr lang="en-US"/>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i="0" u="none" strike="noStrike" baseline="0">
                <a:solidFill>
                  <a:srgbClr val="000000"/>
                </a:solidFill>
                <a:latin typeface="+mn-lt"/>
                <a:ea typeface="Arial"/>
                <a:cs typeface="Arial"/>
              </a:defRPr>
            </a:pPr>
            <a:r>
              <a:rPr lang="en-US" sz="1200" b="1" i="0" u="none" strike="noStrike" baseline="0">
                <a:solidFill>
                  <a:srgbClr val="000000"/>
                </a:solidFill>
                <a:latin typeface="+mn-lt"/>
                <a:cs typeface="Arial"/>
              </a:rPr>
              <a:t>Figura </a:t>
            </a:r>
            <a:r>
              <a:rPr lang="en-US" sz="1200" b="1" i="0" u="none" strike="noStrike" kern="1200" baseline="0">
                <a:solidFill>
                  <a:srgbClr val="000000"/>
                </a:solidFill>
                <a:latin typeface="+mn-lt"/>
                <a:cs typeface="Arial"/>
              </a:rPr>
              <a:t>IX</a:t>
            </a:r>
            <a:r>
              <a:rPr lang="en-US" sz="1200" b="1" i="0" u="none" strike="noStrike" baseline="0">
                <a:solidFill>
                  <a:srgbClr val="000000"/>
                </a:solidFill>
                <a:latin typeface="+mn-lt"/>
                <a:cs typeface="Arial"/>
              </a:rPr>
              <a:t>.</a:t>
            </a:r>
            <a:r>
              <a:rPr lang="ro-RO" sz="1200" b="1" i="0" u="none" strike="noStrike" baseline="0">
                <a:solidFill>
                  <a:srgbClr val="000000"/>
                </a:solidFill>
                <a:latin typeface="+mn-lt"/>
                <a:cs typeface="Arial"/>
              </a:rPr>
              <a:t>24</a:t>
            </a:r>
            <a:r>
              <a:rPr lang="en-US" sz="1200" b="1" i="0" u="none" strike="noStrike" baseline="0">
                <a:solidFill>
                  <a:srgbClr val="000000"/>
                </a:solidFill>
                <a:latin typeface="+mn-lt"/>
                <a:cs typeface="Arial"/>
              </a:rPr>
              <a:t>. Ap</a:t>
            </a:r>
            <a:r>
              <a:rPr lang="ro-RO" sz="1200" b="1" i="0" u="none" strike="noStrike" baseline="0">
                <a:solidFill>
                  <a:srgbClr val="000000"/>
                </a:solidFill>
                <a:latin typeface="+mn-lt"/>
                <a:cs typeface="Arial"/>
              </a:rPr>
              <a:t>ă de suprafață din Dunăre -</a:t>
            </a:r>
            <a:r>
              <a:rPr lang="en-US" sz="1200" b="1" i="0" u="none" strike="noStrike" baseline="0">
                <a:solidFill>
                  <a:srgbClr val="000000"/>
                </a:solidFill>
                <a:latin typeface="+mn-lt"/>
                <a:cs typeface="Arial"/>
              </a:rPr>
              <a:t> </a:t>
            </a:r>
          </a:p>
          <a:p>
            <a:pPr>
              <a:defRPr sz="1200" b="0" i="0" u="none" strike="noStrike" baseline="0">
                <a:solidFill>
                  <a:srgbClr val="000000"/>
                </a:solidFill>
                <a:latin typeface="+mn-lt"/>
                <a:ea typeface="Arial"/>
                <a:cs typeface="Arial"/>
              </a:defRPr>
            </a:pPr>
            <a:r>
              <a:rPr lang="ro-RO" sz="1200" b="1" i="0" u="none" strike="noStrike" baseline="0">
                <a:solidFill>
                  <a:srgbClr val="000000"/>
                </a:solidFill>
                <a:latin typeface="+mn-lt"/>
                <a:cs typeface="Arial"/>
              </a:rPr>
              <a:t>a</a:t>
            </a:r>
            <a:r>
              <a:rPr lang="en-US" sz="1200" b="1" i="0" u="none" strike="noStrike" baseline="0">
                <a:solidFill>
                  <a:srgbClr val="000000"/>
                </a:solidFill>
                <a:latin typeface="+mn-lt"/>
                <a:cs typeface="Arial"/>
              </a:rPr>
              <a:t>ctivitate specifică beta globală - măsurători imediate  </a:t>
            </a:r>
          </a:p>
          <a:p>
            <a:pPr>
              <a:defRPr sz="1200" b="0" i="0" u="none" strike="noStrike" baseline="0">
                <a:solidFill>
                  <a:srgbClr val="000000"/>
                </a:solidFill>
                <a:latin typeface="+mn-lt"/>
                <a:ea typeface="Arial"/>
                <a:cs typeface="Arial"/>
              </a:defRPr>
            </a:pPr>
            <a:r>
              <a:rPr lang="en-US" sz="1200" b="1" i="0" u="none" strike="noStrike" baseline="0">
                <a:solidFill>
                  <a:srgbClr val="000000"/>
                </a:solidFill>
                <a:latin typeface="+mn-lt"/>
                <a:cs typeface="Arial"/>
              </a:rPr>
              <a:t>- medii lunare </a:t>
            </a:r>
            <a:r>
              <a:rPr lang="ro-RO" sz="1200" b="1" i="0" u="none" strike="noStrike" baseline="0">
                <a:solidFill>
                  <a:srgbClr val="000000"/>
                </a:solidFill>
                <a:latin typeface="+mn-lt"/>
                <a:cs typeface="Arial"/>
              </a:rPr>
              <a:t>în </a:t>
            </a:r>
            <a:r>
              <a:rPr lang="en-US" sz="1200" b="1" i="0" u="none" strike="noStrike" baseline="0">
                <a:solidFill>
                  <a:srgbClr val="000000"/>
                </a:solidFill>
                <a:latin typeface="+mn-lt"/>
                <a:cs typeface="Arial"/>
              </a:rPr>
              <a:t>2015 -</a:t>
            </a:r>
          </a:p>
        </c:rich>
      </c:tx>
      <c:layout>
        <c:manualLayout>
          <c:xMode val="edge"/>
          <c:yMode val="edge"/>
          <c:x val="0.22187005804085216"/>
          <c:y val="0"/>
        </c:manualLayout>
      </c:layout>
      <c:overlay val="0"/>
      <c:spPr>
        <a:noFill/>
        <a:ln w="25360">
          <a:noFill/>
        </a:ln>
      </c:spPr>
    </c:title>
    <c:autoTitleDeleted val="0"/>
    <c:view3D>
      <c:rotX val="8"/>
      <c:hPercent val="28"/>
      <c:rotY val="19"/>
      <c:depthPercent val="170"/>
      <c:rAngAx val="1"/>
    </c:view3D>
    <c:floor>
      <c:thickness val="0"/>
      <c:spPr>
        <a:solidFill>
          <a:srgbClr val="FFFFFF"/>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0.11155778156035316"/>
          <c:y val="0.19198869372097718"/>
          <c:w val="0.85978210732989635"/>
          <c:h val="0.66994125734283216"/>
        </c:manualLayout>
      </c:layout>
      <c:bar3DChart>
        <c:barDir val="col"/>
        <c:grouping val="standard"/>
        <c:varyColors val="0"/>
        <c:ser>
          <c:idx val="0"/>
          <c:order val="0"/>
          <c:tx>
            <c:v> Gara fluviala Cernavodă</c:v>
          </c:tx>
          <c:spPr>
            <a:solidFill>
              <a:srgbClr val="9999FF"/>
            </a:solidFill>
            <a:ln w="12680">
              <a:solidFill>
                <a:srgbClr val="000000"/>
              </a:solidFill>
              <a:prstDash val="solid"/>
            </a:ln>
          </c:spPr>
          <c:invertIfNegative val="0"/>
          <c:cat>
            <c:strRef>
              <c:f>'apa bruta'!$B$2:$M$2</c:f>
              <c:strCache>
                <c:ptCount val="12"/>
                <c:pt idx="0">
                  <c:v>Ian</c:v>
                </c:pt>
                <c:pt idx="1">
                  <c:v>Feb</c:v>
                </c:pt>
                <c:pt idx="2">
                  <c:v>Mar</c:v>
                </c:pt>
                <c:pt idx="3">
                  <c:v>Apr</c:v>
                </c:pt>
                <c:pt idx="4">
                  <c:v>Mai</c:v>
                </c:pt>
                <c:pt idx="5">
                  <c:v>Iun</c:v>
                </c:pt>
                <c:pt idx="6">
                  <c:v>Iul</c:v>
                </c:pt>
                <c:pt idx="7">
                  <c:v>Aug</c:v>
                </c:pt>
                <c:pt idx="8">
                  <c:v>Sep</c:v>
                </c:pt>
                <c:pt idx="9">
                  <c:v>Oct</c:v>
                </c:pt>
                <c:pt idx="10">
                  <c:v>Nov</c:v>
                </c:pt>
                <c:pt idx="11">
                  <c:v>Dec</c:v>
                </c:pt>
              </c:strCache>
            </c:strRef>
          </c:cat>
          <c:val>
            <c:numRef>
              <c:f>'apa bruta'!$B$3:$M$3</c:f>
              <c:numCache>
                <c:formatCode>General</c:formatCode>
                <c:ptCount val="12"/>
                <c:pt idx="0">
                  <c:v>0.23</c:v>
                </c:pt>
                <c:pt idx="1">
                  <c:v>0.20699999999999999</c:v>
                </c:pt>
                <c:pt idx="2">
                  <c:v>0.253</c:v>
                </c:pt>
                <c:pt idx="3">
                  <c:v>0.23</c:v>
                </c:pt>
                <c:pt idx="4">
                  <c:v>0.217</c:v>
                </c:pt>
                <c:pt idx="5">
                  <c:v>0.2</c:v>
                </c:pt>
                <c:pt idx="6">
                  <c:v>0.17</c:v>
                </c:pt>
                <c:pt idx="7">
                  <c:v>0.21199999999999999</c:v>
                </c:pt>
                <c:pt idx="8">
                  <c:v>0.17</c:v>
                </c:pt>
                <c:pt idx="9">
                  <c:v>0.224</c:v>
                </c:pt>
                <c:pt idx="10">
                  <c:v>0.20599999999999999</c:v>
                </c:pt>
                <c:pt idx="11">
                  <c:v>0.20200000000000001</c:v>
                </c:pt>
              </c:numCache>
            </c:numRef>
          </c:val>
        </c:ser>
        <c:ser>
          <c:idx val="1"/>
          <c:order val="1"/>
          <c:tx>
            <c:v>Cochileni</c:v>
          </c:tx>
          <c:spPr>
            <a:solidFill>
              <a:srgbClr val="993366"/>
            </a:solidFill>
            <a:ln w="12680">
              <a:solidFill>
                <a:srgbClr val="000000"/>
              </a:solidFill>
              <a:prstDash val="solid"/>
            </a:ln>
          </c:spPr>
          <c:invertIfNegative val="0"/>
          <c:cat>
            <c:strRef>
              <c:f>'apa bruta'!$B$2:$M$2</c:f>
              <c:strCache>
                <c:ptCount val="12"/>
                <c:pt idx="0">
                  <c:v>Ian</c:v>
                </c:pt>
                <c:pt idx="1">
                  <c:v>Feb</c:v>
                </c:pt>
                <c:pt idx="2">
                  <c:v>Mar</c:v>
                </c:pt>
                <c:pt idx="3">
                  <c:v>Apr</c:v>
                </c:pt>
                <c:pt idx="4">
                  <c:v>Mai</c:v>
                </c:pt>
                <c:pt idx="5">
                  <c:v>Iun</c:v>
                </c:pt>
                <c:pt idx="6">
                  <c:v>Iul</c:v>
                </c:pt>
                <c:pt idx="7">
                  <c:v>Aug</c:v>
                </c:pt>
                <c:pt idx="8">
                  <c:v>Sep</c:v>
                </c:pt>
                <c:pt idx="9">
                  <c:v>Oct</c:v>
                </c:pt>
                <c:pt idx="10">
                  <c:v>Nov</c:v>
                </c:pt>
                <c:pt idx="11">
                  <c:v>Dec</c:v>
                </c:pt>
              </c:strCache>
            </c:strRef>
          </c:cat>
          <c:val>
            <c:numRef>
              <c:f>'apa bruta'!$B$4:$M$4</c:f>
              <c:numCache>
                <c:formatCode>General</c:formatCode>
                <c:ptCount val="12"/>
                <c:pt idx="1">
                  <c:v>0.122</c:v>
                </c:pt>
                <c:pt idx="6">
                  <c:v>0.13200000000000001</c:v>
                </c:pt>
                <c:pt idx="9">
                  <c:v>0.17599999999999999</c:v>
                </c:pt>
              </c:numCache>
            </c:numRef>
          </c:val>
        </c:ser>
        <c:ser>
          <c:idx val="2"/>
          <c:order val="2"/>
          <c:tx>
            <c:v>Capidava</c:v>
          </c:tx>
          <c:invertIfNegative val="0"/>
          <c:val>
            <c:numRef>
              <c:f>'apa bruta'!$B$5:$M$5</c:f>
              <c:numCache>
                <c:formatCode>General</c:formatCode>
                <c:ptCount val="12"/>
                <c:pt idx="1">
                  <c:v>0.18099999999999999</c:v>
                </c:pt>
                <c:pt idx="2">
                  <c:v>0.14299999999999999</c:v>
                </c:pt>
                <c:pt idx="6">
                  <c:v>0.13100000000000001</c:v>
                </c:pt>
                <c:pt idx="8">
                  <c:v>0.436</c:v>
                </c:pt>
                <c:pt idx="9">
                  <c:v>0.16900000000000001</c:v>
                </c:pt>
                <c:pt idx="11">
                  <c:v>0.31900000000000001</c:v>
                </c:pt>
              </c:numCache>
            </c:numRef>
          </c:val>
        </c:ser>
        <c:ser>
          <c:idx val="3"/>
          <c:order val="3"/>
          <c:tx>
            <c:v>Fetești</c:v>
          </c:tx>
          <c:invertIfNegative val="0"/>
          <c:val>
            <c:numRef>
              <c:f>'apa bruta'!$B$6:$M$6</c:f>
              <c:numCache>
                <c:formatCode>General</c:formatCode>
                <c:ptCount val="12"/>
                <c:pt idx="2">
                  <c:v>0.28000000000000003</c:v>
                </c:pt>
                <c:pt idx="9">
                  <c:v>0.183</c:v>
                </c:pt>
              </c:numCache>
            </c:numRef>
          </c:val>
        </c:ser>
        <c:dLbls>
          <c:showLegendKey val="0"/>
          <c:showVal val="0"/>
          <c:showCatName val="0"/>
          <c:showSerName val="0"/>
          <c:showPercent val="0"/>
          <c:showBubbleSize val="0"/>
        </c:dLbls>
        <c:gapWidth val="340"/>
        <c:gapDepth val="130"/>
        <c:shape val="box"/>
        <c:axId val="108209280"/>
        <c:axId val="108210816"/>
        <c:axId val="102747200"/>
      </c:bar3DChart>
      <c:catAx>
        <c:axId val="108209280"/>
        <c:scaling>
          <c:orientation val="minMax"/>
        </c:scaling>
        <c:delete val="0"/>
        <c:axPos val="b"/>
        <c:numFmt formatCode="General" sourceLinked="1"/>
        <c:majorTickMark val="out"/>
        <c:minorTickMark val="none"/>
        <c:tickLblPos val="low"/>
        <c:spPr>
          <a:ln w="3170">
            <a:solidFill>
              <a:srgbClr val="000000"/>
            </a:solidFill>
            <a:prstDash val="solid"/>
          </a:ln>
        </c:spPr>
        <c:txPr>
          <a:bodyPr rot="0" vert="horz"/>
          <a:lstStyle/>
          <a:p>
            <a:pPr rtl="0">
              <a:defRPr sz="824" b="0" i="0" u="none" strike="noStrike" baseline="0">
                <a:solidFill>
                  <a:srgbClr val="000000"/>
                </a:solidFill>
                <a:latin typeface="Arial"/>
                <a:ea typeface="Arial"/>
                <a:cs typeface="Arial"/>
              </a:defRPr>
            </a:pPr>
            <a:endParaRPr lang="en-US"/>
          </a:p>
        </c:txPr>
        <c:crossAx val="108210816"/>
        <c:crosses val="autoZero"/>
        <c:auto val="1"/>
        <c:lblAlgn val="ctr"/>
        <c:lblOffset val="100"/>
        <c:tickLblSkip val="1"/>
        <c:tickMarkSkip val="1"/>
        <c:noMultiLvlLbl val="0"/>
      </c:catAx>
      <c:valAx>
        <c:axId val="108210816"/>
        <c:scaling>
          <c:orientation val="minMax"/>
        </c:scaling>
        <c:delete val="0"/>
        <c:axPos val="l"/>
        <c:majorGridlines>
          <c:spPr>
            <a:ln w="3170">
              <a:solidFill>
                <a:srgbClr val="000000"/>
              </a:solidFill>
              <a:prstDash val="solid"/>
            </a:ln>
          </c:spPr>
        </c:majorGridlines>
        <c:title>
          <c:tx>
            <c:rich>
              <a:bodyPr/>
              <a:lstStyle/>
              <a:p>
                <a:pPr>
                  <a:defRPr sz="1100" b="1" i="0" u="none" strike="noStrike" baseline="0">
                    <a:solidFill>
                      <a:srgbClr val="000000"/>
                    </a:solidFill>
                    <a:latin typeface="+mn-lt"/>
                    <a:ea typeface="Arial"/>
                    <a:cs typeface="Arial"/>
                  </a:defRPr>
                </a:pPr>
                <a:r>
                  <a:rPr lang="en-US" sz="1100">
                    <a:latin typeface="+mn-lt"/>
                  </a:rPr>
                  <a:t>Bq/l</a:t>
                </a:r>
              </a:p>
            </c:rich>
          </c:tx>
          <c:layout>
            <c:manualLayout>
              <c:xMode val="edge"/>
              <c:yMode val="edge"/>
              <c:x val="2.954327443128707E-2"/>
              <c:y val="0.46212117376003242"/>
            </c:manualLayout>
          </c:layout>
          <c:overlay val="0"/>
          <c:spPr>
            <a:noFill/>
            <a:ln w="25360">
              <a:noFill/>
            </a:ln>
          </c:spPr>
        </c:title>
        <c:numFmt formatCode="#,##0.0" sourceLinked="0"/>
        <c:majorTickMark val="out"/>
        <c:minorTickMark val="none"/>
        <c:tickLblPos val="nextTo"/>
        <c:spPr>
          <a:ln w="3170">
            <a:solidFill>
              <a:srgbClr val="000000"/>
            </a:solidFill>
            <a:prstDash val="solid"/>
          </a:ln>
        </c:spPr>
        <c:txPr>
          <a:bodyPr rot="0" vert="horz"/>
          <a:lstStyle/>
          <a:p>
            <a:pPr>
              <a:defRPr sz="824" b="0" i="0" u="none" strike="noStrike" baseline="0">
                <a:solidFill>
                  <a:srgbClr val="000000"/>
                </a:solidFill>
                <a:latin typeface="Arial"/>
                <a:ea typeface="Arial"/>
                <a:cs typeface="Arial"/>
              </a:defRPr>
            </a:pPr>
            <a:endParaRPr lang="en-US"/>
          </a:p>
        </c:txPr>
        <c:crossAx val="108209280"/>
        <c:crosses val="autoZero"/>
        <c:crossBetween val="between"/>
      </c:valAx>
      <c:serAx>
        <c:axId val="102747200"/>
        <c:scaling>
          <c:orientation val="minMax"/>
        </c:scaling>
        <c:delete val="1"/>
        <c:axPos val="b"/>
        <c:majorTickMark val="out"/>
        <c:minorTickMark val="none"/>
        <c:tickLblPos val="nextTo"/>
        <c:crossAx val="108210816"/>
        <c:crosses val="autoZero"/>
      </c:serAx>
      <c:spPr>
        <a:noFill/>
        <a:ln w="25360">
          <a:noFill/>
        </a:ln>
      </c:spPr>
    </c:plotArea>
    <c:legend>
      <c:legendPos val="r"/>
      <c:layout>
        <c:manualLayout>
          <c:xMode val="edge"/>
          <c:yMode val="edge"/>
          <c:x val="5.0713069886481922E-2"/>
          <c:y val="0.88330266409006564"/>
          <c:w val="0.89956739855418544"/>
          <c:h val="0.11669733590993434"/>
        </c:manualLayout>
      </c:layout>
      <c:overlay val="0"/>
      <c:spPr>
        <a:solidFill>
          <a:srgbClr val="FFFFFF"/>
        </a:solidFill>
        <a:ln w="25360">
          <a:noFill/>
        </a:ln>
      </c:spPr>
      <c:txPr>
        <a:bodyPr/>
        <a:lstStyle/>
        <a:p>
          <a:pPr>
            <a:defRPr sz="1050" b="0" i="0" u="none" strike="noStrike" baseline="0">
              <a:solidFill>
                <a:srgbClr val="000000"/>
              </a:solidFill>
              <a:latin typeface="Calibri" panose="020F0502020204030204" pitchFamily="34" charset="0"/>
              <a:ea typeface="Arial"/>
              <a:cs typeface="Arial"/>
            </a:defRPr>
          </a:pPr>
          <a:endParaRPr lang="en-US"/>
        </a:p>
      </c:txPr>
    </c:legend>
    <c:plotVisOnly val="1"/>
    <c:dispBlanksAs val="gap"/>
    <c:showDLblsOverMax val="0"/>
  </c:chart>
  <c:spPr>
    <a:solidFill>
      <a:srgbClr val="FFFFFF"/>
    </a:solidFill>
    <a:ln w="3170">
      <a:solidFill>
        <a:srgbClr val="000000"/>
      </a:solidFill>
      <a:prstDash val="solid"/>
    </a:ln>
  </c:spPr>
  <c:txPr>
    <a:bodyPr/>
    <a:lstStyle/>
    <a:p>
      <a:pPr>
        <a:defRPr sz="799" b="0" i="0" u="none" strike="noStrike" baseline="0">
          <a:solidFill>
            <a:srgbClr val="000000"/>
          </a:solidFill>
          <a:latin typeface="Arial"/>
          <a:ea typeface="Arial"/>
          <a:cs typeface="Arial"/>
        </a:defRPr>
      </a:pPr>
      <a:endParaRPr lang="en-US"/>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mn-lt"/>
                <a:cs typeface="Arial" panose="020B0604020202020204" pitchFamily="34" charset="0"/>
              </a:defRPr>
            </a:pPr>
            <a:r>
              <a:rPr lang="ro-RO" sz="1200">
                <a:latin typeface="+mn-lt"/>
                <a:cs typeface="Arial" panose="020B0604020202020204" pitchFamily="34" charset="0"/>
              </a:rPr>
              <a:t>Figura </a:t>
            </a:r>
            <a:r>
              <a:rPr lang="ro-RO" sz="1200" b="1" i="0" u="none" strike="noStrike" kern="1200" baseline="0">
                <a:solidFill>
                  <a:sysClr val="windowText" lastClr="000000"/>
                </a:solidFill>
                <a:latin typeface="+mn-lt"/>
                <a:ea typeface="+mn-ea"/>
                <a:cs typeface="Arial" panose="020B0604020202020204" pitchFamily="34" charset="0"/>
              </a:rPr>
              <a:t>IX</a:t>
            </a:r>
            <a:r>
              <a:rPr lang="ro-RO" sz="1200">
                <a:latin typeface="+mn-lt"/>
                <a:cs typeface="Arial" panose="020B0604020202020204" pitchFamily="34" charset="0"/>
              </a:rPr>
              <a:t>.25. Medii și</a:t>
            </a:r>
            <a:r>
              <a:rPr lang="ro-RO" sz="1200" baseline="0">
                <a:latin typeface="+mn-lt"/>
                <a:cs typeface="Arial" panose="020B0604020202020204" pitchFamily="34" charset="0"/>
              </a:rPr>
              <a:t> maxime </a:t>
            </a:r>
            <a:r>
              <a:rPr lang="ro-RO" sz="1200">
                <a:latin typeface="+mn-lt"/>
                <a:cs typeface="Arial" panose="020B0604020202020204" pitchFamily="34" charset="0"/>
              </a:rPr>
              <a:t>anuale ale activității beta globale a apei de suprafaţă din Dunăre -măsurare imediată</a:t>
            </a:r>
            <a:r>
              <a:rPr lang="ro-RO" sz="1200" baseline="0">
                <a:latin typeface="+mn-lt"/>
                <a:cs typeface="Arial" panose="020B0604020202020204" pitchFamily="34" charset="0"/>
              </a:rPr>
              <a:t> </a:t>
            </a:r>
          </a:p>
        </c:rich>
      </c:tx>
      <c:overlay val="0"/>
    </c:title>
    <c:autoTitleDeleted val="0"/>
    <c:view3D>
      <c:rotX val="0"/>
      <c:rotY val="20"/>
      <c:rAngAx val="0"/>
      <c:perspective val="0"/>
    </c:view3D>
    <c:floor>
      <c:thickness val="0"/>
    </c:floor>
    <c:sideWall>
      <c:thickness val="0"/>
    </c:sideWall>
    <c:backWall>
      <c:thickness val="0"/>
      <c:spPr>
        <a:scene3d>
          <a:camera prst="orthographicFront"/>
          <a:lightRig rig="threePt" dir="t"/>
        </a:scene3d>
        <a:sp3d/>
      </c:spPr>
    </c:backWall>
    <c:plotArea>
      <c:layout>
        <c:manualLayout>
          <c:layoutTarget val="inner"/>
          <c:xMode val="edge"/>
          <c:yMode val="edge"/>
          <c:x val="9.1048118985126852E-2"/>
          <c:y val="0.17481175508799107"/>
          <c:w val="0.90895188101487312"/>
          <c:h val="0.450935157695452"/>
        </c:manualLayout>
      </c:layout>
      <c:bar3DChart>
        <c:barDir val="col"/>
        <c:grouping val="clustered"/>
        <c:varyColors val="0"/>
        <c:ser>
          <c:idx val="0"/>
          <c:order val="0"/>
          <c:tx>
            <c:strRef>
              <c:f>Foaie1!$B$1</c:f>
              <c:strCache>
                <c:ptCount val="1"/>
                <c:pt idx="0">
                  <c:v>medie Dunăre Gara fluvială Cernavodă</c:v>
                </c:pt>
              </c:strCache>
            </c:strRef>
          </c:tx>
          <c:invertIfNegative val="0"/>
          <c:cat>
            <c:numRef>
              <c:f>Foaie1!$A$2:$A$8</c:f>
              <c:numCache>
                <c:formatCode>General</c:formatCode>
                <c:ptCount val="6"/>
                <c:pt idx="0">
                  <c:v>2010</c:v>
                </c:pt>
                <c:pt idx="1">
                  <c:v>2011</c:v>
                </c:pt>
                <c:pt idx="2">
                  <c:v>2012</c:v>
                </c:pt>
                <c:pt idx="3">
                  <c:v>2013</c:v>
                </c:pt>
                <c:pt idx="4">
                  <c:v>2014</c:v>
                </c:pt>
                <c:pt idx="5">
                  <c:v>2015</c:v>
                </c:pt>
              </c:numCache>
            </c:numRef>
          </c:cat>
          <c:val>
            <c:numRef>
              <c:f>Foaie1!$B$2:$B$8</c:f>
              <c:numCache>
                <c:formatCode>General</c:formatCode>
                <c:ptCount val="6"/>
                <c:pt idx="0">
                  <c:v>0.17499999999999999</c:v>
                </c:pt>
                <c:pt idx="1">
                  <c:v>0.17399999999999999</c:v>
                </c:pt>
                <c:pt idx="2">
                  <c:v>0.20100000000000001</c:v>
                </c:pt>
                <c:pt idx="3">
                  <c:v>0.217</c:v>
                </c:pt>
                <c:pt idx="4">
                  <c:v>0.19500000000000001</c:v>
                </c:pt>
                <c:pt idx="5">
                  <c:v>0.21</c:v>
                </c:pt>
              </c:numCache>
            </c:numRef>
          </c:val>
        </c:ser>
        <c:ser>
          <c:idx val="1"/>
          <c:order val="1"/>
          <c:tx>
            <c:strRef>
              <c:f>Foaie1!$C$1</c:f>
              <c:strCache>
                <c:ptCount val="1"/>
                <c:pt idx="0">
                  <c:v>maximă Dunăre Gara fluvială Cernavodă</c:v>
                </c:pt>
              </c:strCache>
            </c:strRef>
          </c:tx>
          <c:invertIfNegative val="0"/>
          <c:cat>
            <c:numRef>
              <c:f>Foaie1!$A$2:$A$8</c:f>
              <c:numCache>
                <c:formatCode>General</c:formatCode>
                <c:ptCount val="6"/>
                <c:pt idx="0">
                  <c:v>2010</c:v>
                </c:pt>
                <c:pt idx="1">
                  <c:v>2011</c:v>
                </c:pt>
                <c:pt idx="2">
                  <c:v>2012</c:v>
                </c:pt>
                <c:pt idx="3">
                  <c:v>2013</c:v>
                </c:pt>
                <c:pt idx="4">
                  <c:v>2014</c:v>
                </c:pt>
                <c:pt idx="5">
                  <c:v>2015</c:v>
                </c:pt>
              </c:numCache>
            </c:numRef>
          </c:cat>
          <c:val>
            <c:numRef>
              <c:f>Foaie1!$C$2:$C$8</c:f>
              <c:numCache>
                <c:formatCode>General</c:formatCode>
                <c:ptCount val="6"/>
                <c:pt idx="0">
                  <c:v>0.39400000000000002</c:v>
                </c:pt>
                <c:pt idx="1">
                  <c:v>0.32</c:v>
                </c:pt>
                <c:pt idx="2">
                  <c:v>0.49099999999999999</c:v>
                </c:pt>
                <c:pt idx="3">
                  <c:v>0.56799999999999995</c:v>
                </c:pt>
                <c:pt idx="4">
                  <c:v>0.44</c:v>
                </c:pt>
                <c:pt idx="5">
                  <c:v>0.52400000000000002</c:v>
                </c:pt>
              </c:numCache>
            </c:numRef>
          </c:val>
        </c:ser>
        <c:ser>
          <c:idx val="2"/>
          <c:order val="2"/>
          <c:tx>
            <c:strRef>
              <c:f>Foaie1!$D$1</c:f>
              <c:strCache>
                <c:ptCount val="1"/>
                <c:pt idx="0">
                  <c:v>medie Dunăre Cochirleni</c:v>
                </c:pt>
              </c:strCache>
            </c:strRef>
          </c:tx>
          <c:invertIfNegative val="0"/>
          <c:cat>
            <c:numRef>
              <c:f>Foaie1!$A$2:$A$8</c:f>
              <c:numCache>
                <c:formatCode>General</c:formatCode>
                <c:ptCount val="6"/>
                <c:pt idx="0">
                  <c:v>2010</c:v>
                </c:pt>
                <c:pt idx="1">
                  <c:v>2011</c:v>
                </c:pt>
                <c:pt idx="2">
                  <c:v>2012</c:v>
                </c:pt>
                <c:pt idx="3">
                  <c:v>2013</c:v>
                </c:pt>
                <c:pt idx="4">
                  <c:v>2014</c:v>
                </c:pt>
                <c:pt idx="5">
                  <c:v>2015</c:v>
                </c:pt>
              </c:numCache>
            </c:numRef>
          </c:cat>
          <c:val>
            <c:numRef>
              <c:f>Foaie1!$D$2:$D$8</c:f>
              <c:numCache>
                <c:formatCode>0.00</c:formatCode>
                <c:ptCount val="6"/>
                <c:pt idx="0">
                  <c:v>0.17199999999999999</c:v>
                </c:pt>
                <c:pt idx="1">
                  <c:v>0.253</c:v>
                </c:pt>
                <c:pt idx="2">
                  <c:v>0.223</c:v>
                </c:pt>
                <c:pt idx="3">
                  <c:v>0.16</c:v>
                </c:pt>
                <c:pt idx="4">
                  <c:v>0.19500000000000001</c:v>
                </c:pt>
                <c:pt idx="5">
                  <c:v>0.14299999999999999</c:v>
                </c:pt>
              </c:numCache>
            </c:numRef>
          </c:val>
        </c:ser>
        <c:ser>
          <c:idx val="3"/>
          <c:order val="3"/>
          <c:tx>
            <c:strRef>
              <c:f>Foaie1!$E$1</c:f>
              <c:strCache>
                <c:ptCount val="1"/>
                <c:pt idx="0">
                  <c:v>maximă Dunăre Cochirleni</c:v>
                </c:pt>
              </c:strCache>
            </c:strRef>
          </c:tx>
          <c:invertIfNegative val="0"/>
          <c:cat>
            <c:numRef>
              <c:f>Foaie1!$A$2:$A$8</c:f>
              <c:numCache>
                <c:formatCode>General</c:formatCode>
                <c:ptCount val="6"/>
                <c:pt idx="0">
                  <c:v>2010</c:v>
                </c:pt>
                <c:pt idx="1">
                  <c:v>2011</c:v>
                </c:pt>
                <c:pt idx="2">
                  <c:v>2012</c:v>
                </c:pt>
                <c:pt idx="3">
                  <c:v>2013</c:v>
                </c:pt>
                <c:pt idx="4">
                  <c:v>2014</c:v>
                </c:pt>
                <c:pt idx="5">
                  <c:v>2015</c:v>
                </c:pt>
              </c:numCache>
            </c:numRef>
          </c:cat>
          <c:val>
            <c:numRef>
              <c:f>Foaie1!$E$2:$E$8</c:f>
              <c:numCache>
                <c:formatCode>0.00</c:formatCode>
                <c:ptCount val="6"/>
                <c:pt idx="0">
                  <c:v>0.17199999999999999</c:v>
                </c:pt>
                <c:pt idx="1">
                  <c:v>0.27400000000000002</c:v>
                </c:pt>
                <c:pt idx="2">
                  <c:v>0.25800000000000001</c:v>
                </c:pt>
                <c:pt idx="3">
                  <c:v>0.246</c:v>
                </c:pt>
                <c:pt idx="4">
                  <c:v>0.28499999999999998</c:v>
                </c:pt>
                <c:pt idx="5">
                  <c:v>0.17599999999999999</c:v>
                </c:pt>
              </c:numCache>
            </c:numRef>
          </c:val>
        </c:ser>
        <c:ser>
          <c:idx val="4"/>
          <c:order val="4"/>
          <c:tx>
            <c:strRef>
              <c:f>Foaie1!$F$1</c:f>
              <c:strCache>
                <c:ptCount val="1"/>
                <c:pt idx="0">
                  <c:v>medie Dunăre Capidava</c:v>
                </c:pt>
              </c:strCache>
            </c:strRef>
          </c:tx>
          <c:invertIfNegative val="0"/>
          <c:cat>
            <c:numRef>
              <c:f>Foaie1!$A$2:$A$8</c:f>
              <c:numCache>
                <c:formatCode>General</c:formatCode>
                <c:ptCount val="6"/>
                <c:pt idx="0">
                  <c:v>2010</c:v>
                </c:pt>
                <c:pt idx="1">
                  <c:v>2011</c:v>
                </c:pt>
                <c:pt idx="2">
                  <c:v>2012</c:v>
                </c:pt>
                <c:pt idx="3">
                  <c:v>2013</c:v>
                </c:pt>
                <c:pt idx="4">
                  <c:v>2014</c:v>
                </c:pt>
                <c:pt idx="5">
                  <c:v>2015</c:v>
                </c:pt>
              </c:numCache>
            </c:numRef>
          </c:cat>
          <c:val>
            <c:numRef>
              <c:f>Foaie1!$F$2:$F$8</c:f>
              <c:numCache>
                <c:formatCode>0.00</c:formatCode>
                <c:ptCount val="6"/>
                <c:pt idx="0">
                  <c:v>0.185</c:v>
                </c:pt>
                <c:pt idx="1">
                  <c:v>0.185</c:v>
                </c:pt>
                <c:pt idx="2">
                  <c:v>0.25</c:v>
                </c:pt>
                <c:pt idx="3">
                  <c:v>0.21099999999999999</c:v>
                </c:pt>
                <c:pt idx="4">
                  <c:v>0.21</c:v>
                </c:pt>
                <c:pt idx="5">
                  <c:v>0.23</c:v>
                </c:pt>
              </c:numCache>
            </c:numRef>
          </c:val>
        </c:ser>
        <c:ser>
          <c:idx val="5"/>
          <c:order val="5"/>
          <c:tx>
            <c:strRef>
              <c:f>Foaie1!$G$1</c:f>
              <c:strCache>
                <c:ptCount val="1"/>
                <c:pt idx="0">
                  <c:v>maximă Dunăre Capidava</c:v>
                </c:pt>
              </c:strCache>
            </c:strRef>
          </c:tx>
          <c:invertIfNegative val="0"/>
          <c:cat>
            <c:numRef>
              <c:f>Foaie1!$A$2:$A$8</c:f>
              <c:numCache>
                <c:formatCode>General</c:formatCode>
                <c:ptCount val="6"/>
                <c:pt idx="0">
                  <c:v>2010</c:v>
                </c:pt>
                <c:pt idx="1">
                  <c:v>2011</c:v>
                </c:pt>
                <c:pt idx="2">
                  <c:v>2012</c:v>
                </c:pt>
                <c:pt idx="3">
                  <c:v>2013</c:v>
                </c:pt>
                <c:pt idx="4">
                  <c:v>2014</c:v>
                </c:pt>
                <c:pt idx="5">
                  <c:v>2015</c:v>
                </c:pt>
              </c:numCache>
            </c:numRef>
          </c:cat>
          <c:val>
            <c:numRef>
              <c:f>Foaie1!$G$2:$G$8</c:f>
              <c:numCache>
                <c:formatCode>0.00</c:formatCode>
                <c:ptCount val="6"/>
                <c:pt idx="0">
                  <c:v>0.24099999999999999</c:v>
                </c:pt>
                <c:pt idx="1">
                  <c:v>0.26100000000000001</c:v>
                </c:pt>
                <c:pt idx="2">
                  <c:v>0.376</c:v>
                </c:pt>
                <c:pt idx="3">
                  <c:v>0.41499999999999998</c:v>
                </c:pt>
                <c:pt idx="4">
                  <c:v>0.314</c:v>
                </c:pt>
                <c:pt idx="5">
                  <c:v>0.436</c:v>
                </c:pt>
              </c:numCache>
            </c:numRef>
          </c:val>
        </c:ser>
        <c:ser>
          <c:idx val="6"/>
          <c:order val="6"/>
          <c:tx>
            <c:strRef>
              <c:f>Foaie1!$H$1</c:f>
              <c:strCache>
                <c:ptCount val="1"/>
                <c:pt idx="0">
                  <c:v>medie Dunăre Fetești</c:v>
                </c:pt>
              </c:strCache>
            </c:strRef>
          </c:tx>
          <c:invertIfNegative val="0"/>
          <c:cat>
            <c:numRef>
              <c:f>Foaie1!$A$2:$A$8</c:f>
              <c:numCache>
                <c:formatCode>General</c:formatCode>
                <c:ptCount val="6"/>
                <c:pt idx="0">
                  <c:v>2010</c:v>
                </c:pt>
                <c:pt idx="1">
                  <c:v>2011</c:v>
                </c:pt>
                <c:pt idx="2">
                  <c:v>2012</c:v>
                </c:pt>
                <c:pt idx="3">
                  <c:v>2013</c:v>
                </c:pt>
                <c:pt idx="4">
                  <c:v>2014</c:v>
                </c:pt>
                <c:pt idx="5">
                  <c:v>2015</c:v>
                </c:pt>
              </c:numCache>
            </c:numRef>
          </c:cat>
          <c:val>
            <c:numRef>
              <c:f>Foaie1!$H$2:$H$8</c:f>
              <c:numCache>
                <c:formatCode>General</c:formatCode>
                <c:ptCount val="6"/>
                <c:pt idx="0">
                  <c:v>0.17699999999999999</c:v>
                </c:pt>
                <c:pt idx="1">
                  <c:v>0.23100000000000001</c:v>
                </c:pt>
                <c:pt idx="2">
                  <c:v>0.22</c:v>
                </c:pt>
                <c:pt idx="3">
                  <c:v>0.186</c:v>
                </c:pt>
                <c:pt idx="4">
                  <c:v>0.22900000000000001</c:v>
                </c:pt>
                <c:pt idx="5">
                  <c:v>0.23200000000000001</c:v>
                </c:pt>
              </c:numCache>
            </c:numRef>
          </c:val>
        </c:ser>
        <c:ser>
          <c:idx val="7"/>
          <c:order val="7"/>
          <c:tx>
            <c:strRef>
              <c:f>Foaie1!$I$1</c:f>
              <c:strCache>
                <c:ptCount val="1"/>
                <c:pt idx="0">
                  <c:v>maximă Dunăre Fetești</c:v>
                </c:pt>
              </c:strCache>
            </c:strRef>
          </c:tx>
          <c:invertIfNegative val="0"/>
          <c:cat>
            <c:numRef>
              <c:f>Foaie1!$A$2:$A$8</c:f>
              <c:numCache>
                <c:formatCode>General</c:formatCode>
                <c:ptCount val="6"/>
                <c:pt idx="0">
                  <c:v>2010</c:v>
                </c:pt>
                <c:pt idx="1">
                  <c:v>2011</c:v>
                </c:pt>
                <c:pt idx="2">
                  <c:v>2012</c:v>
                </c:pt>
                <c:pt idx="3">
                  <c:v>2013</c:v>
                </c:pt>
                <c:pt idx="4">
                  <c:v>2014</c:v>
                </c:pt>
                <c:pt idx="5">
                  <c:v>2015</c:v>
                </c:pt>
              </c:numCache>
            </c:numRef>
          </c:cat>
          <c:val>
            <c:numRef>
              <c:f>Foaie1!$I$2:$I$8</c:f>
              <c:numCache>
                <c:formatCode>General</c:formatCode>
                <c:ptCount val="6"/>
                <c:pt idx="0">
                  <c:v>0.186</c:v>
                </c:pt>
                <c:pt idx="1">
                  <c:v>0.311</c:v>
                </c:pt>
                <c:pt idx="2">
                  <c:v>0.29299999999999998</c:v>
                </c:pt>
                <c:pt idx="3">
                  <c:v>0.24</c:v>
                </c:pt>
                <c:pt idx="4">
                  <c:v>0.433</c:v>
                </c:pt>
                <c:pt idx="5">
                  <c:v>0.28000000000000003</c:v>
                </c:pt>
              </c:numCache>
            </c:numRef>
          </c:val>
        </c:ser>
        <c:dLbls>
          <c:showLegendKey val="0"/>
          <c:showVal val="0"/>
          <c:showCatName val="0"/>
          <c:showSerName val="0"/>
          <c:showPercent val="0"/>
          <c:showBubbleSize val="0"/>
        </c:dLbls>
        <c:gapWidth val="150"/>
        <c:shape val="cylinder"/>
        <c:axId val="108808448"/>
        <c:axId val="108818432"/>
        <c:axId val="0"/>
      </c:bar3DChart>
      <c:catAx>
        <c:axId val="108808448"/>
        <c:scaling>
          <c:orientation val="minMax"/>
        </c:scaling>
        <c:delete val="0"/>
        <c:axPos val="b"/>
        <c:numFmt formatCode="General" sourceLinked="1"/>
        <c:majorTickMark val="none"/>
        <c:minorTickMark val="none"/>
        <c:tickLblPos val="nextTo"/>
        <c:txPr>
          <a:bodyPr rot="0" vert="horz"/>
          <a:lstStyle/>
          <a:p>
            <a:pPr>
              <a:defRPr/>
            </a:pPr>
            <a:endParaRPr lang="en-US"/>
          </a:p>
        </c:txPr>
        <c:crossAx val="108818432"/>
        <c:crossesAt val="0"/>
        <c:auto val="1"/>
        <c:lblAlgn val="ctr"/>
        <c:lblOffset val="100"/>
        <c:noMultiLvlLbl val="0"/>
      </c:catAx>
      <c:valAx>
        <c:axId val="108818432"/>
        <c:scaling>
          <c:orientation val="minMax"/>
          <c:max val="0.60000000000000009"/>
          <c:min val="0"/>
        </c:scaling>
        <c:delete val="0"/>
        <c:axPos val="l"/>
        <c:majorGridlines/>
        <c:title>
          <c:tx>
            <c:rich>
              <a:bodyPr rot="-5400000" vert="horz"/>
              <a:lstStyle/>
              <a:p>
                <a:pPr>
                  <a:defRPr sz="1100"/>
                </a:pPr>
                <a:r>
                  <a:rPr lang="ro-RO" sz="1100"/>
                  <a:t>Bq/l</a:t>
                </a:r>
              </a:p>
              <a:p>
                <a:pPr>
                  <a:defRPr sz="1100"/>
                </a:pPr>
                <a:endParaRPr lang="vi-VN" sz="1100"/>
              </a:p>
            </c:rich>
          </c:tx>
          <c:layout>
            <c:manualLayout>
              <c:xMode val="edge"/>
              <c:yMode val="edge"/>
              <c:x val="3.2656417947756533E-2"/>
              <c:y val="0.32514353887582231"/>
            </c:manualLayout>
          </c:layout>
          <c:overlay val="0"/>
        </c:title>
        <c:numFmt formatCode="#,##0.0" sourceLinked="0"/>
        <c:majorTickMark val="none"/>
        <c:minorTickMark val="none"/>
        <c:tickLblPos val="nextTo"/>
        <c:spPr>
          <a:ln cmpd="dbl"/>
        </c:spPr>
        <c:txPr>
          <a:bodyPr rot="0" vert="horz"/>
          <a:lstStyle/>
          <a:p>
            <a:pPr>
              <a:defRPr sz="900">
                <a:latin typeface="Arial" panose="020B0604020202020204" pitchFamily="34" charset="0"/>
                <a:cs typeface="Arial" panose="020B0604020202020204" pitchFamily="34" charset="0"/>
              </a:defRPr>
            </a:pPr>
            <a:endParaRPr lang="en-US"/>
          </a:p>
        </c:txPr>
        <c:crossAx val="108808448"/>
        <c:crosses val="autoZero"/>
        <c:crossBetween val="between"/>
      </c:valAx>
    </c:plotArea>
    <c:legend>
      <c:legendPos val="b"/>
      <c:legendEntry>
        <c:idx val="0"/>
        <c:txPr>
          <a:bodyPr/>
          <a:lstStyle/>
          <a:p>
            <a:pPr>
              <a:defRPr sz="1000" baseline="0">
                <a:latin typeface="Calibri" panose="020F0502020204030204" pitchFamily="34" charset="0"/>
              </a:defRPr>
            </a:pPr>
            <a:endParaRPr lang="en-US"/>
          </a:p>
        </c:txPr>
      </c:legendEntry>
      <c:legendEntry>
        <c:idx val="2"/>
        <c:txPr>
          <a:bodyPr/>
          <a:lstStyle/>
          <a:p>
            <a:pPr>
              <a:defRPr sz="1000" baseline="0">
                <a:latin typeface="Calibri" panose="020F0502020204030204" pitchFamily="34" charset="0"/>
              </a:defRPr>
            </a:pPr>
            <a:endParaRPr lang="en-US"/>
          </a:p>
        </c:txPr>
      </c:legendEntry>
      <c:layout>
        <c:manualLayout>
          <c:xMode val="edge"/>
          <c:yMode val="edge"/>
          <c:x val="9.1534391534391538E-2"/>
          <c:y val="0.72722122605961381"/>
          <c:w val="0.83576786235053957"/>
          <c:h val="0.24463709363062291"/>
        </c:manualLayout>
      </c:layout>
      <c:overlay val="0"/>
      <c:txPr>
        <a:bodyPr/>
        <a:lstStyle/>
        <a:p>
          <a:pPr>
            <a:defRPr sz="1000">
              <a:latin typeface="Calibri" panose="020F0502020204030204" pitchFamily="34" charset="0"/>
            </a:defRPr>
          </a:pPr>
          <a:endParaRPr lang="en-US"/>
        </a:p>
      </c:txPr>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latin typeface="Calibri" panose="020F0502020204030204" pitchFamily="34" charset="0"/>
              </a:defRPr>
            </a:pPr>
            <a:r>
              <a:rPr lang="vi-VN" sz="1200" b="1">
                <a:latin typeface="Calibri" panose="020F0502020204030204" pitchFamily="34" charset="0"/>
              </a:rPr>
              <a:t>Figura </a:t>
            </a:r>
            <a:r>
              <a:rPr lang="ro-RO" sz="1200" b="1" i="0" u="none" strike="noStrike" kern="1200" baseline="0">
                <a:solidFill>
                  <a:srgbClr val="000000"/>
                </a:solidFill>
                <a:latin typeface="Calibri" panose="020F0502020204030204" pitchFamily="34" charset="0"/>
                <a:cs typeface="Arial"/>
              </a:rPr>
              <a:t>IX</a:t>
            </a:r>
            <a:r>
              <a:rPr lang="vi-VN" sz="1200" b="1">
                <a:latin typeface="Calibri" panose="020F0502020204030204" pitchFamily="34" charset="0"/>
              </a:rPr>
              <a:t>.2</a:t>
            </a:r>
            <a:r>
              <a:rPr lang="ro-RO" sz="1200" b="1">
                <a:latin typeface="Calibri" panose="020F0502020204030204" pitchFamily="34" charset="0"/>
              </a:rPr>
              <a:t>6</a:t>
            </a:r>
            <a:r>
              <a:rPr lang="vi-VN" sz="1200" b="1">
                <a:latin typeface="Calibri" panose="020F0502020204030204" pitchFamily="34" charset="0"/>
              </a:rPr>
              <a:t>.</a:t>
            </a:r>
            <a:r>
              <a:rPr lang="ro-RO" sz="1200" b="1">
                <a:latin typeface="Calibri" panose="020F0502020204030204" pitchFamily="34" charset="0"/>
              </a:rPr>
              <a:t> </a:t>
            </a:r>
            <a:r>
              <a:rPr lang="vi-VN" sz="1200" b="1">
                <a:latin typeface="Calibri" panose="020F0502020204030204" pitchFamily="34" charset="0"/>
              </a:rPr>
              <a:t>Concentraţii de Cs-137 în Dunăre 
- probe lunare </a:t>
            </a:r>
            <a:r>
              <a:rPr lang="ro-RO" sz="1200" b="1">
                <a:latin typeface="Calibri" panose="020F0502020204030204" pitchFamily="34" charset="0"/>
              </a:rPr>
              <a:t>în </a:t>
            </a:r>
            <a:r>
              <a:rPr lang="en-US" sz="1200" b="1">
                <a:latin typeface="Calibri" panose="020F0502020204030204" pitchFamily="34" charset="0"/>
              </a:rPr>
              <a:t>201</a:t>
            </a:r>
            <a:r>
              <a:rPr lang="ro-RO" sz="1200" b="1">
                <a:latin typeface="Calibri" panose="020F0502020204030204" pitchFamily="34" charset="0"/>
              </a:rPr>
              <a:t>5</a:t>
            </a:r>
            <a:endParaRPr lang="vi-VN" sz="1200" b="1">
              <a:latin typeface="Calibri" panose="020F0502020204030204" pitchFamily="34" charset="0"/>
            </a:endParaRPr>
          </a:p>
        </c:rich>
      </c:tx>
      <c:layout>
        <c:manualLayout>
          <c:xMode val="edge"/>
          <c:yMode val="edge"/>
          <c:x val="0.21221864951768488"/>
          <c:y val="2.0576131687242798E-2"/>
        </c:manualLayout>
      </c:layout>
      <c:overlay val="0"/>
      <c:spPr>
        <a:noFill/>
        <a:ln w="25399">
          <a:noFill/>
        </a:ln>
      </c:spPr>
    </c:title>
    <c:autoTitleDeleted val="0"/>
    <c:plotArea>
      <c:layout>
        <c:manualLayout>
          <c:layoutTarget val="inner"/>
          <c:xMode val="edge"/>
          <c:yMode val="edge"/>
          <c:x val="0.1274384531047543"/>
          <c:y val="0.23868312757201646"/>
          <c:w val="0.84326456028439478"/>
          <c:h val="0.50357017625761202"/>
        </c:manualLayout>
      </c:layout>
      <c:barChart>
        <c:barDir val="col"/>
        <c:grouping val="clustered"/>
        <c:varyColors val="0"/>
        <c:ser>
          <c:idx val="0"/>
          <c:order val="0"/>
          <c:tx>
            <c:strRef>
              <c:f>Sheet1!$A$2</c:f>
              <c:strCache>
                <c:ptCount val="1"/>
                <c:pt idx="0">
                  <c:v>Gară fluvială Cernavodă</c:v>
                </c:pt>
              </c:strCache>
            </c:strRef>
          </c:tx>
          <c:spPr>
            <a:solidFill>
              <a:srgbClr val="FF0000"/>
            </a:solidFill>
            <a:ln w="12700">
              <a:solidFill>
                <a:srgbClr val="000000"/>
              </a:solidFill>
              <a:prstDash val="solid"/>
            </a:ln>
          </c:spPr>
          <c:invertIfNegative val="0"/>
          <c:cat>
            <c:strRef>
              <c:f>Sheet1!$B$1:$M$1</c:f>
              <c:strCache>
                <c:ptCount val="12"/>
                <c:pt idx="0">
                  <c:v>ian</c:v>
                </c:pt>
                <c:pt idx="1">
                  <c:v>feb</c:v>
                </c:pt>
                <c:pt idx="2">
                  <c:v>mar</c:v>
                </c:pt>
                <c:pt idx="3">
                  <c:v>apr</c:v>
                </c:pt>
                <c:pt idx="4">
                  <c:v>mai</c:v>
                </c:pt>
                <c:pt idx="5">
                  <c:v>iun</c:v>
                </c:pt>
                <c:pt idx="6">
                  <c:v>iul</c:v>
                </c:pt>
                <c:pt idx="7">
                  <c:v>aug</c:v>
                </c:pt>
                <c:pt idx="8">
                  <c:v>sep</c:v>
                </c:pt>
                <c:pt idx="9">
                  <c:v>oct</c:v>
                </c:pt>
                <c:pt idx="10">
                  <c:v>nov</c:v>
                </c:pt>
                <c:pt idx="11">
                  <c:v>dec</c:v>
                </c:pt>
              </c:strCache>
            </c:strRef>
          </c:cat>
          <c:val>
            <c:numRef>
              <c:f>Sheet1!$B$2:$M$2</c:f>
              <c:numCache>
                <c:formatCode>General</c:formatCode>
                <c:ptCount val="12"/>
                <c:pt idx="0">
                  <c:v>5.1800000000000001E-4</c:v>
                </c:pt>
                <c:pt idx="1">
                  <c:v>7.8700000000000005E-4</c:v>
                </c:pt>
                <c:pt idx="2">
                  <c:v>1.0430000000000001E-3</c:v>
                </c:pt>
                <c:pt idx="4">
                  <c:v>9.1399999999999999E-4</c:v>
                </c:pt>
                <c:pt idx="5">
                  <c:v>6.0599999999999998E-4</c:v>
                </c:pt>
              </c:numCache>
            </c:numRef>
          </c:val>
        </c:ser>
        <c:ser>
          <c:idx val="2"/>
          <c:order val="1"/>
          <c:tx>
            <c:strRef>
              <c:f>Sheet1!$A$3</c:f>
              <c:strCache>
                <c:ptCount val="1"/>
                <c:pt idx="0">
                  <c:v>Capidava</c:v>
                </c:pt>
              </c:strCache>
            </c:strRef>
          </c:tx>
          <c:spPr>
            <a:solidFill>
              <a:srgbClr val="FFFFCC"/>
            </a:solidFill>
            <a:ln w="12700">
              <a:solidFill>
                <a:srgbClr val="000000"/>
              </a:solidFill>
              <a:prstDash val="solid"/>
            </a:ln>
          </c:spPr>
          <c:invertIfNegative val="0"/>
          <c:cat>
            <c:strRef>
              <c:f>Sheet1!$B$1:$M$1</c:f>
              <c:strCache>
                <c:ptCount val="12"/>
                <c:pt idx="0">
                  <c:v>ian</c:v>
                </c:pt>
                <c:pt idx="1">
                  <c:v>feb</c:v>
                </c:pt>
                <c:pt idx="2">
                  <c:v>mar</c:v>
                </c:pt>
                <c:pt idx="3">
                  <c:v>apr</c:v>
                </c:pt>
                <c:pt idx="4">
                  <c:v>mai</c:v>
                </c:pt>
                <c:pt idx="5">
                  <c:v>iun</c:v>
                </c:pt>
                <c:pt idx="6">
                  <c:v>iul</c:v>
                </c:pt>
                <c:pt idx="7">
                  <c:v>aug</c:v>
                </c:pt>
                <c:pt idx="8">
                  <c:v>sep</c:v>
                </c:pt>
                <c:pt idx="9">
                  <c:v>oct</c:v>
                </c:pt>
                <c:pt idx="10">
                  <c:v>nov</c:v>
                </c:pt>
                <c:pt idx="11">
                  <c:v>dec</c:v>
                </c:pt>
              </c:strCache>
            </c:strRef>
          </c:cat>
          <c:val>
            <c:numRef>
              <c:f>Sheet1!$B$3:$M$3</c:f>
              <c:numCache>
                <c:formatCode>General</c:formatCode>
                <c:ptCount val="12"/>
                <c:pt idx="8">
                  <c:v>8.8800000000000001E-4</c:v>
                </c:pt>
              </c:numCache>
            </c:numRef>
          </c:val>
        </c:ser>
        <c:ser>
          <c:idx val="3"/>
          <c:order val="2"/>
          <c:tx>
            <c:strRef>
              <c:f>Sheet1!$A$4</c:f>
              <c:strCache>
                <c:ptCount val="1"/>
                <c:pt idx="0">
                  <c:v>Cochirleni</c:v>
                </c:pt>
              </c:strCache>
            </c:strRef>
          </c:tx>
          <c:spPr>
            <a:solidFill>
              <a:srgbClr val="CCFFFF"/>
            </a:solidFill>
            <a:ln w="12700">
              <a:solidFill>
                <a:srgbClr val="000000"/>
              </a:solidFill>
              <a:prstDash val="solid"/>
            </a:ln>
          </c:spPr>
          <c:invertIfNegative val="0"/>
          <c:cat>
            <c:strRef>
              <c:f>Sheet1!$B$1:$M$1</c:f>
              <c:strCache>
                <c:ptCount val="12"/>
                <c:pt idx="0">
                  <c:v>ian</c:v>
                </c:pt>
                <c:pt idx="1">
                  <c:v>feb</c:v>
                </c:pt>
                <c:pt idx="2">
                  <c:v>mar</c:v>
                </c:pt>
                <c:pt idx="3">
                  <c:v>apr</c:v>
                </c:pt>
                <c:pt idx="4">
                  <c:v>mai</c:v>
                </c:pt>
                <c:pt idx="5">
                  <c:v>iun</c:v>
                </c:pt>
                <c:pt idx="6">
                  <c:v>iul</c:v>
                </c:pt>
                <c:pt idx="7">
                  <c:v>aug</c:v>
                </c:pt>
                <c:pt idx="8">
                  <c:v>sep</c:v>
                </c:pt>
                <c:pt idx="9">
                  <c:v>oct</c:v>
                </c:pt>
                <c:pt idx="10">
                  <c:v>nov</c:v>
                </c:pt>
                <c:pt idx="11">
                  <c:v>dec</c:v>
                </c:pt>
              </c:strCache>
            </c:strRef>
          </c:cat>
          <c:val>
            <c:numRef>
              <c:f>Sheet1!$B$4:$M$4</c:f>
              <c:numCache>
                <c:formatCode>General</c:formatCode>
                <c:ptCount val="12"/>
              </c:numCache>
            </c:numRef>
          </c:val>
        </c:ser>
        <c:ser>
          <c:idx val="4"/>
          <c:order val="3"/>
          <c:tx>
            <c:strRef>
              <c:f>Sheet1!$A$5</c:f>
              <c:strCache>
                <c:ptCount val="1"/>
                <c:pt idx="0">
                  <c:v>Braţ Borcea-Feteşti</c:v>
                </c:pt>
              </c:strCache>
            </c:strRef>
          </c:tx>
          <c:spPr>
            <a:solidFill>
              <a:srgbClr val="660066"/>
            </a:solidFill>
            <a:ln w="12700">
              <a:solidFill>
                <a:srgbClr val="000000"/>
              </a:solidFill>
              <a:prstDash val="solid"/>
            </a:ln>
          </c:spPr>
          <c:invertIfNegative val="0"/>
          <c:cat>
            <c:strRef>
              <c:f>Sheet1!$B$1:$M$1</c:f>
              <c:strCache>
                <c:ptCount val="12"/>
                <c:pt idx="0">
                  <c:v>ian</c:v>
                </c:pt>
                <c:pt idx="1">
                  <c:v>feb</c:v>
                </c:pt>
                <c:pt idx="2">
                  <c:v>mar</c:v>
                </c:pt>
                <c:pt idx="3">
                  <c:v>apr</c:v>
                </c:pt>
                <c:pt idx="4">
                  <c:v>mai</c:v>
                </c:pt>
                <c:pt idx="5">
                  <c:v>iun</c:v>
                </c:pt>
                <c:pt idx="6">
                  <c:v>iul</c:v>
                </c:pt>
                <c:pt idx="7">
                  <c:v>aug</c:v>
                </c:pt>
                <c:pt idx="8">
                  <c:v>sep</c:v>
                </c:pt>
                <c:pt idx="9">
                  <c:v>oct</c:v>
                </c:pt>
                <c:pt idx="10">
                  <c:v>nov</c:v>
                </c:pt>
                <c:pt idx="11">
                  <c:v>dec</c:v>
                </c:pt>
              </c:strCache>
            </c:strRef>
          </c:cat>
          <c:val>
            <c:numRef>
              <c:f>Sheet1!$B$5:$M$5</c:f>
              <c:numCache>
                <c:formatCode>General</c:formatCode>
                <c:ptCount val="12"/>
                <c:pt idx="1">
                  <c:v>1.952E-3</c:v>
                </c:pt>
              </c:numCache>
            </c:numRef>
          </c:val>
        </c:ser>
        <c:dLbls>
          <c:showLegendKey val="0"/>
          <c:showVal val="0"/>
          <c:showCatName val="0"/>
          <c:showSerName val="0"/>
          <c:showPercent val="0"/>
          <c:showBubbleSize val="0"/>
        </c:dLbls>
        <c:gapWidth val="150"/>
        <c:axId val="109419904"/>
        <c:axId val="109421696"/>
      </c:barChart>
      <c:catAx>
        <c:axId val="10941990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en-US"/>
          </a:p>
        </c:txPr>
        <c:crossAx val="109421696"/>
        <c:crosses val="autoZero"/>
        <c:auto val="1"/>
        <c:lblAlgn val="ctr"/>
        <c:lblOffset val="100"/>
        <c:tickLblSkip val="1"/>
        <c:tickMarkSkip val="1"/>
        <c:noMultiLvlLbl val="0"/>
      </c:catAx>
      <c:valAx>
        <c:axId val="109421696"/>
        <c:scaling>
          <c:orientation val="minMax"/>
        </c:scaling>
        <c:delete val="0"/>
        <c:axPos val="l"/>
        <c:majorGridlines>
          <c:spPr>
            <a:ln w="3175">
              <a:solidFill>
                <a:srgbClr val="000000"/>
              </a:solidFill>
              <a:prstDash val="solid"/>
            </a:ln>
          </c:spPr>
        </c:majorGridlines>
        <c:title>
          <c:tx>
            <c:rich>
              <a:bodyPr/>
              <a:lstStyle/>
              <a:p>
                <a:pPr>
                  <a:defRPr sz="1100" b="1">
                    <a:latin typeface="+mn-lt"/>
                  </a:defRPr>
                </a:pPr>
                <a:r>
                  <a:rPr lang="en-US" sz="1100" b="1">
                    <a:latin typeface="+mn-lt"/>
                  </a:rPr>
                  <a:t>Bq/</a:t>
                </a:r>
                <a:r>
                  <a:rPr lang="ro-RO" sz="1100" b="1">
                    <a:latin typeface="+mn-lt"/>
                  </a:rPr>
                  <a:t>l</a:t>
                </a:r>
                <a:endParaRPr lang="en-US" sz="1100" b="1">
                  <a:latin typeface="+mn-lt"/>
                </a:endParaRPr>
              </a:p>
            </c:rich>
          </c:tx>
          <c:layout>
            <c:manualLayout>
              <c:xMode val="edge"/>
              <c:yMode val="edge"/>
              <c:x val="1.8987341772151899E-2"/>
              <c:y val="0.3744856991690268"/>
            </c:manualLayout>
          </c:layout>
          <c:overlay val="0"/>
          <c:spPr>
            <a:noFill/>
            <a:ln w="25399">
              <a:noFill/>
            </a:ln>
          </c:spPr>
        </c:title>
        <c:numFmt formatCode="#,##0.000" sourceLinked="0"/>
        <c:majorTickMark val="out"/>
        <c:minorTickMark val="none"/>
        <c:tickLblPos val="nextTo"/>
        <c:spPr>
          <a:ln w="3175">
            <a:solidFill>
              <a:srgbClr val="000000"/>
            </a:solidFill>
            <a:prstDash val="solid"/>
          </a:ln>
        </c:spPr>
        <c:txPr>
          <a:bodyPr rot="0" vert="horz"/>
          <a:lstStyle/>
          <a:p>
            <a:pPr>
              <a:defRPr/>
            </a:pPr>
            <a:endParaRPr lang="en-US"/>
          </a:p>
        </c:txPr>
        <c:crossAx val="109419904"/>
        <c:crosses val="autoZero"/>
        <c:crossBetween val="between"/>
      </c:valAx>
      <c:spPr>
        <a:gradFill rotWithShape="0">
          <a:gsLst>
            <a:gs pos="0">
              <a:srgbClr xmlns:mc="http://schemas.openxmlformats.org/markup-compatibility/2006" xmlns:a14="http://schemas.microsoft.com/office/drawing/2010/main" val="FFFFFF" mc:Ignorable="a14" a14:legacySpreadsheetColorIndex="9"/>
            </a:gs>
            <a:gs pos="100000">
              <a:srgbClr xmlns:mc="http://schemas.openxmlformats.org/markup-compatibility/2006" xmlns:a14="http://schemas.microsoft.com/office/drawing/2010/main" val="010101" mc:Ignorable="a14" a14:legacySpreadsheetColorIndex="9">
                <a:gamma/>
                <a:shade val="66275"/>
                <a:invGamma/>
              </a:srgbClr>
            </a:gs>
          </a:gsLst>
          <a:lin ang="0" scaled="1"/>
        </a:gradFill>
        <a:ln w="12700">
          <a:solidFill>
            <a:srgbClr val="808080"/>
          </a:solidFill>
          <a:prstDash val="solid"/>
        </a:ln>
      </c:spPr>
    </c:plotArea>
    <c:legend>
      <c:legendPos val="b"/>
      <c:legendEntry>
        <c:idx val="0"/>
        <c:txPr>
          <a:bodyPr/>
          <a:lstStyle/>
          <a:p>
            <a:pPr>
              <a:defRPr sz="950">
                <a:latin typeface="Calibri" panose="020F0502020204030204" pitchFamily="34" charset="0"/>
              </a:defRPr>
            </a:pPr>
            <a:endParaRPr lang="en-US"/>
          </a:p>
        </c:txPr>
      </c:legendEntry>
      <c:layout>
        <c:manualLayout>
          <c:xMode val="edge"/>
          <c:yMode val="edge"/>
          <c:x val="4.682730323266554E-2"/>
          <c:y val="0.81647381033892497"/>
          <c:w val="0.9212218649517685"/>
          <c:h val="0.18106995884773663"/>
        </c:manualLayout>
      </c:layout>
      <c:overlay val="0"/>
      <c:spPr>
        <a:noFill/>
        <a:ln w="3175">
          <a:noFill/>
          <a:prstDash val="solid"/>
        </a:ln>
      </c:spPr>
      <c:txPr>
        <a:bodyPr/>
        <a:lstStyle/>
        <a:p>
          <a:pPr>
            <a:defRPr sz="950">
              <a:latin typeface="Calibri" panose="020F0502020204030204" pitchFamily="34" charset="0"/>
            </a:defRPr>
          </a:pPr>
          <a:endParaRPr lang="en-US"/>
        </a:p>
      </c:txPr>
    </c:legend>
    <c:plotVisOnly val="1"/>
    <c:dispBlanksAs val="gap"/>
    <c:showDLblsOverMax val="0"/>
  </c:chart>
  <c:spPr>
    <a:noFill/>
    <a:ln w="6350" cap="flat" cmpd="sng" algn="ctr">
      <a:solidFill>
        <a:srgbClr val="000000"/>
      </a:solidFill>
      <a:prstDash val="solid"/>
      <a:miter lim="800000"/>
      <a:headEnd type="none" w="med" len="med"/>
      <a:tailEnd type="none" w="med" len="med"/>
    </a:ln>
  </c:spPr>
  <c:txPr>
    <a:bodyPr/>
    <a:lstStyle/>
    <a:p>
      <a:pPr>
        <a:defRPr sz="900" b="0" i="0" u="none" strike="noStrike" baseline="0">
          <a:solidFill>
            <a:srgbClr val="000000"/>
          </a:solidFill>
          <a:latin typeface="Arial"/>
          <a:ea typeface="Arial"/>
          <a:cs typeface="Arial"/>
        </a:defRPr>
      </a:pPr>
      <a:endParaRPr lang="en-US"/>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latin typeface="Calibri" panose="020F0502020204030204" pitchFamily="34" charset="0"/>
              </a:defRPr>
            </a:pPr>
            <a:r>
              <a:rPr lang="vi-VN" sz="1200" b="1">
                <a:latin typeface="Calibri" panose="020F0502020204030204" pitchFamily="34" charset="0"/>
              </a:rPr>
              <a:t>Figura </a:t>
            </a:r>
            <a:r>
              <a:rPr lang="ro-RO" sz="1200" b="1" i="0" u="none" strike="noStrike" kern="1200" baseline="0">
                <a:solidFill>
                  <a:srgbClr val="000000"/>
                </a:solidFill>
                <a:latin typeface="Calibri" panose="020F0502020204030204" pitchFamily="34" charset="0"/>
                <a:cs typeface="Arial"/>
              </a:rPr>
              <a:t>IX</a:t>
            </a:r>
            <a:r>
              <a:rPr lang="vi-VN" sz="1200" b="1">
                <a:latin typeface="Calibri" panose="020F0502020204030204" pitchFamily="34" charset="0"/>
              </a:rPr>
              <a:t>.2</a:t>
            </a:r>
            <a:r>
              <a:rPr lang="ro-RO" sz="1200" b="1">
                <a:latin typeface="Calibri" panose="020F0502020204030204" pitchFamily="34" charset="0"/>
              </a:rPr>
              <a:t>7</a:t>
            </a:r>
            <a:r>
              <a:rPr lang="vi-VN" sz="1200" b="1">
                <a:latin typeface="Calibri" panose="020F0502020204030204" pitchFamily="34" charset="0"/>
              </a:rPr>
              <a:t>.</a:t>
            </a:r>
            <a:r>
              <a:rPr lang="ro-RO" sz="1200" b="1">
                <a:latin typeface="Calibri" panose="020F0502020204030204" pitchFamily="34" charset="0"/>
              </a:rPr>
              <a:t> </a:t>
            </a:r>
            <a:r>
              <a:rPr lang="vi-VN" sz="1200" b="1">
                <a:latin typeface="Calibri" panose="020F0502020204030204" pitchFamily="34" charset="0"/>
              </a:rPr>
              <a:t>Concentraţii de </a:t>
            </a:r>
            <a:r>
              <a:rPr lang="ro-RO" sz="1200" b="1">
                <a:latin typeface="Calibri" panose="020F0502020204030204" pitchFamily="34" charset="0"/>
              </a:rPr>
              <a:t>K</a:t>
            </a:r>
            <a:r>
              <a:rPr lang="vi-VN" sz="1200" b="1">
                <a:latin typeface="Calibri" panose="020F0502020204030204" pitchFamily="34" charset="0"/>
              </a:rPr>
              <a:t>-</a:t>
            </a:r>
            <a:r>
              <a:rPr lang="ro-RO" sz="1200" b="1">
                <a:latin typeface="Calibri" panose="020F0502020204030204" pitchFamily="34" charset="0"/>
              </a:rPr>
              <a:t>40</a:t>
            </a:r>
            <a:r>
              <a:rPr lang="vi-VN" sz="1200" b="1">
                <a:latin typeface="Calibri" panose="020F0502020204030204" pitchFamily="34" charset="0"/>
              </a:rPr>
              <a:t> în Dunăre 
- probe lunare </a:t>
            </a:r>
            <a:r>
              <a:rPr lang="ro-RO" sz="1200" b="1">
                <a:latin typeface="Calibri" panose="020F0502020204030204" pitchFamily="34" charset="0"/>
              </a:rPr>
              <a:t>în </a:t>
            </a:r>
            <a:r>
              <a:rPr lang="en-US" sz="1200" b="1">
                <a:latin typeface="Calibri" panose="020F0502020204030204" pitchFamily="34" charset="0"/>
              </a:rPr>
              <a:t>201</a:t>
            </a:r>
            <a:r>
              <a:rPr lang="ro-RO" sz="1200" b="1">
                <a:latin typeface="Calibri" panose="020F0502020204030204" pitchFamily="34" charset="0"/>
              </a:rPr>
              <a:t>5</a:t>
            </a:r>
            <a:endParaRPr lang="vi-VN" sz="1200" b="1">
              <a:latin typeface="Calibri" panose="020F0502020204030204" pitchFamily="34" charset="0"/>
            </a:endParaRPr>
          </a:p>
        </c:rich>
      </c:tx>
      <c:layout>
        <c:manualLayout>
          <c:xMode val="edge"/>
          <c:yMode val="edge"/>
          <c:x val="0.21221864951768488"/>
          <c:y val="2.0576131687242798E-2"/>
        </c:manualLayout>
      </c:layout>
      <c:overlay val="0"/>
      <c:spPr>
        <a:noFill/>
        <a:ln w="25399">
          <a:noFill/>
        </a:ln>
      </c:spPr>
    </c:title>
    <c:autoTitleDeleted val="0"/>
    <c:plotArea>
      <c:layout>
        <c:manualLayout>
          <c:layoutTarget val="inner"/>
          <c:xMode val="edge"/>
          <c:yMode val="edge"/>
          <c:x val="0.1274384531047543"/>
          <c:y val="0.22287303019928834"/>
          <c:w val="0.84959367420844545"/>
          <c:h val="0.54573091407052376"/>
        </c:manualLayout>
      </c:layout>
      <c:barChart>
        <c:barDir val="col"/>
        <c:grouping val="clustered"/>
        <c:varyColors val="0"/>
        <c:ser>
          <c:idx val="0"/>
          <c:order val="0"/>
          <c:tx>
            <c:strRef>
              <c:f>Sheet1!$A$2</c:f>
              <c:strCache>
                <c:ptCount val="1"/>
                <c:pt idx="0">
                  <c:v>Gară fluvială Cernavodă</c:v>
                </c:pt>
              </c:strCache>
            </c:strRef>
          </c:tx>
          <c:spPr>
            <a:solidFill>
              <a:srgbClr val="FF0000"/>
            </a:solidFill>
            <a:ln w="12700">
              <a:solidFill>
                <a:srgbClr val="000000"/>
              </a:solidFill>
              <a:prstDash val="solid"/>
            </a:ln>
          </c:spPr>
          <c:invertIfNegative val="0"/>
          <c:cat>
            <c:strRef>
              <c:f>Sheet1!$B$1:$M$1</c:f>
              <c:strCache>
                <c:ptCount val="12"/>
                <c:pt idx="0">
                  <c:v>ian</c:v>
                </c:pt>
                <c:pt idx="1">
                  <c:v>feb</c:v>
                </c:pt>
                <c:pt idx="2">
                  <c:v>mar</c:v>
                </c:pt>
                <c:pt idx="3">
                  <c:v>apr</c:v>
                </c:pt>
                <c:pt idx="4">
                  <c:v>mai</c:v>
                </c:pt>
                <c:pt idx="5">
                  <c:v>iun</c:v>
                </c:pt>
                <c:pt idx="6">
                  <c:v>iul</c:v>
                </c:pt>
                <c:pt idx="7">
                  <c:v>aug</c:v>
                </c:pt>
                <c:pt idx="8">
                  <c:v>sep</c:v>
                </c:pt>
                <c:pt idx="9">
                  <c:v>oct</c:v>
                </c:pt>
                <c:pt idx="10">
                  <c:v>nov</c:v>
                </c:pt>
                <c:pt idx="11">
                  <c:v>dec</c:v>
                </c:pt>
              </c:strCache>
            </c:strRef>
          </c:cat>
          <c:val>
            <c:numRef>
              <c:f>Sheet1!$B$2:$M$2</c:f>
              <c:numCache>
                <c:formatCode>General</c:formatCode>
                <c:ptCount val="12"/>
                <c:pt idx="0">
                  <c:v>8.3349999999999994E-2</c:v>
                </c:pt>
                <c:pt idx="1">
                  <c:v>0.116477</c:v>
                </c:pt>
                <c:pt idx="2">
                  <c:v>9.6747E-2</c:v>
                </c:pt>
                <c:pt idx="3">
                  <c:v>8.2590999999999998E-2</c:v>
                </c:pt>
                <c:pt idx="4">
                  <c:v>0.10476199999999999</c:v>
                </c:pt>
                <c:pt idx="5">
                  <c:v>8.0556000000000003E-2</c:v>
                </c:pt>
                <c:pt idx="6">
                  <c:v>4.5615000000000003E-2</c:v>
                </c:pt>
                <c:pt idx="7">
                  <c:v>7.7679999999999999E-2</c:v>
                </c:pt>
                <c:pt idx="8">
                  <c:v>6.7863999999999994E-2</c:v>
                </c:pt>
                <c:pt idx="9">
                  <c:v>7.9833000000000001E-2</c:v>
                </c:pt>
                <c:pt idx="10">
                  <c:v>7.2751999999999997E-2</c:v>
                </c:pt>
                <c:pt idx="11">
                  <c:v>8.8175000000000003E-2</c:v>
                </c:pt>
              </c:numCache>
            </c:numRef>
          </c:val>
        </c:ser>
        <c:ser>
          <c:idx val="2"/>
          <c:order val="1"/>
          <c:tx>
            <c:strRef>
              <c:f>Sheet1!$A$3</c:f>
              <c:strCache>
                <c:ptCount val="1"/>
                <c:pt idx="0">
                  <c:v>Capidava</c:v>
                </c:pt>
              </c:strCache>
            </c:strRef>
          </c:tx>
          <c:spPr>
            <a:solidFill>
              <a:srgbClr val="FFFFCC"/>
            </a:solidFill>
            <a:ln w="12700">
              <a:solidFill>
                <a:srgbClr val="000000"/>
              </a:solidFill>
              <a:prstDash val="solid"/>
            </a:ln>
          </c:spPr>
          <c:invertIfNegative val="0"/>
          <c:cat>
            <c:strRef>
              <c:f>Sheet1!$B$1:$M$1</c:f>
              <c:strCache>
                <c:ptCount val="12"/>
                <c:pt idx="0">
                  <c:v>ian</c:v>
                </c:pt>
                <c:pt idx="1">
                  <c:v>feb</c:v>
                </c:pt>
                <c:pt idx="2">
                  <c:v>mar</c:v>
                </c:pt>
                <c:pt idx="3">
                  <c:v>apr</c:v>
                </c:pt>
                <c:pt idx="4">
                  <c:v>mai</c:v>
                </c:pt>
                <c:pt idx="5">
                  <c:v>iun</c:v>
                </c:pt>
                <c:pt idx="6">
                  <c:v>iul</c:v>
                </c:pt>
                <c:pt idx="7">
                  <c:v>aug</c:v>
                </c:pt>
                <c:pt idx="8">
                  <c:v>sep</c:v>
                </c:pt>
                <c:pt idx="9">
                  <c:v>oct</c:v>
                </c:pt>
                <c:pt idx="10">
                  <c:v>nov</c:v>
                </c:pt>
                <c:pt idx="11">
                  <c:v>dec</c:v>
                </c:pt>
              </c:strCache>
            </c:strRef>
          </c:cat>
          <c:val>
            <c:numRef>
              <c:f>Sheet1!$B$3:$M$3</c:f>
              <c:numCache>
                <c:formatCode>General</c:formatCode>
                <c:ptCount val="12"/>
                <c:pt idx="0">
                  <c:v>7.7252000000000001E-2</c:v>
                </c:pt>
                <c:pt idx="1">
                  <c:v>6.6755999999999996E-2</c:v>
                </c:pt>
                <c:pt idx="2">
                  <c:v>0.13227700000000001</c:v>
                </c:pt>
                <c:pt idx="3">
                  <c:v>0.118321</c:v>
                </c:pt>
                <c:pt idx="4">
                  <c:v>6.2631999999999993E-2</c:v>
                </c:pt>
                <c:pt idx="5">
                  <c:v>9.0232000000000007E-2</c:v>
                </c:pt>
                <c:pt idx="6">
                  <c:v>3.4914000000000001E-2</c:v>
                </c:pt>
                <c:pt idx="7">
                  <c:v>0.10834100000000001</c:v>
                </c:pt>
                <c:pt idx="8">
                  <c:v>0.125441</c:v>
                </c:pt>
                <c:pt idx="9">
                  <c:v>0.10094</c:v>
                </c:pt>
                <c:pt idx="10">
                  <c:v>9.4356999999999996E-2</c:v>
                </c:pt>
                <c:pt idx="11">
                  <c:v>9.0031E-2</c:v>
                </c:pt>
              </c:numCache>
            </c:numRef>
          </c:val>
        </c:ser>
        <c:ser>
          <c:idx val="3"/>
          <c:order val="2"/>
          <c:tx>
            <c:strRef>
              <c:f>Sheet1!$A$4</c:f>
              <c:strCache>
                <c:ptCount val="1"/>
                <c:pt idx="0">
                  <c:v>Cochirleni</c:v>
                </c:pt>
              </c:strCache>
            </c:strRef>
          </c:tx>
          <c:spPr>
            <a:solidFill>
              <a:srgbClr val="CCFFFF"/>
            </a:solidFill>
            <a:ln w="12700">
              <a:solidFill>
                <a:srgbClr val="000000"/>
              </a:solidFill>
              <a:prstDash val="solid"/>
            </a:ln>
          </c:spPr>
          <c:invertIfNegative val="0"/>
          <c:cat>
            <c:strRef>
              <c:f>Sheet1!$B$1:$M$1</c:f>
              <c:strCache>
                <c:ptCount val="12"/>
                <c:pt idx="0">
                  <c:v>ian</c:v>
                </c:pt>
                <c:pt idx="1">
                  <c:v>feb</c:v>
                </c:pt>
                <c:pt idx="2">
                  <c:v>mar</c:v>
                </c:pt>
                <c:pt idx="3">
                  <c:v>apr</c:v>
                </c:pt>
                <c:pt idx="4">
                  <c:v>mai</c:v>
                </c:pt>
                <c:pt idx="5">
                  <c:v>iun</c:v>
                </c:pt>
                <c:pt idx="6">
                  <c:v>iul</c:v>
                </c:pt>
                <c:pt idx="7">
                  <c:v>aug</c:v>
                </c:pt>
                <c:pt idx="8">
                  <c:v>sep</c:v>
                </c:pt>
                <c:pt idx="9">
                  <c:v>oct</c:v>
                </c:pt>
                <c:pt idx="10">
                  <c:v>nov</c:v>
                </c:pt>
                <c:pt idx="11">
                  <c:v>dec</c:v>
                </c:pt>
              </c:strCache>
            </c:strRef>
          </c:cat>
          <c:val>
            <c:numRef>
              <c:f>Sheet1!$B$4:$M$4</c:f>
              <c:numCache>
                <c:formatCode>General</c:formatCode>
                <c:ptCount val="12"/>
                <c:pt idx="0">
                  <c:v>4.1842999999999998E-2</c:v>
                </c:pt>
                <c:pt idx="1">
                  <c:v>0.133437</c:v>
                </c:pt>
                <c:pt idx="2">
                  <c:v>0.15509100000000001</c:v>
                </c:pt>
                <c:pt idx="3">
                  <c:v>7.4010999999999993E-2</c:v>
                </c:pt>
                <c:pt idx="4">
                  <c:v>0.154251</c:v>
                </c:pt>
                <c:pt idx="5">
                  <c:v>8.0908999999999995E-2</c:v>
                </c:pt>
                <c:pt idx="6">
                  <c:v>8.3934999999999996E-2</c:v>
                </c:pt>
                <c:pt idx="7">
                  <c:v>2.6297999999999998E-2</c:v>
                </c:pt>
                <c:pt idx="8">
                  <c:v>9.6810999999999994E-2</c:v>
                </c:pt>
                <c:pt idx="9">
                  <c:v>7.8988000000000003E-2</c:v>
                </c:pt>
                <c:pt idx="10">
                  <c:v>3.2188000000000001E-2</c:v>
                </c:pt>
                <c:pt idx="11">
                  <c:v>8.7147000000000002E-2</c:v>
                </c:pt>
              </c:numCache>
            </c:numRef>
          </c:val>
        </c:ser>
        <c:ser>
          <c:idx val="4"/>
          <c:order val="3"/>
          <c:tx>
            <c:strRef>
              <c:f>Sheet1!$A$5</c:f>
              <c:strCache>
                <c:ptCount val="1"/>
                <c:pt idx="0">
                  <c:v>Braţ Borcea-Feteşti</c:v>
                </c:pt>
              </c:strCache>
            </c:strRef>
          </c:tx>
          <c:spPr>
            <a:solidFill>
              <a:srgbClr val="660066"/>
            </a:solidFill>
            <a:ln w="12700">
              <a:solidFill>
                <a:srgbClr val="000000"/>
              </a:solidFill>
              <a:prstDash val="solid"/>
            </a:ln>
          </c:spPr>
          <c:invertIfNegative val="0"/>
          <c:cat>
            <c:strRef>
              <c:f>Sheet1!$B$1:$M$1</c:f>
              <c:strCache>
                <c:ptCount val="12"/>
                <c:pt idx="0">
                  <c:v>ian</c:v>
                </c:pt>
                <c:pt idx="1">
                  <c:v>feb</c:v>
                </c:pt>
                <c:pt idx="2">
                  <c:v>mar</c:v>
                </c:pt>
                <c:pt idx="3">
                  <c:v>apr</c:v>
                </c:pt>
                <c:pt idx="4">
                  <c:v>mai</c:v>
                </c:pt>
                <c:pt idx="5">
                  <c:v>iun</c:v>
                </c:pt>
                <c:pt idx="6">
                  <c:v>iul</c:v>
                </c:pt>
                <c:pt idx="7">
                  <c:v>aug</c:v>
                </c:pt>
                <c:pt idx="8">
                  <c:v>sep</c:v>
                </c:pt>
                <c:pt idx="9">
                  <c:v>oct</c:v>
                </c:pt>
                <c:pt idx="10">
                  <c:v>nov</c:v>
                </c:pt>
                <c:pt idx="11">
                  <c:v>dec</c:v>
                </c:pt>
              </c:strCache>
            </c:strRef>
          </c:cat>
          <c:val>
            <c:numRef>
              <c:f>Sheet1!$B$5:$M$5</c:f>
              <c:numCache>
                <c:formatCode>General</c:formatCode>
                <c:ptCount val="12"/>
                <c:pt idx="0">
                  <c:v>0.130159</c:v>
                </c:pt>
                <c:pt idx="1">
                  <c:v>0.200601</c:v>
                </c:pt>
                <c:pt idx="2">
                  <c:v>0.137599</c:v>
                </c:pt>
                <c:pt idx="3">
                  <c:v>4.7750000000000001E-2</c:v>
                </c:pt>
                <c:pt idx="4">
                  <c:v>5.0437000000000003E-2</c:v>
                </c:pt>
                <c:pt idx="5">
                  <c:v>9.6920000000000006E-2</c:v>
                </c:pt>
                <c:pt idx="6">
                  <c:v>6.4047000000000007E-2</c:v>
                </c:pt>
                <c:pt idx="7">
                  <c:v>9.4787999999999997E-2</c:v>
                </c:pt>
                <c:pt idx="8">
                  <c:v>9.2982999999999996E-2</c:v>
                </c:pt>
                <c:pt idx="9">
                  <c:v>3.5798999999999997E-2</c:v>
                </c:pt>
                <c:pt idx="10">
                  <c:v>8.6069000000000007E-2</c:v>
                </c:pt>
                <c:pt idx="11">
                  <c:v>8.0244999999999997E-2</c:v>
                </c:pt>
              </c:numCache>
            </c:numRef>
          </c:val>
        </c:ser>
        <c:dLbls>
          <c:showLegendKey val="0"/>
          <c:showVal val="0"/>
          <c:showCatName val="0"/>
          <c:showSerName val="0"/>
          <c:showPercent val="0"/>
          <c:showBubbleSize val="0"/>
        </c:dLbls>
        <c:gapWidth val="150"/>
        <c:axId val="103281024"/>
        <c:axId val="103282560"/>
      </c:barChart>
      <c:catAx>
        <c:axId val="10328102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en-US"/>
          </a:p>
        </c:txPr>
        <c:crossAx val="103282560"/>
        <c:crosses val="autoZero"/>
        <c:auto val="1"/>
        <c:lblAlgn val="ctr"/>
        <c:lblOffset val="100"/>
        <c:tickLblSkip val="1"/>
        <c:tickMarkSkip val="1"/>
        <c:noMultiLvlLbl val="0"/>
      </c:catAx>
      <c:valAx>
        <c:axId val="103282560"/>
        <c:scaling>
          <c:orientation val="minMax"/>
        </c:scaling>
        <c:delete val="0"/>
        <c:axPos val="l"/>
        <c:majorGridlines>
          <c:spPr>
            <a:ln w="3175">
              <a:solidFill>
                <a:srgbClr val="000000"/>
              </a:solidFill>
              <a:prstDash val="solid"/>
            </a:ln>
          </c:spPr>
        </c:majorGridlines>
        <c:title>
          <c:tx>
            <c:rich>
              <a:bodyPr/>
              <a:lstStyle/>
              <a:p>
                <a:pPr>
                  <a:defRPr sz="1100" b="1">
                    <a:latin typeface="+mn-lt"/>
                  </a:defRPr>
                </a:pPr>
                <a:r>
                  <a:rPr lang="en-US" sz="1100" b="1">
                    <a:latin typeface="+mn-lt"/>
                  </a:rPr>
                  <a:t>Bq/</a:t>
                </a:r>
                <a:r>
                  <a:rPr lang="ro-RO" sz="1100" b="1">
                    <a:latin typeface="+mn-lt"/>
                  </a:rPr>
                  <a:t>l</a:t>
                </a:r>
                <a:endParaRPr lang="en-US" sz="1100" b="1">
                  <a:latin typeface="+mn-lt"/>
                </a:endParaRPr>
              </a:p>
            </c:rich>
          </c:tx>
          <c:layout>
            <c:manualLayout>
              <c:xMode val="edge"/>
              <c:yMode val="edge"/>
              <c:x val="1.8987341772151899E-2"/>
              <c:y val="0.4324567136617804"/>
            </c:manualLayout>
          </c:layout>
          <c:overlay val="0"/>
          <c:spPr>
            <a:noFill/>
            <a:ln w="25399">
              <a:noFill/>
            </a:ln>
          </c:spPr>
        </c:title>
        <c:numFmt formatCode="#,##0.00" sourceLinked="0"/>
        <c:majorTickMark val="out"/>
        <c:minorTickMark val="none"/>
        <c:tickLblPos val="nextTo"/>
        <c:spPr>
          <a:ln w="3175">
            <a:solidFill>
              <a:srgbClr val="000000"/>
            </a:solidFill>
            <a:prstDash val="solid"/>
          </a:ln>
        </c:spPr>
        <c:txPr>
          <a:bodyPr rot="0" vert="horz"/>
          <a:lstStyle/>
          <a:p>
            <a:pPr>
              <a:defRPr/>
            </a:pPr>
            <a:endParaRPr lang="en-US"/>
          </a:p>
        </c:txPr>
        <c:crossAx val="103281024"/>
        <c:crosses val="autoZero"/>
        <c:crossBetween val="between"/>
      </c:valAx>
      <c:spPr>
        <a:gradFill rotWithShape="0">
          <a:gsLst>
            <a:gs pos="0">
              <a:srgbClr xmlns:mc="http://schemas.openxmlformats.org/markup-compatibility/2006" xmlns:a14="http://schemas.microsoft.com/office/drawing/2010/main" val="FFFFFF" mc:Ignorable="a14" a14:legacySpreadsheetColorIndex="9"/>
            </a:gs>
            <a:gs pos="100000">
              <a:srgbClr xmlns:mc="http://schemas.openxmlformats.org/markup-compatibility/2006" xmlns:a14="http://schemas.microsoft.com/office/drawing/2010/main" val="010101" mc:Ignorable="a14" a14:legacySpreadsheetColorIndex="9">
                <a:gamma/>
                <a:shade val="66275"/>
                <a:invGamma/>
              </a:srgbClr>
            </a:gs>
          </a:gsLst>
          <a:lin ang="0" scaled="1"/>
        </a:gradFill>
        <a:ln w="12700">
          <a:solidFill>
            <a:srgbClr val="808080"/>
          </a:solidFill>
          <a:prstDash val="solid"/>
        </a:ln>
      </c:spPr>
    </c:plotArea>
    <c:legend>
      <c:legendPos val="b"/>
      <c:layout>
        <c:manualLayout>
          <c:xMode val="edge"/>
          <c:yMode val="edge"/>
          <c:x val="5.9485530546623797E-2"/>
          <c:y val="0.86390464037845061"/>
          <c:w val="0.9212218649517685"/>
          <c:h val="0.10728870353656386"/>
        </c:manualLayout>
      </c:layout>
      <c:overlay val="0"/>
      <c:spPr>
        <a:noFill/>
        <a:ln w="3175">
          <a:noFill/>
          <a:prstDash val="solid"/>
        </a:ln>
      </c:spPr>
      <c:txPr>
        <a:bodyPr/>
        <a:lstStyle/>
        <a:p>
          <a:pPr>
            <a:defRPr sz="950">
              <a:latin typeface="Calibri" panose="020F0502020204030204" pitchFamily="34" charset="0"/>
            </a:defRPr>
          </a:pPr>
          <a:endParaRPr lang="en-US"/>
        </a:p>
      </c:txPr>
    </c:legend>
    <c:plotVisOnly val="1"/>
    <c:dispBlanksAs val="gap"/>
    <c:showDLblsOverMax val="0"/>
  </c:chart>
  <c:spPr>
    <a:noFill/>
    <a:ln w="6350" cap="flat" cmpd="sng" algn="ctr">
      <a:solidFill>
        <a:srgbClr val="000000"/>
      </a:solidFill>
      <a:prstDash val="solid"/>
      <a:miter lim="800000"/>
      <a:headEnd type="none" w="med" len="med"/>
      <a:tailEnd type="none" w="med" len="med"/>
    </a:ln>
  </c:spPr>
  <c:txPr>
    <a:bodyPr/>
    <a:lstStyle/>
    <a:p>
      <a:pPr>
        <a:defRPr sz="900" b="0" i="0" u="none" strike="noStrike" baseline="0">
          <a:solidFill>
            <a:srgbClr val="000000"/>
          </a:solidFill>
          <a:latin typeface="Arial"/>
          <a:ea typeface="Arial"/>
          <a:cs typeface="Arial"/>
        </a:defRPr>
      </a:pPr>
      <a:endParaRPr lang="en-US"/>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latin typeface="Calibri" panose="020F0502020204030204" pitchFamily="34" charset="0"/>
              </a:defRPr>
            </a:pPr>
            <a:r>
              <a:rPr lang="vi-VN" sz="1200" b="1">
                <a:latin typeface="Calibri" panose="020F0502020204030204" pitchFamily="34" charset="0"/>
              </a:rPr>
              <a:t>Figura </a:t>
            </a:r>
            <a:r>
              <a:rPr lang="ro-RO" sz="1200" b="1" i="0" u="none" strike="noStrike" kern="1200" baseline="0">
                <a:solidFill>
                  <a:srgbClr val="000000"/>
                </a:solidFill>
                <a:latin typeface="Calibri" panose="020F0502020204030204" pitchFamily="34" charset="0"/>
                <a:cs typeface="Arial"/>
              </a:rPr>
              <a:t>IX</a:t>
            </a:r>
            <a:r>
              <a:rPr lang="vi-VN" sz="1200" b="1">
                <a:latin typeface="Calibri" panose="020F0502020204030204" pitchFamily="34" charset="0"/>
              </a:rPr>
              <a:t>.2</a:t>
            </a:r>
            <a:r>
              <a:rPr lang="ro-RO" sz="1200" b="1">
                <a:latin typeface="Calibri" panose="020F0502020204030204" pitchFamily="34" charset="0"/>
              </a:rPr>
              <a:t>8</a:t>
            </a:r>
            <a:r>
              <a:rPr lang="vi-VN" sz="1200" b="1">
                <a:latin typeface="Calibri" panose="020F0502020204030204" pitchFamily="34" charset="0"/>
              </a:rPr>
              <a:t>. Concentraţii volumice ale tritiului în Dunăre 
- medii lunare </a:t>
            </a:r>
            <a:r>
              <a:rPr lang="ro-RO" sz="1200" b="1">
                <a:latin typeface="Calibri" panose="020F0502020204030204" pitchFamily="34" charset="0"/>
              </a:rPr>
              <a:t>în </a:t>
            </a:r>
            <a:r>
              <a:rPr lang="en-US" sz="1200" b="1">
                <a:latin typeface="Calibri" panose="020F0502020204030204" pitchFamily="34" charset="0"/>
              </a:rPr>
              <a:t>2015</a:t>
            </a:r>
            <a:endParaRPr lang="vi-VN" sz="1200" b="1">
              <a:latin typeface="Calibri" panose="020F0502020204030204" pitchFamily="34" charset="0"/>
            </a:endParaRPr>
          </a:p>
        </c:rich>
      </c:tx>
      <c:layout>
        <c:manualLayout>
          <c:xMode val="edge"/>
          <c:yMode val="edge"/>
          <c:x val="0.1550632911392405"/>
          <c:y val="1.8382352941176471E-2"/>
        </c:manualLayout>
      </c:layout>
      <c:overlay val="0"/>
      <c:spPr>
        <a:noFill/>
        <a:ln w="25400">
          <a:noFill/>
        </a:ln>
      </c:spPr>
    </c:title>
    <c:autoTitleDeleted val="0"/>
    <c:plotArea>
      <c:layout>
        <c:manualLayout>
          <c:layoutTarget val="inner"/>
          <c:xMode val="edge"/>
          <c:yMode val="edge"/>
          <c:x val="0.10047554803313137"/>
          <c:y val="0.20955882352941177"/>
          <c:w val="0.8726257348672537"/>
          <c:h val="0.5707195894193523"/>
        </c:manualLayout>
      </c:layout>
      <c:barChart>
        <c:barDir val="col"/>
        <c:grouping val="clustered"/>
        <c:varyColors val="0"/>
        <c:ser>
          <c:idx val="0"/>
          <c:order val="0"/>
          <c:tx>
            <c:strRef>
              <c:f>Sheet1!$A$2</c:f>
              <c:strCache>
                <c:ptCount val="1"/>
                <c:pt idx="0">
                  <c:v>Gară fluvială Cernavodă</c:v>
                </c:pt>
              </c:strCache>
            </c:strRef>
          </c:tx>
          <c:spPr>
            <a:solidFill>
              <a:srgbClr val="FF0000"/>
            </a:solidFill>
            <a:ln w="12700">
              <a:solidFill>
                <a:srgbClr val="000000"/>
              </a:solidFill>
              <a:prstDash val="solid"/>
            </a:ln>
          </c:spPr>
          <c:invertIfNegative val="0"/>
          <c:cat>
            <c:strRef>
              <c:f>Sheet1!$B$1:$M$1</c:f>
              <c:strCache>
                <c:ptCount val="12"/>
                <c:pt idx="0">
                  <c:v>ian</c:v>
                </c:pt>
                <c:pt idx="1">
                  <c:v>feb</c:v>
                </c:pt>
                <c:pt idx="2">
                  <c:v>mar</c:v>
                </c:pt>
                <c:pt idx="3">
                  <c:v>apr</c:v>
                </c:pt>
                <c:pt idx="4">
                  <c:v>mai</c:v>
                </c:pt>
                <c:pt idx="5">
                  <c:v>iun</c:v>
                </c:pt>
                <c:pt idx="6">
                  <c:v>iul</c:v>
                </c:pt>
                <c:pt idx="7">
                  <c:v>aug</c:v>
                </c:pt>
                <c:pt idx="8">
                  <c:v>sep</c:v>
                </c:pt>
                <c:pt idx="9">
                  <c:v>oct</c:v>
                </c:pt>
                <c:pt idx="10">
                  <c:v>nov</c:v>
                </c:pt>
                <c:pt idx="11">
                  <c:v>dec</c:v>
                </c:pt>
              </c:strCache>
            </c:strRef>
          </c:cat>
          <c:val>
            <c:numRef>
              <c:f>Sheet1!$B$2:$M$2</c:f>
              <c:numCache>
                <c:formatCode>General</c:formatCode>
                <c:ptCount val="12"/>
                <c:pt idx="0">
                  <c:v>3.51</c:v>
                </c:pt>
                <c:pt idx="1">
                  <c:v>3.39</c:v>
                </c:pt>
                <c:pt idx="2">
                  <c:v>3.7</c:v>
                </c:pt>
                <c:pt idx="4">
                  <c:v>4.43</c:v>
                </c:pt>
                <c:pt idx="5">
                  <c:v>4.01</c:v>
                </c:pt>
                <c:pt idx="6">
                  <c:v>3.78</c:v>
                </c:pt>
                <c:pt idx="7">
                  <c:v>3.46</c:v>
                </c:pt>
                <c:pt idx="8">
                  <c:v>4.47</c:v>
                </c:pt>
                <c:pt idx="9">
                  <c:v>5.87</c:v>
                </c:pt>
                <c:pt idx="10">
                  <c:v>7.63</c:v>
                </c:pt>
                <c:pt idx="11">
                  <c:v>5.53</c:v>
                </c:pt>
              </c:numCache>
            </c:numRef>
          </c:val>
        </c:ser>
        <c:ser>
          <c:idx val="2"/>
          <c:order val="1"/>
          <c:tx>
            <c:strRef>
              <c:f>Sheet1!$A$3</c:f>
              <c:strCache>
                <c:ptCount val="1"/>
                <c:pt idx="0">
                  <c:v>Capidava</c:v>
                </c:pt>
              </c:strCache>
            </c:strRef>
          </c:tx>
          <c:spPr>
            <a:solidFill>
              <a:srgbClr val="FFFFCC"/>
            </a:solidFill>
            <a:ln w="12700">
              <a:solidFill>
                <a:srgbClr val="000000"/>
              </a:solidFill>
              <a:prstDash val="solid"/>
            </a:ln>
          </c:spPr>
          <c:invertIfNegative val="0"/>
          <c:cat>
            <c:strRef>
              <c:f>Sheet1!$B$1:$M$1</c:f>
              <c:strCache>
                <c:ptCount val="12"/>
                <c:pt idx="0">
                  <c:v>ian</c:v>
                </c:pt>
                <c:pt idx="1">
                  <c:v>feb</c:v>
                </c:pt>
                <c:pt idx="2">
                  <c:v>mar</c:v>
                </c:pt>
                <c:pt idx="3">
                  <c:v>apr</c:v>
                </c:pt>
                <c:pt idx="4">
                  <c:v>mai</c:v>
                </c:pt>
                <c:pt idx="5">
                  <c:v>iun</c:v>
                </c:pt>
                <c:pt idx="6">
                  <c:v>iul</c:v>
                </c:pt>
                <c:pt idx="7">
                  <c:v>aug</c:v>
                </c:pt>
                <c:pt idx="8">
                  <c:v>sep</c:v>
                </c:pt>
                <c:pt idx="9">
                  <c:v>oct</c:v>
                </c:pt>
                <c:pt idx="10">
                  <c:v>nov</c:v>
                </c:pt>
                <c:pt idx="11">
                  <c:v>dec</c:v>
                </c:pt>
              </c:strCache>
            </c:strRef>
          </c:cat>
          <c:val>
            <c:numRef>
              <c:f>Sheet1!$B$3:$M$3</c:f>
              <c:numCache>
                <c:formatCode>General</c:formatCode>
                <c:ptCount val="12"/>
                <c:pt idx="0">
                  <c:v>10.5</c:v>
                </c:pt>
                <c:pt idx="2">
                  <c:v>9.1</c:v>
                </c:pt>
                <c:pt idx="7">
                  <c:v>7.01</c:v>
                </c:pt>
                <c:pt idx="8">
                  <c:v>6.69</c:v>
                </c:pt>
                <c:pt idx="9">
                  <c:v>5.7</c:v>
                </c:pt>
                <c:pt idx="11">
                  <c:v>12.62</c:v>
                </c:pt>
              </c:numCache>
            </c:numRef>
          </c:val>
        </c:ser>
        <c:ser>
          <c:idx val="3"/>
          <c:order val="2"/>
          <c:tx>
            <c:strRef>
              <c:f>Sheet1!$A$4</c:f>
              <c:strCache>
                <c:ptCount val="1"/>
                <c:pt idx="0">
                  <c:v>Cochirleni</c:v>
                </c:pt>
              </c:strCache>
            </c:strRef>
          </c:tx>
          <c:spPr>
            <a:solidFill>
              <a:srgbClr val="CCFFFF"/>
            </a:solidFill>
            <a:ln w="12700">
              <a:solidFill>
                <a:srgbClr val="000000"/>
              </a:solidFill>
              <a:prstDash val="solid"/>
            </a:ln>
          </c:spPr>
          <c:invertIfNegative val="0"/>
          <c:cat>
            <c:strRef>
              <c:f>Sheet1!$B$1:$M$1</c:f>
              <c:strCache>
                <c:ptCount val="12"/>
                <c:pt idx="0">
                  <c:v>ian</c:v>
                </c:pt>
                <c:pt idx="1">
                  <c:v>feb</c:v>
                </c:pt>
                <c:pt idx="2">
                  <c:v>mar</c:v>
                </c:pt>
                <c:pt idx="3">
                  <c:v>apr</c:v>
                </c:pt>
                <c:pt idx="4">
                  <c:v>mai</c:v>
                </c:pt>
                <c:pt idx="5">
                  <c:v>iun</c:v>
                </c:pt>
                <c:pt idx="6">
                  <c:v>iul</c:v>
                </c:pt>
                <c:pt idx="7">
                  <c:v>aug</c:v>
                </c:pt>
                <c:pt idx="8">
                  <c:v>sep</c:v>
                </c:pt>
                <c:pt idx="9">
                  <c:v>oct</c:v>
                </c:pt>
                <c:pt idx="10">
                  <c:v>nov</c:v>
                </c:pt>
                <c:pt idx="11">
                  <c:v>dec</c:v>
                </c:pt>
              </c:strCache>
            </c:strRef>
          </c:cat>
          <c:val>
            <c:numRef>
              <c:f>Sheet1!$B$4:$M$4</c:f>
              <c:numCache>
                <c:formatCode>General</c:formatCode>
                <c:ptCount val="12"/>
                <c:pt idx="10">
                  <c:v>7.6</c:v>
                </c:pt>
                <c:pt idx="11">
                  <c:v>2.95</c:v>
                </c:pt>
              </c:numCache>
            </c:numRef>
          </c:val>
        </c:ser>
        <c:ser>
          <c:idx val="4"/>
          <c:order val="3"/>
          <c:tx>
            <c:strRef>
              <c:f>Sheet1!$A$5</c:f>
              <c:strCache>
                <c:ptCount val="1"/>
                <c:pt idx="0">
                  <c:v>Braţ Borcea-Feteşti</c:v>
                </c:pt>
              </c:strCache>
            </c:strRef>
          </c:tx>
          <c:spPr>
            <a:solidFill>
              <a:srgbClr val="660066"/>
            </a:solidFill>
            <a:ln w="12700">
              <a:solidFill>
                <a:srgbClr val="000000"/>
              </a:solidFill>
              <a:prstDash val="solid"/>
            </a:ln>
          </c:spPr>
          <c:invertIfNegative val="0"/>
          <c:cat>
            <c:strRef>
              <c:f>Sheet1!$B$1:$M$1</c:f>
              <c:strCache>
                <c:ptCount val="12"/>
                <c:pt idx="0">
                  <c:v>ian</c:v>
                </c:pt>
                <c:pt idx="1">
                  <c:v>feb</c:v>
                </c:pt>
                <c:pt idx="2">
                  <c:v>mar</c:v>
                </c:pt>
                <c:pt idx="3">
                  <c:v>apr</c:v>
                </c:pt>
                <c:pt idx="4">
                  <c:v>mai</c:v>
                </c:pt>
                <c:pt idx="5">
                  <c:v>iun</c:v>
                </c:pt>
                <c:pt idx="6">
                  <c:v>iul</c:v>
                </c:pt>
                <c:pt idx="7">
                  <c:v>aug</c:v>
                </c:pt>
                <c:pt idx="8">
                  <c:v>sep</c:v>
                </c:pt>
                <c:pt idx="9">
                  <c:v>oct</c:v>
                </c:pt>
                <c:pt idx="10">
                  <c:v>nov</c:v>
                </c:pt>
                <c:pt idx="11">
                  <c:v>dec</c:v>
                </c:pt>
              </c:strCache>
            </c:strRef>
          </c:cat>
          <c:val>
            <c:numRef>
              <c:f>Sheet1!$B$5:$M$5</c:f>
              <c:numCache>
                <c:formatCode>General</c:formatCode>
                <c:ptCount val="12"/>
                <c:pt idx="2">
                  <c:v>3.38</c:v>
                </c:pt>
              </c:numCache>
            </c:numRef>
          </c:val>
        </c:ser>
        <c:dLbls>
          <c:showLegendKey val="0"/>
          <c:showVal val="0"/>
          <c:showCatName val="0"/>
          <c:showSerName val="0"/>
          <c:showPercent val="0"/>
          <c:showBubbleSize val="0"/>
        </c:dLbls>
        <c:gapWidth val="150"/>
        <c:axId val="109126400"/>
        <c:axId val="109127936"/>
      </c:barChart>
      <c:catAx>
        <c:axId val="10912640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a:pPr>
            <a:endParaRPr lang="en-US"/>
          </a:p>
        </c:txPr>
        <c:crossAx val="109127936"/>
        <c:crosses val="autoZero"/>
        <c:auto val="1"/>
        <c:lblAlgn val="ctr"/>
        <c:lblOffset val="100"/>
        <c:tickLblSkip val="1"/>
        <c:tickMarkSkip val="1"/>
        <c:noMultiLvlLbl val="0"/>
      </c:catAx>
      <c:valAx>
        <c:axId val="109127936"/>
        <c:scaling>
          <c:orientation val="minMax"/>
          <c:max val="16"/>
        </c:scaling>
        <c:delete val="0"/>
        <c:axPos val="l"/>
        <c:majorGridlines>
          <c:spPr>
            <a:ln w="3175">
              <a:solidFill>
                <a:srgbClr val="000000"/>
              </a:solidFill>
              <a:prstDash val="solid"/>
            </a:ln>
          </c:spPr>
        </c:majorGridlines>
        <c:title>
          <c:tx>
            <c:rich>
              <a:bodyPr/>
              <a:lstStyle/>
              <a:p>
                <a:pPr>
                  <a:defRPr sz="1100" b="1">
                    <a:latin typeface="+mn-lt"/>
                  </a:defRPr>
                </a:pPr>
                <a:r>
                  <a:rPr lang="en-US" sz="1100" b="1">
                    <a:latin typeface="+mn-lt"/>
                  </a:rPr>
                  <a:t>Bq/l</a:t>
                </a:r>
              </a:p>
            </c:rich>
          </c:tx>
          <c:layout>
            <c:manualLayout>
              <c:xMode val="edge"/>
              <c:yMode val="edge"/>
              <c:x val="1.6614745586708203E-2"/>
              <c:y val="0.3965372945403101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a:pPr>
            <a:endParaRPr lang="en-US"/>
          </a:p>
        </c:txPr>
        <c:crossAx val="109126400"/>
        <c:crosses val="autoZero"/>
        <c:crossBetween val="between"/>
        <c:majorUnit val="4"/>
      </c:valAx>
      <c:spPr>
        <a:gradFill rotWithShape="0">
          <a:gsLst>
            <a:gs pos="0">
              <a:srgbClr xmlns:mc="http://schemas.openxmlformats.org/markup-compatibility/2006" xmlns:a14="http://schemas.microsoft.com/office/drawing/2010/main" val="010101" mc:Ignorable="a14" a14:legacySpreadsheetColorIndex="9">
                <a:gamma/>
                <a:shade val="66275"/>
                <a:invGamma/>
              </a:srgbClr>
            </a:gs>
            <a:gs pos="100000">
              <a:srgbClr xmlns:mc="http://schemas.openxmlformats.org/markup-compatibility/2006" xmlns:a14="http://schemas.microsoft.com/office/drawing/2010/main" val="FFFFFF" mc:Ignorable="a14" a14:legacySpreadsheetColorIndex="9"/>
            </a:gs>
          </a:gsLst>
          <a:lin ang="5400000" scaled="1"/>
        </a:gradFill>
        <a:ln w="12700">
          <a:solidFill>
            <a:srgbClr val="808080"/>
          </a:solidFill>
          <a:prstDash val="solid"/>
        </a:ln>
      </c:spPr>
    </c:plotArea>
    <c:legend>
      <c:legendPos val="r"/>
      <c:layout>
        <c:manualLayout>
          <c:xMode val="edge"/>
          <c:yMode val="edge"/>
          <c:x val="7.604794727761835E-2"/>
          <c:y val="0.88404297046512303"/>
          <c:w val="0.90031645569620256"/>
          <c:h val="9.2946147688985681E-2"/>
        </c:manualLayout>
      </c:layout>
      <c:overlay val="0"/>
      <c:spPr>
        <a:noFill/>
        <a:ln w="3175">
          <a:noFill/>
          <a:prstDash val="solid"/>
        </a:ln>
      </c:spPr>
      <c:txPr>
        <a:bodyPr/>
        <a:lstStyle/>
        <a:p>
          <a:pPr>
            <a:defRPr sz="1050">
              <a:latin typeface="Calibri" panose="020F0502020204030204" pitchFamily="34" charset="0"/>
            </a:defRPr>
          </a:pPr>
          <a:endParaRPr lang="en-US"/>
        </a:p>
      </c:txPr>
    </c:legend>
    <c:plotVisOnly val="1"/>
    <c:dispBlanksAs val="gap"/>
    <c:showDLblsOverMax val="0"/>
  </c:chart>
  <c:spPr>
    <a:noFill/>
    <a:ln w="6350" cap="flat" cmpd="sng" algn="ctr">
      <a:solidFill>
        <a:srgbClr val="000000"/>
      </a:solidFill>
      <a:prstDash val="solid"/>
      <a:miter lim="800000"/>
      <a:headEnd type="none" w="med" len="med"/>
      <a:tailEnd type="none" w="med" len="me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98" b="1" i="0" u="none" strike="noStrike" baseline="0">
                <a:solidFill>
                  <a:srgbClr val="000000"/>
                </a:solidFill>
                <a:latin typeface="Calibri" panose="020F0502020204030204" pitchFamily="34" charset="0"/>
                <a:ea typeface="Arial"/>
                <a:cs typeface="Arial"/>
              </a:defRPr>
            </a:pPr>
            <a:r>
              <a:rPr lang="vi-VN" sz="898">
                <a:latin typeface="Calibri" panose="020F0502020204030204" pitchFamily="34" charset="0"/>
              </a:rPr>
              <a:t>Figura </a:t>
            </a:r>
            <a:r>
              <a:rPr lang="en-US" sz="898">
                <a:latin typeface="Calibri" panose="020F0502020204030204" pitchFamily="34" charset="0"/>
              </a:rPr>
              <a:t>IX.29</a:t>
            </a:r>
            <a:r>
              <a:rPr lang="vi-VN" sz="898">
                <a:latin typeface="Calibri" panose="020F0502020204030204" pitchFamily="34" charset="0"/>
              </a:rPr>
              <a:t>. Apă de suprafaţă Marea Neagră 
Activitate specifică beta globală  
- medii/maxime lunare </a:t>
            </a:r>
            <a:r>
              <a:rPr lang="ro-RO" sz="898">
                <a:latin typeface="Calibri" panose="020F0502020204030204" pitchFamily="34" charset="0"/>
              </a:rPr>
              <a:t>î</a:t>
            </a:r>
            <a:r>
              <a:rPr lang="en-US" sz="898">
                <a:latin typeface="Calibri" panose="020F0502020204030204" pitchFamily="34" charset="0"/>
              </a:rPr>
              <a:t>n </a:t>
            </a:r>
            <a:r>
              <a:rPr lang="vi-VN" sz="898">
                <a:latin typeface="Calibri" panose="020F0502020204030204" pitchFamily="34" charset="0"/>
              </a:rPr>
              <a:t>201</a:t>
            </a:r>
            <a:r>
              <a:rPr lang="en-US" sz="898">
                <a:latin typeface="Calibri" panose="020F0502020204030204" pitchFamily="34" charset="0"/>
              </a:rPr>
              <a:t>5</a:t>
            </a:r>
            <a:r>
              <a:rPr lang="vi-VN" sz="898">
                <a:latin typeface="Calibri" panose="020F0502020204030204" pitchFamily="34" charset="0"/>
              </a:rPr>
              <a:t> </a:t>
            </a:r>
          </a:p>
        </c:rich>
      </c:tx>
      <c:layout>
        <c:manualLayout>
          <c:xMode val="edge"/>
          <c:yMode val="edge"/>
          <c:x val="0.26656151340828832"/>
          <c:y val="0"/>
        </c:manualLayout>
      </c:layout>
      <c:overlay val="0"/>
      <c:spPr>
        <a:noFill/>
        <a:ln w="19016">
          <a:noFill/>
        </a:ln>
      </c:spPr>
    </c:title>
    <c:autoTitleDeleted val="0"/>
    <c:view3D>
      <c:rotX val="5"/>
      <c:hPercent val="27"/>
      <c:rotY val="12"/>
      <c:depthPercent val="170"/>
      <c:rAngAx val="1"/>
    </c:view3D>
    <c:floor>
      <c:thickness val="0"/>
      <c:spPr>
        <a:solidFill>
          <a:srgbClr val="FFFFFF"/>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8.6690888048442757E-2"/>
          <c:y val="0.12241857062949099"/>
          <c:w val="0.89072469878273086"/>
          <c:h val="0.77709177746224334"/>
        </c:manualLayout>
      </c:layout>
      <c:bar3DChart>
        <c:barDir val="col"/>
        <c:grouping val="standard"/>
        <c:varyColors val="0"/>
        <c:ser>
          <c:idx val="0"/>
          <c:order val="0"/>
          <c:tx>
            <c:v>media </c:v>
          </c:tx>
          <c:spPr>
            <a:solidFill>
              <a:srgbClr val="9999FF"/>
            </a:solidFill>
            <a:ln w="9508">
              <a:solidFill>
                <a:srgbClr val="000000"/>
              </a:solidFill>
              <a:prstDash val="solid"/>
            </a:ln>
          </c:spPr>
          <c:invertIfNegative val="0"/>
          <c:cat>
            <c:strRef>
              <c:f>constanta!$B$2:$M$2</c:f>
              <c:strCache>
                <c:ptCount val="12"/>
                <c:pt idx="0">
                  <c:v>Ian</c:v>
                </c:pt>
                <c:pt idx="1">
                  <c:v>Feb</c:v>
                </c:pt>
                <c:pt idx="2">
                  <c:v>Mar</c:v>
                </c:pt>
                <c:pt idx="3">
                  <c:v>Apr</c:v>
                </c:pt>
                <c:pt idx="4">
                  <c:v>Mai</c:v>
                </c:pt>
                <c:pt idx="5">
                  <c:v>Iun</c:v>
                </c:pt>
                <c:pt idx="6">
                  <c:v>Iul</c:v>
                </c:pt>
                <c:pt idx="7">
                  <c:v>Aug</c:v>
                </c:pt>
                <c:pt idx="8">
                  <c:v>Sep</c:v>
                </c:pt>
                <c:pt idx="9">
                  <c:v>Oct</c:v>
                </c:pt>
                <c:pt idx="10">
                  <c:v>Nov</c:v>
                </c:pt>
                <c:pt idx="11">
                  <c:v>Dec</c:v>
                </c:pt>
              </c:strCache>
            </c:strRef>
          </c:cat>
          <c:val>
            <c:numRef>
              <c:f>constanta!$B$3:$M$3</c:f>
              <c:numCache>
                <c:formatCode>General</c:formatCode>
                <c:ptCount val="12"/>
                <c:pt idx="0">
                  <c:v>3.262</c:v>
                </c:pt>
                <c:pt idx="1">
                  <c:v>2.621</c:v>
                </c:pt>
                <c:pt idx="2">
                  <c:v>2.694</c:v>
                </c:pt>
                <c:pt idx="3">
                  <c:v>2.4369999999999998</c:v>
                </c:pt>
                <c:pt idx="4">
                  <c:v>2.76</c:v>
                </c:pt>
                <c:pt idx="5">
                  <c:v>2.6720000000000002</c:v>
                </c:pt>
                <c:pt idx="6">
                  <c:v>2.2650000000000001</c:v>
                </c:pt>
                <c:pt idx="7">
                  <c:v>2.77</c:v>
                </c:pt>
                <c:pt idx="8">
                  <c:v>2.5539999999999998</c:v>
                </c:pt>
                <c:pt idx="9">
                  <c:v>2.915</c:v>
                </c:pt>
                <c:pt idx="10">
                  <c:v>2.8149999999999999</c:v>
                </c:pt>
                <c:pt idx="11">
                  <c:v>3.3780000000000001</c:v>
                </c:pt>
              </c:numCache>
            </c:numRef>
          </c:val>
        </c:ser>
        <c:ser>
          <c:idx val="2"/>
          <c:order val="1"/>
          <c:tx>
            <c:v>maxima </c:v>
          </c:tx>
          <c:spPr>
            <a:solidFill>
              <a:srgbClr val="FFFFCC"/>
            </a:solidFill>
            <a:ln w="9508">
              <a:solidFill>
                <a:srgbClr val="000000"/>
              </a:solidFill>
              <a:prstDash val="solid"/>
            </a:ln>
          </c:spPr>
          <c:invertIfNegative val="0"/>
          <c:cat>
            <c:strRef>
              <c:f>constanta!$B$2:$M$2</c:f>
              <c:strCache>
                <c:ptCount val="12"/>
                <c:pt idx="0">
                  <c:v>Ian</c:v>
                </c:pt>
                <c:pt idx="1">
                  <c:v>Feb</c:v>
                </c:pt>
                <c:pt idx="2">
                  <c:v>Mar</c:v>
                </c:pt>
                <c:pt idx="3">
                  <c:v>Apr</c:v>
                </c:pt>
                <c:pt idx="4">
                  <c:v>Mai</c:v>
                </c:pt>
                <c:pt idx="5">
                  <c:v>Iun</c:v>
                </c:pt>
                <c:pt idx="6">
                  <c:v>Iul</c:v>
                </c:pt>
                <c:pt idx="7">
                  <c:v>Aug</c:v>
                </c:pt>
                <c:pt idx="8">
                  <c:v>Sep</c:v>
                </c:pt>
                <c:pt idx="9">
                  <c:v>Oct</c:v>
                </c:pt>
                <c:pt idx="10">
                  <c:v>Nov</c:v>
                </c:pt>
                <c:pt idx="11">
                  <c:v>Dec</c:v>
                </c:pt>
              </c:strCache>
            </c:strRef>
          </c:cat>
          <c:val>
            <c:numRef>
              <c:f>constanta!$B$4:$M$4</c:f>
              <c:numCache>
                <c:formatCode>General</c:formatCode>
                <c:ptCount val="12"/>
                <c:pt idx="0">
                  <c:v>4.0839999999999996</c:v>
                </c:pt>
                <c:pt idx="1">
                  <c:v>3.2429999999999999</c:v>
                </c:pt>
                <c:pt idx="2">
                  <c:v>2.9550000000000001</c:v>
                </c:pt>
                <c:pt idx="3">
                  <c:v>2.6339999999999999</c:v>
                </c:pt>
                <c:pt idx="4">
                  <c:v>3.089</c:v>
                </c:pt>
                <c:pt idx="5">
                  <c:v>3.0110000000000001</c:v>
                </c:pt>
                <c:pt idx="6">
                  <c:v>2.6040000000000001</c:v>
                </c:pt>
                <c:pt idx="7">
                  <c:v>3.024</c:v>
                </c:pt>
                <c:pt idx="8">
                  <c:v>2.702</c:v>
                </c:pt>
                <c:pt idx="9">
                  <c:v>3.157</c:v>
                </c:pt>
                <c:pt idx="10">
                  <c:v>3.3820000000000001</c:v>
                </c:pt>
                <c:pt idx="11">
                  <c:v>3.7</c:v>
                </c:pt>
              </c:numCache>
            </c:numRef>
          </c:val>
        </c:ser>
        <c:dLbls>
          <c:showLegendKey val="0"/>
          <c:showVal val="0"/>
          <c:showCatName val="0"/>
          <c:showSerName val="0"/>
          <c:showPercent val="0"/>
          <c:showBubbleSize val="0"/>
        </c:dLbls>
        <c:gapWidth val="340"/>
        <c:gapDepth val="130"/>
        <c:shape val="box"/>
        <c:axId val="109457408"/>
        <c:axId val="109458944"/>
        <c:axId val="109121536"/>
      </c:bar3DChart>
      <c:catAx>
        <c:axId val="109457408"/>
        <c:scaling>
          <c:orientation val="minMax"/>
        </c:scaling>
        <c:delete val="0"/>
        <c:axPos val="b"/>
        <c:numFmt formatCode="General" sourceLinked="1"/>
        <c:majorTickMark val="out"/>
        <c:minorTickMark val="none"/>
        <c:tickLblPos val="low"/>
        <c:spPr>
          <a:ln w="2377">
            <a:solidFill>
              <a:srgbClr val="000000"/>
            </a:solidFill>
            <a:prstDash val="solid"/>
          </a:ln>
        </c:spPr>
        <c:txPr>
          <a:bodyPr rot="0" vert="horz"/>
          <a:lstStyle/>
          <a:p>
            <a:pPr rtl="0">
              <a:defRPr sz="636" b="0" i="0" u="none" strike="noStrike" baseline="0">
                <a:solidFill>
                  <a:srgbClr val="000000"/>
                </a:solidFill>
                <a:latin typeface="Arial"/>
                <a:ea typeface="Arial"/>
                <a:cs typeface="Arial"/>
              </a:defRPr>
            </a:pPr>
            <a:endParaRPr lang="en-US"/>
          </a:p>
        </c:txPr>
        <c:crossAx val="109458944"/>
        <c:crosses val="autoZero"/>
        <c:auto val="1"/>
        <c:lblAlgn val="ctr"/>
        <c:lblOffset val="100"/>
        <c:tickLblSkip val="1"/>
        <c:tickMarkSkip val="1"/>
        <c:noMultiLvlLbl val="0"/>
      </c:catAx>
      <c:valAx>
        <c:axId val="109458944"/>
        <c:scaling>
          <c:orientation val="minMax"/>
          <c:max val="5"/>
          <c:min val="0"/>
        </c:scaling>
        <c:delete val="0"/>
        <c:axPos val="l"/>
        <c:majorGridlines>
          <c:spPr>
            <a:ln w="2377">
              <a:solidFill>
                <a:srgbClr val="000000"/>
              </a:solidFill>
              <a:prstDash val="solid"/>
            </a:ln>
          </c:spPr>
        </c:majorGridlines>
        <c:title>
          <c:tx>
            <c:rich>
              <a:bodyPr/>
              <a:lstStyle/>
              <a:p>
                <a:pPr>
                  <a:defRPr sz="824" b="1" i="0" u="none" strike="noStrike" baseline="0">
                    <a:solidFill>
                      <a:srgbClr val="000000"/>
                    </a:solidFill>
                    <a:latin typeface="Calibri" panose="020F0502020204030204" pitchFamily="34" charset="0"/>
                    <a:ea typeface="Arial"/>
                    <a:cs typeface="Arial"/>
                  </a:defRPr>
                </a:pPr>
                <a:r>
                  <a:rPr lang="en-US" sz="824">
                    <a:latin typeface="Calibri" panose="020F0502020204030204" pitchFamily="34" charset="0"/>
                  </a:rPr>
                  <a:t>Bq/l</a:t>
                </a:r>
              </a:p>
            </c:rich>
          </c:tx>
          <c:layout>
            <c:manualLayout>
              <c:xMode val="edge"/>
              <c:yMode val="edge"/>
              <c:x val="1.5772822375016118E-2"/>
              <c:y val="0.47619054627517354"/>
            </c:manualLayout>
          </c:layout>
          <c:overlay val="0"/>
          <c:spPr>
            <a:noFill/>
            <a:ln w="19016">
              <a:noFill/>
            </a:ln>
          </c:spPr>
        </c:title>
        <c:numFmt formatCode="General" sourceLinked="1"/>
        <c:majorTickMark val="out"/>
        <c:minorTickMark val="none"/>
        <c:tickLblPos val="nextTo"/>
        <c:spPr>
          <a:ln w="2377">
            <a:solidFill>
              <a:srgbClr val="000000"/>
            </a:solidFill>
            <a:prstDash val="solid"/>
          </a:ln>
        </c:spPr>
        <c:txPr>
          <a:bodyPr rot="0" vert="horz"/>
          <a:lstStyle/>
          <a:p>
            <a:pPr>
              <a:defRPr sz="636" b="0" i="0" u="none" strike="noStrike" baseline="0">
                <a:solidFill>
                  <a:srgbClr val="000000"/>
                </a:solidFill>
                <a:latin typeface="Arial"/>
                <a:ea typeface="Arial"/>
                <a:cs typeface="Arial"/>
              </a:defRPr>
            </a:pPr>
            <a:endParaRPr lang="en-US"/>
          </a:p>
        </c:txPr>
        <c:crossAx val="109457408"/>
        <c:crosses val="autoZero"/>
        <c:crossBetween val="between"/>
        <c:majorUnit val="1"/>
        <c:minorUnit val="1"/>
      </c:valAx>
      <c:serAx>
        <c:axId val="109121536"/>
        <c:scaling>
          <c:orientation val="minMax"/>
        </c:scaling>
        <c:delete val="1"/>
        <c:axPos val="b"/>
        <c:majorTickMark val="out"/>
        <c:minorTickMark val="none"/>
        <c:tickLblPos val="nextTo"/>
        <c:crossAx val="109458944"/>
        <c:crosses val="autoZero"/>
      </c:serAx>
      <c:spPr>
        <a:noFill/>
        <a:ln w="19016">
          <a:noFill/>
        </a:ln>
      </c:spPr>
    </c:plotArea>
    <c:legend>
      <c:legendPos val="r"/>
      <c:layout>
        <c:manualLayout>
          <c:xMode val="edge"/>
          <c:yMode val="edge"/>
          <c:x val="0.12145118151831656"/>
          <c:y val="0.87445875340348811"/>
          <c:w val="0.80126183910054027"/>
          <c:h val="0.10822528025118361"/>
        </c:manualLayout>
      </c:layout>
      <c:overlay val="0"/>
      <c:spPr>
        <a:solidFill>
          <a:srgbClr val="FFFFFF"/>
        </a:solidFill>
        <a:ln w="19016">
          <a:noFill/>
        </a:ln>
      </c:spPr>
      <c:txPr>
        <a:bodyPr/>
        <a:lstStyle/>
        <a:p>
          <a:pPr>
            <a:defRPr sz="786" b="0" i="0" u="none" strike="noStrike" baseline="0">
              <a:solidFill>
                <a:srgbClr val="000000"/>
              </a:solidFill>
              <a:latin typeface="Calibri" panose="020F0502020204030204" pitchFamily="34" charset="0"/>
              <a:ea typeface="Arial"/>
              <a:cs typeface="Arial"/>
            </a:defRPr>
          </a:pPr>
          <a:endParaRPr lang="en-US"/>
        </a:p>
      </c:txPr>
    </c:legend>
    <c:plotVisOnly val="1"/>
    <c:dispBlanksAs val="gap"/>
    <c:showDLblsOverMax val="0"/>
  </c:chart>
  <c:spPr>
    <a:solidFill>
      <a:srgbClr val="FFFFFF"/>
    </a:solidFill>
    <a:ln w="2377">
      <a:solidFill>
        <a:srgbClr val="000000"/>
      </a:solidFill>
      <a:prstDash val="solid"/>
    </a:ln>
  </c:spPr>
  <c:txPr>
    <a:bodyPr/>
    <a:lstStyle/>
    <a:p>
      <a:pPr>
        <a:defRPr sz="599" b="0" i="0" u="none" strike="noStrike" baseline="0">
          <a:solidFill>
            <a:srgbClr val="000000"/>
          </a:solidFill>
          <a:latin typeface="Arial"/>
          <a:ea typeface="Arial"/>
          <a:cs typeface="Arial"/>
        </a:defRPr>
      </a:pPr>
      <a:endParaRPr lang="en-US"/>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Calibri" panose="020F0502020204030204" pitchFamily="34" charset="0"/>
                <a:ea typeface="Arial"/>
                <a:cs typeface="Arial"/>
              </a:defRPr>
            </a:pPr>
            <a:r>
              <a:rPr lang="vi-VN">
                <a:latin typeface="Calibri" panose="020F0502020204030204" pitchFamily="34" charset="0"/>
              </a:rPr>
              <a:t>Figura </a:t>
            </a:r>
            <a:r>
              <a:rPr lang="ro-RO" sz="1200" b="1" i="0" u="none" strike="noStrike" kern="1200" baseline="0">
                <a:solidFill>
                  <a:srgbClr val="000000"/>
                </a:solidFill>
                <a:latin typeface="Calibri" panose="020F0502020204030204" pitchFamily="34" charset="0"/>
                <a:cs typeface="Arial"/>
              </a:rPr>
              <a:t>IX</a:t>
            </a:r>
            <a:r>
              <a:rPr lang="ro-RO">
                <a:latin typeface="Calibri" panose="020F0502020204030204" pitchFamily="34" charset="0"/>
              </a:rPr>
              <a:t>.31</a:t>
            </a:r>
            <a:r>
              <a:rPr lang="vi-VN">
                <a:latin typeface="Calibri" panose="020F0502020204030204" pitchFamily="34" charset="0"/>
              </a:rPr>
              <a:t>. Concentraţii de K-40 în Marea Neagră
- probe cumulate lunar </a:t>
            </a:r>
            <a:r>
              <a:rPr lang="ro-RO">
                <a:latin typeface="Calibri" panose="020F0502020204030204" pitchFamily="34" charset="0"/>
              </a:rPr>
              <a:t>în</a:t>
            </a:r>
            <a:r>
              <a:rPr lang="ro-RO" baseline="0">
                <a:latin typeface="Calibri" panose="020F0502020204030204" pitchFamily="34" charset="0"/>
              </a:rPr>
              <a:t> </a:t>
            </a:r>
            <a:r>
              <a:rPr lang="en-US" sz="1200" b="1" i="0" u="none" strike="noStrike" kern="1200" baseline="0">
                <a:solidFill>
                  <a:srgbClr val="000000"/>
                </a:solidFill>
                <a:latin typeface="Calibri" panose="020F0502020204030204" pitchFamily="34" charset="0"/>
                <a:cs typeface="Arial"/>
              </a:rPr>
              <a:t>2015</a:t>
            </a:r>
            <a:endParaRPr lang="vi-VN">
              <a:latin typeface="Calibri" panose="020F0502020204030204" pitchFamily="34" charset="0"/>
            </a:endParaRPr>
          </a:p>
        </c:rich>
      </c:tx>
      <c:layout>
        <c:manualLayout>
          <c:xMode val="edge"/>
          <c:yMode val="edge"/>
          <c:x val="0.19753086419753085"/>
          <c:y val="1.9762845849802372E-2"/>
        </c:manualLayout>
      </c:layout>
      <c:overlay val="0"/>
      <c:spPr>
        <a:noFill/>
        <a:ln w="25398">
          <a:noFill/>
        </a:ln>
      </c:spPr>
    </c:title>
    <c:autoTitleDeleted val="0"/>
    <c:plotArea>
      <c:layout>
        <c:manualLayout>
          <c:layoutTarget val="inner"/>
          <c:xMode val="edge"/>
          <c:yMode val="edge"/>
          <c:x val="0.10196049437482287"/>
          <c:y val="0.18413780026546112"/>
          <c:w val="0.86615372608940311"/>
          <c:h val="0.60465774477810041"/>
        </c:manualLayout>
      </c:layout>
      <c:barChart>
        <c:barDir val="col"/>
        <c:grouping val="clustered"/>
        <c:varyColors val="0"/>
        <c:ser>
          <c:idx val="0"/>
          <c:order val="0"/>
          <c:tx>
            <c:strRef>
              <c:f>Sheet1!$A$2</c:f>
              <c:strCache>
                <c:ptCount val="1"/>
                <c:pt idx="0">
                  <c:v>SSRM Constanţa</c:v>
                </c:pt>
              </c:strCache>
            </c:strRef>
          </c:tx>
          <c:spPr>
            <a:solidFill>
              <a:schemeClr val="tx2">
                <a:lumMod val="60000"/>
                <a:lumOff val="40000"/>
              </a:schemeClr>
            </a:solidFill>
            <a:ln w="12699">
              <a:solidFill>
                <a:srgbClr val="000000"/>
              </a:solidFill>
              <a:prstDash val="solid"/>
            </a:ln>
          </c:spPr>
          <c:invertIfNegative val="0"/>
          <c:cat>
            <c:strRef>
              <c:f>Sheet1!$B$1:$M$1</c:f>
              <c:strCache>
                <c:ptCount val="12"/>
                <c:pt idx="0">
                  <c:v>ian</c:v>
                </c:pt>
                <c:pt idx="1">
                  <c:v>feb</c:v>
                </c:pt>
                <c:pt idx="2">
                  <c:v>mar</c:v>
                </c:pt>
                <c:pt idx="3">
                  <c:v>apr</c:v>
                </c:pt>
                <c:pt idx="4">
                  <c:v>mai</c:v>
                </c:pt>
                <c:pt idx="5">
                  <c:v>iun</c:v>
                </c:pt>
                <c:pt idx="6">
                  <c:v>iul</c:v>
                </c:pt>
                <c:pt idx="7">
                  <c:v>aug</c:v>
                </c:pt>
                <c:pt idx="8">
                  <c:v>sep</c:v>
                </c:pt>
                <c:pt idx="9">
                  <c:v>oct</c:v>
                </c:pt>
                <c:pt idx="10">
                  <c:v>nov</c:v>
                </c:pt>
                <c:pt idx="11">
                  <c:v>dec</c:v>
                </c:pt>
              </c:strCache>
            </c:strRef>
          </c:cat>
          <c:val>
            <c:numRef>
              <c:f>Sheet1!$B$2:$M$2</c:f>
              <c:numCache>
                <c:formatCode>General</c:formatCode>
                <c:ptCount val="12"/>
                <c:pt idx="0">
                  <c:v>4.5469999999999997</c:v>
                </c:pt>
                <c:pt idx="1">
                  <c:v>4.7784000000000004</c:v>
                </c:pt>
                <c:pt idx="2">
                  <c:v>4.0475000000000003</c:v>
                </c:pt>
                <c:pt idx="3">
                  <c:v>4.5061</c:v>
                </c:pt>
                <c:pt idx="4">
                  <c:v>4.3643999999999998</c:v>
                </c:pt>
                <c:pt idx="5">
                  <c:v>4.0556000000000001</c:v>
                </c:pt>
                <c:pt idx="6">
                  <c:v>4.6428000000000003</c:v>
                </c:pt>
                <c:pt idx="7">
                  <c:v>4.8722000000000003</c:v>
                </c:pt>
                <c:pt idx="8">
                  <c:v>5.5659999999999998</c:v>
                </c:pt>
                <c:pt idx="9">
                  <c:v>4.5265000000000004</c:v>
                </c:pt>
                <c:pt idx="10">
                  <c:v>5.7168999999999999</c:v>
                </c:pt>
                <c:pt idx="11">
                  <c:v>5.3619000000000003</c:v>
                </c:pt>
              </c:numCache>
            </c:numRef>
          </c:val>
        </c:ser>
        <c:ser>
          <c:idx val="1"/>
          <c:order val="1"/>
          <c:tx>
            <c:strRef>
              <c:f>Sheet1!$A$3</c:f>
              <c:strCache>
                <c:ptCount val="1"/>
                <c:pt idx="0">
                  <c:v>SSRM Sf.Gheorghe</c:v>
                </c:pt>
              </c:strCache>
            </c:strRef>
          </c:tx>
          <c:spPr>
            <a:solidFill>
              <a:srgbClr val="00FF00"/>
            </a:solidFill>
            <a:ln w="12699">
              <a:solidFill>
                <a:srgbClr val="000000"/>
              </a:solidFill>
              <a:prstDash val="solid"/>
            </a:ln>
          </c:spPr>
          <c:invertIfNegative val="0"/>
          <c:cat>
            <c:strRef>
              <c:f>Sheet1!$B$1:$M$1</c:f>
              <c:strCache>
                <c:ptCount val="12"/>
                <c:pt idx="0">
                  <c:v>ian</c:v>
                </c:pt>
                <c:pt idx="1">
                  <c:v>feb</c:v>
                </c:pt>
                <c:pt idx="2">
                  <c:v>mar</c:v>
                </c:pt>
                <c:pt idx="3">
                  <c:v>apr</c:v>
                </c:pt>
                <c:pt idx="4">
                  <c:v>mai</c:v>
                </c:pt>
                <c:pt idx="5">
                  <c:v>iun</c:v>
                </c:pt>
                <c:pt idx="6">
                  <c:v>iul</c:v>
                </c:pt>
                <c:pt idx="7">
                  <c:v>aug</c:v>
                </c:pt>
                <c:pt idx="8">
                  <c:v>sep</c:v>
                </c:pt>
                <c:pt idx="9">
                  <c:v>oct</c:v>
                </c:pt>
                <c:pt idx="10">
                  <c:v>nov</c:v>
                </c:pt>
                <c:pt idx="11">
                  <c:v>dec</c:v>
                </c:pt>
              </c:strCache>
            </c:strRef>
          </c:cat>
          <c:val>
            <c:numRef>
              <c:f>Sheet1!$B$3:$M$3</c:f>
              <c:numCache>
                <c:formatCode>General</c:formatCode>
                <c:ptCount val="12"/>
                <c:pt idx="4">
                  <c:v>1.9126000000000001</c:v>
                </c:pt>
                <c:pt idx="5">
                  <c:v>1.8814</c:v>
                </c:pt>
                <c:pt idx="6">
                  <c:v>2.3235000000000001</c:v>
                </c:pt>
                <c:pt idx="7">
                  <c:v>3.0651000000000002</c:v>
                </c:pt>
                <c:pt idx="8">
                  <c:v>3.7008999999999999</c:v>
                </c:pt>
                <c:pt idx="9">
                  <c:v>2.9217</c:v>
                </c:pt>
                <c:pt idx="10">
                  <c:v>4.1989999999999998</c:v>
                </c:pt>
                <c:pt idx="11">
                  <c:v>3.9152</c:v>
                </c:pt>
              </c:numCache>
            </c:numRef>
          </c:val>
        </c:ser>
        <c:dLbls>
          <c:showLegendKey val="0"/>
          <c:showVal val="0"/>
          <c:showCatName val="0"/>
          <c:showSerName val="0"/>
          <c:showPercent val="0"/>
          <c:showBubbleSize val="0"/>
        </c:dLbls>
        <c:gapWidth val="150"/>
        <c:axId val="110776320"/>
        <c:axId val="110777856"/>
      </c:barChart>
      <c:catAx>
        <c:axId val="11077632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10777856"/>
        <c:crosses val="autoZero"/>
        <c:auto val="1"/>
        <c:lblAlgn val="ctr"/>
        <c:lblOffset val="100"/>
        <c:tickLblSkip val="1"/>
        <c:tickMarkSkip val="1"/>
        <c:noMultiLvlLbl val="0"/>
      </c:catAx>
      <c:valAx>
        <c:axId val="110777856"/>
        <c:scaling>
          <c:orientation val="minMax"/>
          <c:max val="6"/>
          <c:min val="0"/>
        </c:scaling>
        <c:delete val="0"/>
        <c:axPos val="l"/>
        <c:majorGridlines>
          <c:spPr>
            <a:ln w="3175">
              <a:solidFill>
                <a:srgbClr val="000000"/>
              </a:solidFill>
              <a:prstDash val="solid"/>
            </a:ln>
          </c:spPr>
        </c:majorGridlines>
        <c:title>
          <c:tx>
            <c:rich>
              <a:bodyPr/>
              <a:lstStyle/>
              <a:p>
                <a:pPr>
                  <a:defRPr sz="1100" b="1" i="0" u="none" strike="noStrike" baseline="0">
                    <a:solidFill>
                      <a:srgbClr val="000000"/>
                    </a:solidFill>
                    <a:latin typeface="Calibri" panose="020F0502020204030204" pitchFamily="34" charset="0"/>
                    <a:ea typeface="Arial"/>
                    <a:cs typeface="Arial"/>
                  </a:defRPr>
                </a:pPr>
                <a:r>
                  <a:rPr lang="en-US" sz="1100">
                    <a:latin typeface="Calibri" panose="020F0502020204030204" pitchFamily="34" charset="0"/>
                  </a:rPr>
                  <a:t>Bq/</a:t>
                </a:r>
                <a:r>
                  <a:rPr lang="ro-RO" sz="1100">
                    <a:latin typeface="Calibri" panose="020F0502020204030204" pitchFamily="34" charset="0"/>
                  </a:rPr>
                  <a:t>l</a:t>
                </a:r>
                <a:endParaRPr lang="en-US" sz="1100">
                  <a:latin typeface="Calibri" panose="020F0502020204030204" pitchFamily="34" charset="0"/>
                </a:endParaRPr>
              </a:p>
            </c:rich>
          </c:tx>
          <c:layout>
            <c:manualLayout>
              <c:xMode val="edge"/>
              <c:yMode val="edge"/>
              <c:x val="2.1974459765299291E-2"/>
              <c:y val="0.40316198117820828"/>
            </c:manualLayout>
          </c:layout>
          <c:overlay val="0"/>
          <c:spPr>
            <a:noFill/>
            <a:ln w="25398">
              <a:noFill/>
            </a:ln>
          </c:spPr>
        </c:title>
        <c:numFmt formatCode="General" sourceLinked="1"/>
        <c:majorTickMark val="out"/>
        <c:minorTickMark val="none"/>
        <c:tickLblPos val="nextTo"/>
        <c:spPr>
          <a:ln w="3175">
            <a:solidFill>
              <a:srgbClr val="000000"/>
            </a:solidFill>
            <a:prstDash val="solid"/>
          </a:ln>
        </c:spPr>
        <c:txPr>
          <a:bodyPr rot="0" vert="horz"/>
          <a:lstStyle/>
          <a:p>
            <a:pPr>
              <a:defRPr sz="950" b="0" i="0" u="none" strike="noStrike" baseline="0">
                <a:solidFill>
                  <a:srgbClr val="000000"/>
                </a:solidFill>
                <a:latin typeface="Arial"/>
                <a:ea typeface="Arial"/>
                <a:cs typeface="Arial"/>
              </a:defRPr>
            </a:pPr>
            <a:endParaRPr lang="en-US"/>
          </a:p>
        </c:txPr>
        <c:crossAx val="110776320"/>
        <c:crosses val="autoZero"/>
        <c:crossBetween val="between"/>
        <c:majorUnit val="2"/>
      </c:valAx>
      <c:spPr>
        <a:gradFill rotWithShape="0">
          <a:gsLst>
            <a:gs pos="0">
              <a:srgbClr xmlns:mc="http://schemas.openxmlformats.org/markup-compatibility/2006" xmlns:a14="http://schemas.microsoft.com/office/drawing/2010/main" val="FFFFFF" mc:Ignorable="a14" a14:legacySpreadsheetColorIndex="9"/>
            </a:gs>
            <a:gs pos="100000">
              <a:srgbClr xmlns:mc="http://schemas.openxmlformats.org/markup-compatibility/2006" xmlns:a14="http://schemas.microsoft.com/office/drawing/2010/main" val="010101" mc:Ignorable="a14" a14:legacySpreadsheetColorIndex="9">
                <a:gamma/>
                <a:shade val="66275"/>
                <a:invGamma/>
              </a:srgbClr>
            </a:gs>
          </a:gsLst>
          <a:path path="rect">
            <a:fillToRect r="100000" b="100000"/>
          </a:path>
        </a:gradFill>
        <a:ln w="12699">
          <a:solidFill>
            <a:srgbClr val="808080"/>
          </a:solidFill>
          <a:prstDash val="solid"/>
        </a:ln>
      </c:spPr>
    </c:plotArea>
    <c:legend>
      <c:legendPos val="r"/>
      <c:layout>
        <c:manualLayout>
          <c:xMode val="edge"/>
          <c:yMode val="edge"/>
          <c:x val="0.15123456790123457"/>
          <c:y val="0.88932806324110669"/>
          <c:w val="0.76388888888888884"/>
          <c:h val="9.8814229249011856E-2"/>
        </c:manualLayout>
      </c:layout>
      <c:overlay val="0"/>
      <c:spPr>
        <a:noFill/>
        <a:ln w="3175">
          <a:noFill/>
          <a:prstDash val="solid"/>
        </a:ln>
      </c:spPr>
      <c:txPr>
        <a:bodyPr/>
        <a:lstStyle/>
        <a:p>
          <a:pPr>
            <a:defRPr sz="1050" b="0" i="0" u="none" strike="noStrike" baseline="0">
              <a:solidFill>
                <a:srgbClr val="000000"/>
              </a:solidFill>
              <a:latin typeface="Calibri" panose="020F0502020204030204" pitchFamily="34" charset="0"/>
              <a:ea typeface="Arial"/>
              <a:cs typeface="Arial"/>
            </a:defRPr>
          </a:pPr>
          <a:endParaRPr lang="en-US"/>
        </a:p>
      </c:txPr>
    </c:legend>
    <c:plotVisOnly val="1"/>
    <c:dispBlanksAs val="gap"/>
    <c:showDLblsOverMax val="0"/>
  </c:chart>
  <c:spPr>
    <a:noFill/>
    <a:ln w="6350" cap="flat" cmpd="sng" algn="ctr">
      <a:solidFill>
        <a:srgbClr val="000000"/>
      </a:solidFill>
      <a:prstDash val="solid"/>
      <a:miter lim="800000"/>
      <a:headEnd type="none" w="med" len="med"/>
      <a:tailEnd type="none" w="med" len="med"/>
    </a:ln>
  </c:spPr>
  <c:txPr>
    <a:bodyPr/>
    <a:lstStyle/>
    <a:p>
      <a:pPr>
        <a:defRPr sz="1100" b="1" i="0" u="none" strike="noStrike" baseline="0">
          <a:solidFill>
            <a:srgbClr val="000000"/>
          </a:solidFill>
          <a:latin typeface="Arial"/>
          <a:ea typeface="Arial"/>
          <a:cs typeface="Arial"/>
        </a:defRPr>
      </a:pPr>
      <a:endParaRPr lang="en-US"/>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mn-lt"/>
                <a:cs typeface="Arial" panose="020B0604020202020204" pitchFamily="34" charset="0"/>
              </a:defRPr>
            </a:pPr>
            <a:r>
              <a:rPr lang="ro-RO" sz="1200">
                <a:latin typeface="+mn-lt"/>
                <a:cs typeface="Arial" panose="020B0604020202020204" pitchFamily="34" charset="0"/>
              </a:rPr>
              <a:t>Figura </a:t>
            </a:r>
            <a:r>
              <a:rPr lang="ro-RO" sz="1200" b="1" i="0" u="none" strike="noStrike" kern="1200" baseline="0">
                <a:solidFill>
                  <a:sysClr val="windowText" lastClr="000000"/>
                </a:solidFill>
                <a:latin typeface="+mn-lt"/>
                <a:ea typeface="+mn-ea"/>
                <a:cs typeface="Arial" panose="020B0604020202020204" pitchFamily="34" charset="0"/>
              </a:rPr>
              <a:t>IX</a:t>
            </a:r>
            <a:r>
              <a:rPr lang="ro-RO" sz="1200">
                <a:latin typeface="+mn-lt"/>
                <a:cs typeface="Arial" panose="020B0604020202020204" pitchFamily="34" charset="0"/>
              </a:rPr>
              <a:t>.32. Variaţia multianuală a concentraţiei</a:t>
            </a:r>
            <a:r>
              <a:rPr lang="ro-RO" sz="1200" baseline="0">
                <a:latin typeface="+mn-lt"/>
                <a:cs typeface="Arial" panose="020B0604020202020204" pitchFamily="34" charset="0"/>
              </a:rPr>
              <a:t> </a:t>
            </a:r>
            <a:r>
              <a:rPr lang="ro-RO" sz="1200">
                <a:latin typeface="+mn-lt"/>
                <a:cs typeface="Arial" panose="020B0604020202020204" pitchFamily="34" charset="0"/>
              </a:rPr>
              <a:t> Cs</a:t>
            </a:r>
            <a:r>
              <a:rPr lang="en-US" sz="1200">
                <a:latin typeface="+mn-lt"/>
                <a:cs typeface="Arial" panose="020B0604020202020204" pitchFamily="34" charset="0"/>
              </a:rPr>
              <a:t>-</a:t>
            </a:r>
            <a:r>
              <a:rPr lang="ro-RO" sz="1200">
                <a:latin typeface="+mn-lt"/>
                <a:cs typeface="Arial" panose="020B0604020202020204" pitchFamily="34" charset="0"/>
              </a:rPr>
              <a:t>137</a:t>
            </a:r>
            <a:r>
              <a:rPr lang="ro-RO" sz="1200" baseline="0">
                <a:latin typeface="+mn-lt"/>
                <a:cs typeface="Arial" panose="020B0604020202020204" pitchFamily="34" charset="0"/>
              </a:rPr>
              <a:t> în Marea Neagră</a:t>
            </a:r>
          </a:p>
        </c:rich>
      </c:tx>
      <c:overlay val="0"/>
    </c:title>
    <c:autoTitleDeleted val="0"/>
    <c:plotArea>
      <c:layout>
        <c:manualLayout>
          <c:layoutTarget val="inner"/>
          <c:xMode val="edge"/>
          <c:yMode val="edge"/>
          <c:x val="0.12695629712952547"/>
          <c:y val="0.18095328083989501"/>
          <c:w val="0.86632770903637046"/>
          <c:h val="0.53085144356955383"/>
        </c:manualLayout>
      </c:layout>
      <c:lineChart>
        <c:grouping val="standard"/>
        <c:varyColors val="0"/>
        <c:ser>
          <c:idx val="0"/>
          <c:order val="0"/>
          <c:tx>
            <c:strRef>
              <c:f>Foaie1!$B$1</c:f>
              <c:strCache>
                <c:ptCount val="1"/>
                <c:pt idx="0">
                  <c:v>SSRM Constanţa -media</c:v>
                </c:pt>
              </c:strCache>
            </c:strRef>
          </c:tx>
          <c:cat>
            <c:numRef>
              <c:f>Foaie1!$A$2:$A$7</c:f>
              <c:numCache>
                <c:formatCode>General</c:formatCode>
                <c:ptCount val="6"/>
                <c:pt idx="0">
                  <c:v>2010</c:v>
                </c:pt>
                <c:pt idx="1">
                  <c:v>2011</c:v>
                </c:pt>
                <c:pt idx="2">
                  <c:v>2012</c:v>
                </c:pt>
                <c:pt idx="3">
                  <c:v>2013</c:v>
                </c:pt>
                <c:pt idx="4">
                  <c:v>2014</c:v>
                </c:pt>
                <c:pt idx="5">
                  <c:v>2015</c:v>
                </c:pt>
              </c:numCache>
            </c:numRef>
          </c:cat>
          <c:val>
            <c:numRef>
              <c:f>Foaie1!$B$2:$B$7</c:f>
              <c:numCache>
                <c:formatCode>General</c:formatCode>
                <c:ptCount val="6"/>
                <c:pt idx="0">
                  <c:v>1.1057000000000001E-2</c:v>
                </c:pt>
                <c:pt idx="1">
                  <c:v>1.0567999999999999E-2</c:v>
                </c:pt>
                <c:pt idx="2">
                  <c:v>9.9749999999999995E-3</c:v>
                </c:pt>
                <c:pt idx="3">
                  <c:v>9.0720000000000002E-3</c:v>
                </c:pt>
                <c:pt idx="4">
                  <c:v>1.1478E-2</c:v>
                </c:pt>
                <c:pt idx="5">
                  <c:v>1.0824E-2</c:v>
                </c:pt>
              </c:numCache>
            </c:numRef>
          </c:val>
          <c:smooth val="0"/>
        </c:ser>
        <c:ser>
          <c:idx val="1"/>
          <c:order val="1"/>
          <c:tx>
            <c:strRef>
              <c:f>Foaie1!$C$1</c:f>
              <c:strCache>
                <c:ptCount val="1"/>
                <c:pt idx="0">
                  <c:v>SSRM Constanţa -maxima</c:v>
                </c:pt>
              </c:strCache>
            </c:strRef>
          </c:tx>
          <c:cat>
            <c:numRef>
              <c:f>Foaie1!$A$2:$A$7</c:f>
              <c:numCache>
                <c:formatCode>General</c:formatCode>
                <c:ptCount val="6"/>
                <c:pt idx="0">
                  <c:v>2010</c:v>
                </c:pt>
                <c:pt idx="1">
                  <c:v>2011</c:v>
                </c:pt>
                <c:pt idx="2">
                  <c:v>2012</c:v>
                </c:pt>
                <c:pt idx="3">
                  <c:v>2013</c:v>
                </c:pt>
                <c:pt idx="4">
                  <c:v>2014</c:v>
                </c:pt>
                <c:pt idx="5">
                  <c:v>2015</c:v>
                </c:pt>
              </c:numCache>
            </c:numRef>
          </c:cat>
          <c:val>
            <c:numRef>
              <c:f>Foaie1!$C$2:$C$7</c:f>
              <c:numCache>
                <c:formatCode>0.000000</c:formatCode>
                <c:ptCount val="6"/>
                <c:pt idx="0">
                  <c:v>1.6539000000000002E-2</c:v>
                </c:pt>
                <c:pt idx="1">
                  <c:v>2.6915000000000001E-2</c:v>
                </c:pt>
                <c:pt idx="2">
                  <c:v>1.6073E-2</c:v>
                </c:pt>
                <c:pt idx="3">
                  <c:v>1.4898E-2</c:v>
                </c:pt>
                <c:pt idx="4">
                  <c:v>1.7018999999999999E-2</c:v>
                </c:pt>
                <c:pt idx="5">
                  <c:v>1.8994E-2</c:v>
                </c:pt>
              </c:numCache>
            </c:numRef>
          </c:val>
          <c:smooth val="0"/>
        </c:ser>
        <c:ser>
          <c:idx val="2"/>
          <c:order val="2"/>
          <c:tx>
            <c:strRef>
              <c:f>Foaie1!$D$1</c:f>
              <c:strCache>
                <c:ptCount val="1"/>
                <c:pt idx="0">
                  <c:v>SSRM Sf.Gheorghe-media</c:v>
                </c:pt>
              </c:strCache>
            </c:strRef>
          </c:tx>
          <c:cat>
            <c:numRef>
              <c:f>Foaie1!$A$2:$A$7</c:f>
              <c:numCache>
                <c:formatCode>General</c:formatCode>
                <c:ptCount val="6"/>
                <c:pt idx="0">
                  <c:v>2010</c:v>
                </c:pt>
                <c:pt idx="1">
                  <c:v>2011</c:v>
                </c:pt>
                <c:pt idx="2">
                  <c:v>2012</c:v>
                </c:pt>
                <c:pt idx="3">
                  <c:v>2013</c:v>
                </c:pt>
                <c:pt idx="4">
                  <c:v>2014</c:v>
                </c:pt>
                <c:pt idx="5">
                  <c:v>2015</c:v>
                </c:pt>
              </c:numCache>
            </c:numRef>
          </c:cat>
          <c:val>
            <c:numRef>
              <c:f>Foaie1!$D$2:$D$7</c:f>
              <c:numCache>
                <c:formatCode>General</c:formatCode>
                <c:ptCount val="6"/>
                <c:pt idx="0">
                  <c:v>6.888E-3</c:v>
                </c:pt>
                <c:pt idx="1">
                  <c:v>5.6249999999999998E-3</c:v>
                </c:pt>
                <c:pt idx="2">
                  <c:v>6.607E-3</c:v>
                </c:pt>
                <c:pt idx="3">
                  <c:v>7.1180000000000002E-3</c:v>
                </c:pt>
                <c:pt idx="4">
                  <c:v>5.7580000000000001E-3</c:v>
                </c:pt>
                <c:pt idx="5">
                  <c:v>7.0470000000000003E-3</c:v>
                </c:pt>
              </c:numCache>
            </c:numRef>
          </c:val>
          <c:smooth val="0"/>
        </c:ser>
        <c:ser>
          <c:idx val="3"/>
          <c:order val="3"/>
          <c:tx>
            <c:strRef>
              <c:f>Foaie1!$E$1</c:f>
              <c:strCache>
                <c:ptCount val="1"/>
                <c:pt idx="0">
                  <c:v>SSRM Sf.Gheorghe-maxima</c:v>
                </c:pt>
              </c:strCache>
            </c:strRef>
          </c:tx>
          <c:cat>
            <c:numRef>
              <c:f>Foaie1!$A$2:$A$7</c:f>
              <c:numCache>
                <c:formatCode>General</c:formatCode>
                <c:ptCount val="6"/>
                <c:pt idx="0">
                  <c:v>2010</c:v>
                </c:pt>
                <c:pt idx="1">
                  <c:v>2011</c:v>
                </c:pt>
                <c:pt idx="2">
                  <c:v>2012</c:v>
                </c:pt>
                <c:pt idx="3">
                  <c:v>2013</c:v>
                </c:pt>
                <c:pt idx="4">
                  <c:v>2014</c:v>
                </c:pt>
                <c:pt idx="5">
                  <c:v>2015</c:v>
                </c:pt>
              </c:numCache>
            </c:numRef>
          </c:cat>
          <c:val>
            <c:numRef>
              <c:f>Foaie1!$E$2:$E$7</c:f>
              <c:numCache>
                <c:formatCode>General</c:formatCode>
                <c:ptCount val="6"/>
                <c:pt idx="0">
                  <c:v>1.2296E-2</c:v>
                </c:pt>
                <c:pt idx="1">
                  <c:v>9.1699999999999993E-3</c:v>
                </c:pt>
                <c:pt idx="2">
                  <c:v>1.1483999999999999E-2</c:v>
                </c:pt>
                <c:pt idx="3">
                  <c:v>1.3577000000000001E-2</c:v>
                </c:pt>
                <c:pt idx="4">
                  <c:v>8.9370000000000005E-3</c:v>
                </c:pt>
                <c:pt idx="5">
                  <c:v>1.119E-2</c:v>
                </c:pt>
              </c:numCache>
            </c:numRef>
          </c:val>
          <c:smooth val="0"/>
        </c:ser>
        <c:dLbls>
          <c:showLegendKey val="0"/>
          <c:showVal val="0"/>
          <c:showCatName val="0"/>
          <c:showSerName val="0"/>
          <c:showPercent val="0"/>
          <c:showBubbleSize val="0"/>
        </c:dLbls>
        <c:marker val="1"/>
        <c:smooth val="0"/>
        <c:axId val="110813568"/>
        <c:axId val="110815104"/>
      </c:lineChart>
      <c:catAx>
        <c:axId val="110813568"/>
        <c:scaling>
          <c:orientation val="minMax"/>
        </c:scaling>
        <c:delete val="0"/>
        <c:axPos val="b"/>
        <c:numFmt formatCode="General" sourceLinked="1"/>
        <c:majorTickMark val="none"/>
        <c:minorTickMark val="none"/>
        <c:tickLblPos val="nextTo"/>
        <c:txPr>
          <a:bodyPr rot="120000" vert="horz"/>
          <a:lstStyle/>
          <a:p>
            <a:pPr>
              <a:defRPr/>
            </a:pPr>
            <a:endParaRPr lang="en-US"/>
          </a:p>
        </c:txPr>
        <c:crossAx val="110815104"/>
        <c:crossesAt val="0"/>
        <c:auto val="1"/>
        <c:lblAlgn val="ctr"/>
        <c:lblOffset val="100"/>
        <c:noMultiLvlLbl val="0"/>
      </c:catAx>
      <c:valAx>
        <c:axId val="110815104"/>
        <c:scaling>
          <c:orientation val="minMax"/>
          <c:min val="0"/>
        </c:scaling>
        <c:delete val="0"/>
        <c:axPos val="l"/>
        <c:majorGridlines/>
        <c:title>
          <c:tx>
            <c:rich>
              <a:bodyPr rot="-5400000" vert="horz"/>
              <a:lstStyle/>
              <a:p>
                <a:pPr>
                  <a:defRPr sz="1100"/>
                </a:pPr>
                <a:r>
                  <a:rPr lang="ro-RO" sz="1100"/>
                  <a:t>Bq/l</a:t>
                </a:r>
              </a:p>
              <a:p>
                <a:pPr>
                  <a:defRPr sz="1100"/>
                </a:pPr>
                <a:endParaRPr lang="vi-VN" sz="1100"/>
              </a:p>
            </c:rich>
          </c:tx>
          <c:overlay val="0"/>
        </c:title>
        <c:numFmt formatCode="#,##0.000" sourceLinked="0"/>
        <c:majorTickMark val="none"/>
        <c:minorTickMark val="none"/>
        <c:tickLblPos val="nextTo"/>
        <c:spPr>
          <a:ln cmpd="dbl"/>
        </c:spPr>
        <c:txPr>
          <a:bodyPr rot="0" vert="horz"/>
          <a:lstStyle/>
          <a:p>
            <a:pPr>
              <a:defRPr/>
            </a:pPr>
            <a:endParaRPr lang="en-US"/>
          </a:p>
        </c:txPr>
        <c:crossAx val="110813568"/>
        <c:crosses val="autoZero"/>
        <c:crossBetween val="between"/>
      </c:valAx>
    </c:plotArea>
    <c:legend>
      <c:legendPos val="b"/>
      <c:legendEntry>
        <c:idx val="0"/>
        <c:txPr>
          <a:bodyPr/>
          <a:lstStyle/>
          <a:p>
            <a:pPr>
              <a:defRPr sz="1050" baseline="0"/>
            </a:pPr>
            <a:endParaRPr lang="en-US"/>
          </a:p>
        </c:txPr>
      </c:legendEntry>
      <c:legendEntry>
        <c:idx val="1"/>
        <c:txPr>
          <a:bodyPr/>
          <a:lstStyle/>
          <a:p>
            <a:pPr>
              <a:defRPr sz="1050"/>
            </a:pPr>
            <a:endParaRPr lang="en-US"/>
          </a:p>
        </c:txPr>
      </c:legendEntry>
      <c:legendEntry>
        <c:idx val="2"/>
        <c:txPr>
          <a:bodyPr/>
          <a:lstStyle/>
          <a:p>
            <a:pPr>
              <a:defRPr sz="1050" baseline="0"/>
            </a:pPr>
            <a:endParaRPr lang="en-US"/>
          </a:p>
        </c:txPr>
      </c:legendEntry>
      <c:layout>
        <c:manualLayout>
          <c:xMode val="edge"/>
          <c:yMode val="edge"/>
          <c:x val="0.10211640211640212"/>
          <c:y val="0.8418506777561896"/>
          <c:w val="0.86618206057576141"/>
          <c:h val="0.15814946208646996"/>
        </c:manualLayout>
      </c:layout>
      <c:overlay val="0"/>
      <c:txPr>
        <a:bodyPr/>
        <a:lstStyle/>
        <a:p>
          <a:pPr>
            <a:defRPr sz="1050"/>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98" b="1" i="0" u="none" strike="noStrike" baseline="0">
                <a:solidFill>
                  <a:srgbClr val="000000"/>
                </a:solidFill>
                <a:latin typeface="Calibri" panose="020F0502020204030204" pitchFamily="34" charset="0"/>
                <a:ea typeface="Arial"/>
                <a:cs typeface="Arial"/>
              </a:defRPr>
            </a:pPr>
            <a:r>
              <a:rPr lang="vi-VN" sz="898">
                <a:latin typeface="Calibri" panose="020F0502020204030204" pitchFamily="34" charset="0"/>
              </a:rPr>
              <a:t>Figura </a:t>
            </a:r>
            <a:r>
              <a:rPr lang="en-US" sz="898">
                <a:latin typeface="Calibri" panose="020F0502020204030204" pitchFamily="34" charset="0"/>
              </a:rPr>
              <a:t>IX</a:t>
            </a:r>
            <a:r>
              <a:rPr lang="vi-VN" sz="898">
                <a:latin typeface="Calibri" panose="020F0502020204030204" pitchFamily="34" charset="0"/>
              </a:rPr>
              <a:t>.3. Distribuţia procentuală a analizelor beta globale efectuate la SSRM Cernavodă în anul 201</a:t>
            </a:r>
            <a:r>
              <a:rPr lang="en-US" sz="898">
                <a:latin typeface="Calibri" panose="020F0502020204030204" pitchFamily="34" charset="0"/>
              </a:rPr>
              <a:t>5</a:t>
            </a:r>
            <a:endParaRPr lang="vi-VN" sz="1200">
              <a:latin typeface="Calibri" panose="020F0502020204030204" pitchFamily="34" charset="0"/>
            </a:endParaRPr>
          </a:p>
        </c:rich>
      </c:tx>
      <c:layout>
        <c:manualLayout>
          <c:xMode val="edge"/>
          <c:yMode val="edge"/>
          <c:x val="0.11209769935651863"/>
          <c:y val="1.9575697142660661E-2"/>
        </c:manualLayout>
      </c:layout>
      <c:overlay val="0"/>
      <c:spPr>
        <a:noFill/>
        <a:ln w="19016">
          <a:noFill/>
        </a:ln>
      </c:spPr>
    </c:title>
    <c:autoTitleDeleted val="0"/>
    <c:view3D>
      <c:rotX val="25"/>
      <c:hPercent val="50"/>
      <c:rotY val="210"/>
      <c:rAngAx val="0"/>
      <c:perspective val="0"/>
    </c:view3D>
    <c:floor>
      <c:thickness val="0"/>
    </c:floor>
    <c:sideWall>
      <c:thickness val="0"/>
    </c:sideWall>
    <c:backWall>
      <c:thickness val="0"/>
    </c:backWall>
    <c:plotArea>
      <c:layout>
        <c:manualLayout>
          <c:layoutTarget val="inner"/>
          <c:xMode val="edge"/>
          <c:yMode val="edge"/>
          <c:x val="8.8853505039286892E-2"/>
          <c:y val="0.30505709624796085"/>
          <c:w val="0.81676462391487914"/>
          <c:h val="0.58290163224546432"/>
        </c:manualLayout>
      </c:layout>
      <c:pie3DChart>
        <c:varyColors val="1"/>
        <c:ser>
          <c:idx val="0"/>
          <c:order val="0"/>
          <c:tx>
            <c:v>constanta</c:v>
          </c:tx>
          <c:spPr>
            <a:ln w="19016">
              <a:noFill/>
            </a:ln>
          </c:spPr>
          <c:explosion val="12"/>
          <c:dPt>
            <c:idx val="0"/>
            <c:bubble3D val="0"/>
            <c:explosion val="6"/>
            <c:spPr>
              <a:solidFill>
                <a:srgbClr val="9999FF"/>
              </a:solidFill>
              <a:ln w="19016">
                <a:noFill/>
              </a:ln>
            </c:spPr>
          </c:dPt>
          <c:dPt>
            <c:idx val="1"/>
            <c:bubble3D val="0"/>
            <c:explosion val="2"/>
            <c:spPr>
              <a:solidFill>
                <a:srgbClr val="993366"/>
              </a:solidFill>
              <a:ln w="19016">
                <a:noFill/>
              </a:ln>
            </c:spPr>
          </c:dPt>
          <c:dPt>
            <c:idx val="2"/>
            <c:bubble3D val="0"/>
            <c:explosion val="5"/>
            <c:spPr>
              <a:solidFill>
                <a:srgbClr val="00FF00"/>
              </a:solidFill>
              <a:ln w="19016">
                <a:noFill/>
              </a:ln>
            </c:spPr>
          </c:dPt>
          <c:dPt>
            <c:idx val="3"/>
            <c:bubble3D val="0"/>
            <c:explosion val="5"/>
            <c:spPr>
              <a:solidFill>
                <a:srgbClr val="CCFFFF"/>
              </a:solidFill>
              <a:ln w="19016">
                <a:noFill/>
              </a:ln>
            </c:spPr>
          </c:dPt>
          <c:dPt>
            <c:idx val="4"/>
            <c:bubble3D val="0"/>
            <c:explosion val="8"/>
            <c:spPr>
              <a:solidFill>
                <a:srgbClr val="660066"/>
              </a:solidFill>
              <a:ln w="19016">
                <a:noFill/>
              </a:ln>
            </c:spPr>
          </c:dPt>
          <c:dLbls>
            <c:dLbl>
              <c:idx val="0"/>
              <c:layout>
                <c:manualLayout>
                  <c:x val="-0.12739603997890939"/>
                  <c:y val="0.10348965759377955"/>
                </c:manualLayout>
              </c:layout>
              <c:dLblPos val="bestFit"/>
              <c:showLegendKey val="1"/>
              <c:showVal val="0"/>
              <c:showCatName val="1"/>
              <c:showSerName val="0"/>
              <c:showPercent val="0"/>
              <c:showBubbleSize val="0"/>
            </c:dLbl>
            <c:dLbl>
              <c:idx val="1"/>
              <c:layout>
                <c:manualLayout>
                  <c:x val="3.5759625496314331E-3"/>
                  <c:y val="-3.5568800229497819E-3"/>
                </c:manualLayout>
              </c:layout>
              <c:dLblPos val="bestFit"/>
              <c:showLegendKey val="1"/>
              <c:showVal val="0"/>
              <c:showCatName val="1"/>
              <c:showSerName val="0"/>
              <c:showPercent val="0"/>
              <c:showBubbleSize val="0"/>
            </c:dLbl>
            <c:dLbl>
              <c:idx val="2"/>
              <c:layout>
                <c:manualLayout>
                  <c:x val="2.0318980660158893E-2"/>
                  <c:y val="-8.369320882198026E-3"/>
                </c:manualLayout>
              </c:layout>
              <c:dLblPos val="bestFit"/>
              <c:showLegendKey val="1"/>
              <c:showVal val="0"/>
              <c:showCatName val="1"/>
              <c:showSerName val="0"/>
              <c:showPercent val="0"/>
              <c:showBubbleSize val="0"/>
            </c:dLbl>
            <c:dLbl>
              <c:idx val="3"/>
              <c:layout>
                <c:manualLayout>
                  <c:x val="3.4973913499436342E-2"/>
                  <c:y val="2.5100598151169169E-2"/>
                </c:manualLayout>
              </c:layout>
              <c:dLblPos val="bestFit"/>
              <c:showLegendKey val="1"/>
              <c:showVal val="0"/>
              <c:showCatName val="1"/>
              <c:showSerName val="0"/>
              <c:showPercent val="0"/>
              <c:showBubbleSize val="0"/>
            </c:dLbl>
            <c:dLbl>
              <c:idx val="4"/>
              <c:layout>
                <c:manualLayout>
                  <c:x val="-1.1685470503756391E-2"/>
                  <c:y val="-1.7355204172072196E-2"/>
                </c:manualLayout>
              </c:layout>
              <c:dLblPos val="bestFit"/>
              <c:showLegendKey val="1"/>
              <c:showVal val="0"/>
              <c:showCatName val="1"/>
              <c:showSerName val="0"/>
              <c:showPercent val="0"/>
              <c:showBubbleSize val="0"/>
            </c:dLbl>
            <c:dLbl>
              <c:idx val="5"/>
              <c:layout>
                <c:manualLayout>
                  <c:xMode val="edge"/>
                  <c:yMode val="edge"/>
                  <c:x val="0.11875693673695893"/>
                  <c:y val="0.13539967373572595"/>
                </c:manualLayout>
              </c:layout>
              <c:dLblPos val="bestFit"/>
              <c:showLegendKey val="1"/>
              <c:showVal val="0"/>
              <c:showCatName val="1"/>
              <c:showSerName val="0"/>
              <c:showPercent val="0"/>
              <c:showBubbleSize val="0"/>
            </c:dLbl>
            <c:dLbl>
              <c:idx val="6"/>
              <c:layout>
                <c:manualLayout>
                  <c:xMode val="edge"/>
                  <c:yMode val="edge"/>
                  <c:x val="0.15649278579356271"/>
                  <c:y val="0.71778140293637849"/>
                </c:manualLayout>
              </c:layout>
              <c:dLblPos val="bestFit"/>
              <c:showLegendKey val="1"/>
              <c:showVal val="0"/>
              <c:showCatName val="1"/>
              <c:showSerName val="0"/>
              <c:showPercent val="0"/>
              <c:showBubbleSize val="0"/>
            </c:dLbl>
            <c:dLbl>
              <c:idx val="7"/>
              <c:layout>
                <c:manualLayout>
                  <c:xMode val="edge"/>
                  <c:yMode val="edge"/>
                  <c:x val="7.6581576026637066E-2"/>
                  <c:y val="0.64926590538336049"/>
                </c:manualLayout>
              </c:layout>
              <c:dLblPos val="bestFit"/>
              <c:showLegendKey val="1"/>
              <c:showVal val="0"/>
              <c:showCatName val="1"/>
              <c:showSerName val="0"/>
              <c:showPercent val="0"/>
              <c:showBubbleSize val="0"/>
            </c:dLbl>
            <c:spPr>
              <a:solidFill>
                <a:srgbClr val="FFFFFF"/>
              </a:solidFill>
              <a:ln w="19016">
                <a:noFill/>
              </a:ln>
            </c:spPr>
            <c:txPr>
              <a:bodyPr/>
              <a:lstStyle/>
              <a:p>
                <a:pPr algn="ctr" rtl="1">
                  <a:defRPr sz="786" b="1" i="0" u="none" strike="noStrike" baseline="0">
                    <a:solidFill>
                      <a:srgbClr val="000000"/>
                    </a:solidFill>
                    <a:latin typeface="+mn-lt"/>
                    <a:ea typeface="Arial"/>
                    <a:cs typeface="Arial"/>
                  </a:defRPr>
                </a:pPr>
                <a:endParaRPr lang="en-US"/>
              </a:p>
            </c:txPr>
            <c:dLblPos val="outEnd"/>
            <c:showLegendKey val="1"/>
            <c:showVal val="0"/>
            <c:showCatName val="1"/>
            <c:showSerName val="0"/>
            <c:showPercent val="0"/>
            <c:showBubbleSize val="0"/>
            <c:showLeaderLines val="0"/>
          </c:dLbls>
          <c:cat>
            <c:strRef>
              <c:f>Foaie1!$D$3:$H$3</c:f>
              <c:strCache>
                <c:ptCount val="5"/>
                <c:pt idx="0">
                  <c:v>aer</c:v>
                </c:pt>
                <c:pt idx="1">
                  <c:v>depuneri atmosferice</c:v>
                </c:pt>
                <c:pt idx="2">
                  <c:v>ape</c:v>
                </c:pt>
                <c:pt idx="3">
                  <c:v>sol </c:v>
                </c:pt>
                <c:pt idx="4">
                  <c:v>vegetatie </c:v>
                </c:pt>
              </c:strCache>
            </c:strRef>
          </c:cat>
          <c:val>
            <c:numRef>
              <c:f>Foaie1!$D$4:$H$4</c:f>
              <c:numCache>
                <c:formatCode>General</c:formatCode>
                <c:ptCount val="5"/>
                <c:pt idx="0">
                  <c:v>67.900000000000006</c:v>
                </c:pt>
                <c:pt idx="1">
                  <c:v>8.5</c:v>
                </c:pt>
                <c:pt idx="2">
                  <c:v>22.2</c:v>
                </c:pt>
                <c:pt idx="3">
                  <c:v>0.8</c:v>
                </c:pt>
                <c:pt idx="4">
                  <c:v>0.6</c:v>
                </c:pt>
              </c:numCache>
            </c:numRef>
          </c:val>
        </c:ser>
        <c:dLbls>
          <c:showLegendKey val="0"/>
          <c:showVal val="0"/>
          <c:showCatName val="0"/>
          <c:showSerName val="0"/>
          <c:showPercent val="0"/>
          <c:showBubbleSize val="0"/>
          <c:showLeaderLines val="0"/>
        </c:dLbls>
      </c:pie3DChart>
      <c:spPr>
        <a:noFill/>
        <a:ln w="19016">
          <a:noFill/>
        </a:ln>
      </c:spPr>
    </c:plotArea>
    <c:plotVisOnly val="1"/>
    <c:dispBlanksAs val="zero"/>
    <c:showDLblsOverMax val="0"/>
  </c:chart>
  <c:spPr>
    <a:solidFill>
      <a:srgbClr val="FFFFFF"/>
    </a:solidFill>
    <a:ln w="6350" cap="flat" cmpd="sng" algn="ctr">
      <a:solidFill>
        <a:srgbClr val="000000"/>
      </a:solidFill>
      <a:prstDash val="solid"/>
      <a:miter lim="800000"/>
      <a:headEnd type="none" w="med" len="med"/>
      <a:tailEnd type="none" w="med" len="med"/>
    </a:ln>
  </c:spPr>
  <c:txPr>
    <a:bodyPr/>
    <a:lstStyle/>
    <a:p>
      <a:pPr>
        <a:defRPr sz="824" b="1" i="0" u="none" strike="noStrike" baseline="0">
          <a:solidFill>
            <a:srgbClr val="000000"/>
          </a:solidFill>
          <a:latin typeface="Arial"/>
          <a:ea typeface="Arial"/>
          <a:cs typeface="Arial"/>
        </a:defRPr>
      </a:pPr>
      <a:endParaRPr lang="en-US"/>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rtl="0">
              <a:defRPr sz="1200" b="1">
                <a:latin typeface="Calibri" panose="020F0502020204030204" pitchFamily="34" charset="0"/>
              </a:defRPr>
            </a:pPr>
            <a:r>
              <a:rPr lang="vi-VN" sz="1200" b="1">
                <a:latin typeface="Calibri" panose="020F0502020204030204" pitchFamily="34" charset="0"/>
              </a:rPr>
              <a:t>Figura </a:t>
            </a:r>
            <a:r>
              <a:rPr lang="ro-RO" sz="1200" b="1" i="0" u="none" strike="noStrike" kern="1200" baseline="0">
                <a:solidFill>
                  <a:srgbClr val="000000"/>
                </a:solidFill>
                <a:latin typeface="Calibri" panose="020F0502020204030204" pitchFamily="34" charset="0"/>
                <a:cs typeface="Arial"/>
              </a:rPr>
              <a:t>IX</a:t>
            </a:r>
            <a:r>
              <a:rPr lang="ro-RO" sz="1200" b="1">
                <a:latin typeface="Calibri" panose="020F0502020204030204" pitchFamily="34" charset="0"/>
              </a:rPr>
              <a:t>.33</a:t>
            </a:r>
            <a:r>
              <a:rPr lang="vi-VN" sz="1200" b="1">
                <a:latin typeface="Calibri" panose="020F0502020204030204" pitchFamily="34" charset="0"/>
              </a:rPr>
              <a:t>. Sol necultivat , activităţi specifice beta globale
- medii/maxime lunare </a:t>
            </a:r>
            <a:r>
              <a:rPr lang="ro-RO" sz="1200" b="1">
                <a:latin typeface="Calibri" panose="020F0502020204030204" pitchFamily="34" charset="0"/>
              </a:rPr>
              <a:t>în </a:t>
            </a:r>
            <a:r>
              <a:rPr lang="en-US" sz="1200" b="1">
                <a:latin typeface="Calibri" panose="020F0502020204030204" pitchFamily="34" charset="0"/>
              </a:rPr>
              <a:t>2015</a:t>
            </a:r>
            <a:r>
              <a:rPr lang="vi-VN" sz="1200" b="1">
                <a:latin typeface="Calibri" panose="020F0502020204030204" pitchFamily="34" charset="0"/>
              </a:rPr>
              <a:t> -
</a:t>
            </a:r>
          </a:p>
        </c:rich>
      </c:tx>
      <c:layout>
        <c:manualLayout>
          <c:xMode val="edge"/>
          <c:yMode val="edge"/>
          <c:x val="0.18827160493827161"/>
          <c:y val="1.5810276679841896E-2"/>
        </c:manualLayout>
      </c:layout>
      <c:overlay val="0"/>
      <c:spPr>
        <a:noFill/>
        <a:ln w="25398">
          <a:noFill/>
        </a:ln>
      </c:spPr>
    </c:title>
    <c:autoTitleDeleted val="0"/>
    <c:plotArea>
      <c:layout>
        <c:manualLayout>
          <c:layoutTarget val="inner"/>
          <c:xMode val="edge"/>
          <c:yMode val="edge"/>
          <c:x val="0.14043209876543211"/>
          <c:y val="0.20914064449168188"/>
          <c:w val="0.84567901234567899"/>
          <c:h val="0.56711116433639708"/>
        </c:manualLayout>
      </c:layout>
      <c:barChart>
        <c:barDir val="col"/>
        <c:grouping val="clustered"/>
        <c:varyColors val="0"/>
        <c:ser>
          <c:idx val="0"/>
          <c:order val="0"/>
          <c:tx>
            <c:strRef>
              <c:f>Sheet1!$A$2</c:f>
              <c:strCache>
                <c:ptCount val="1"/>
                <c:pt idx="0">
                  <c:v>media Constanţa</c:v>
                </c:pt>
              </c:strCache>
            </c:strRef>
          </c:tx>
          <c:spPr>
            <a:solidFill>
              <a:srgbClr val="FFFF00"/>
            </a:solidFill>
            <a:ln w="12699">
              <a:solidFill>
                <a:srgbClr val="000000"/>
              </a:solidFill>
              <a:prstDash val="solid"/>
            </a:ln>
          </c:spPr>
          <c:invertIfNegative val="0"/>
          <c:cat>
            <c:strRef>
              <c:f>Sheet1!$B$1:$M$1</c:f>
              <c:strCache>
                <c:ptCount val="12"/>
                <c:pt idx="0">
                  <c:v>ian</c:v>
                </c:pt>
                <c:pt idx="1">
                  <c:v>feb</c:v>
                </c:pt>
                <c:pt idx="2">
                  <c:v>mar</c:v>
                </c:pt>
                <c:pt idx="3">
                  <c:v>apr</c:v>
                </c:pt>
                <c:pt idx="4">
                  <c:v>mai</c:v>
                </c:pt>
                <c:pt idx="5">
                  <c:v>iun</c:v>
                </c:pt>
                <c:pt idx="6">
                  <c:v>iul</c:v>
                </c:pt>
                <c:pt idx="7">
                  <c:v>aug</c:v>
                </c:pt>
                <c:pt idx="8">
                  <c:v>sep</c:v>
                </c:pt>
                <c:pt idx="9">
                  <c:v>oct</c:v>
                </c:pt>
                <c:pt idx="10">
                  <c:v>nov</c:v>
                </c:pt>
                <c:pt idx="11">
                  <c:v>dec</c:v>
                </c:pt>
              </c:strCache>
            </c:strRef>
          </c:cat>
          <c:val>
            <c:numRef>
              <c:f>Sheet1!$B$2:$M$2</c:f>
              <c:numCache>
                <c:formatCode>General</c:formatCode>
                <c:ptCount val="12"/>
                <c:pt idx="0">
                  <c:v>362.92</c:v>
                </c:pt>
                <c:pt idx="1">
                  <c:v>348.65</c:v>
                </c:pt>
                <c:pt idx="2">
                  <c:v>322.05</c:v>
                </c:pt>
                <c:pt idx="3">
                  <c:v>312.14999999999998</c:v>
                </c:pt>
                <c:pt idx="4">
                  <c:v>307.36</c:v>
                </c:pt>
                <c:pt idx="5">
                  <c:v>342.68</c:v>
                </c:pt>
                <c:pt idx="6">
                  <c:v>281.54000000000002</c:v>
                </c:pt>
                <c:pt idx="7">
                  <c:v>294.25</c:v>
                </c:pt>
                <c:pt idx="8">
                  <c:v>348.08</c:v>
                </c:pt>
                <c:pt idx="9">
                  <c:v>350.72</c:v>
                </c:pt>
                <c:pt idx="10">
                  <c:v>364.03</c:v>
                </c:pt>
                <c:pt idx="11">
                  <c:v>346.25</c:v>
                </c:pt>
              </c:numCache>
            </c:numRef>
          </c:val>
        </c:ser>
        <c:ser>
          <c:idx val="1"/>
          <c:order val="1"/>
          <c:tx>
            <c:strRef>
              <c:f>Sheet1!$A$3</c:f>
              <c:strCache>
                <c:ptCount val="1"/>
                <c:pt idx="0">
                  <c:v>maxima Constanţa</c:v>
                </c:pt>
              </c:strCache>
            </c:strRef>
          </c:tx>
          <c:spPr>
            <a:solidFill>
              <a:srgbClr val="FF00FF"/>
            </a:solidFill>
            <a:ln w="12699">
              <a:solidFill>
                <a:srgbClr val="000000"/>
              </a:solidFill>
              <a:prstDash val="solid"/>
            </a:ln>
          </c:spPr>
          <c:invertIfNegative val="0"/>
          <c:cat>
            <c:strRef>
              <c:f>Sheet1!$B$1:$M$1</c:f>
              <c:strCache>
                <c:ptCount val="12"/>
                <c:pt idx="0">
                  <c:v>ian</c:v>
                </c:pt>
                <c:pt idx="1">
                  <c:v>feb</c:v>
                </c:pt>
                <c:pt idx="2">
                  <c:v>mar</c:v>
                </c:pt>
                <c:pt idx="3">
                  <c:v>apr</c:v>
                </c:pt>
                <c:pt idx="4">
                  <c:v>mai</c:v>
                </c:pt>
                <c:pt idx="5">
                  <c:v>iun</c:v>
                </c:pt>
                <c:pt idx="6">
                  <c:v>iul</c:v>
                </c:pt>
                <c:pt idx="7">
                  <c:v>aug</c:v>
                </c:pt>
                <c:pt idx="8">
                  <c:v>sep</c:v>
                </c:pt>
                <c:pt idx="9">
                  <c:v>oct</c:v>
                </c:pt>
                <c:pt idx="10">
                  <c:v>nov</c:v>
                </c:pt>
                <c:pt idx="11">
                  <c:v>dec</c:v>
                </c:pt>
              </c:strCache>
            </c:strRef>
          </c:cat>
          <c:val>
            <c:numRef>
              <c:f>Sheet1!$B$3:$M$3</c:f>
              <c:numCache>
                <c:formatCode>General</c:formatCode>
                <c:ptCount val="12"/>
                <c:pt idx="0">
                  <c:v>422.8</c:v>
                </c:pt>
                <c:pt idx="1">
                  <c:v>379.7</c:v>
                </c:pt>
                <c:pt idx="2">
                  <c:v>341.7</c:v>
                </c:pt>
                <c:pt idx="3">
                  <c:v>393.1</c:v>
                </c:pt>
                <c:pt idx="4">
                  <c:v>331.8</c:v>
                </c:pt>
                <c:pt idx="5">
                  <c:v>406.4</c:v>
                </c:pt>
                <c:pt idx="6">
                  <c:v>320.5</c:v>
                </c:pt>
                <c:pt idx="7">
                  <c:v>332.6</c:v>
                </c:pt>
                <c:pt idx="8">
                  <c:v>363.3</c:v>
                </c:pt>
                <c:pt idx="9">
                  <c:v>386.3</c:v>
                </c:pt>
                <c:pt idx="10">
                  <c:v>400.8</c:v>
                </c:pt>
                <c:pt idx="11">
                  <c:v>371.5</c:v>
                </c:pt>
              </c:numCache>
            </c:numRef>
          </c:val>
        </c:ser>
        <c:ser>
          <c:idx val="2"/>
          <c:order val="2"/>
          <c:tx>
            <c:strRef>
              <c:f>Sheet1!$A$4</c:f>
              <c:strCache>
                <c:ptCount val="1"/>
                <c:pt idx="0">
                  <c:v>media Cernavodă</c:v>
                </c:pt>
              </c:strCache>
            </c:strRef>
          </c:tx>
          <c:spPr>
            <a:solidFill>
              <a:srgbClr val="FFFFCC"/>
            </a:solidFill>
            <a:ln w="12699">
              <a:solidFill>
                <a:srgbClr val="000000"/>
              </a:solidFill>
              <a:prstDash val="solid"/>
            </a:ln>
          </c:spPr>
          <c:invertIfNegative val="0"/>
          <c:cat>
            <c:strRef>
              <c:f>Sheet1!$B$1:$M$1</c:f>
              <c:strCache>
                <c:ptCount val="12"/>
                <c:pt idx="0">
                  <c:v>ian</c:v>
                </c:pt>
                <c:pt idx="1">
                  <c:v>feb</c:v>
                </c:pt>
                <c:pt idx="2">
                  <c:v>mar</c:v>
                </c:pt>
                <c:pt idx="3">
                  <c:v>apr</c:v>
                </c:pt>
                <c:pt idx="4">
                  <c:v>mai</c:v>
                </c:pt>
                <c:pt idx="5">
                  <c:v>iun</c:v>
                </c:pt>
                <c:pt idx="6">
                  <c:v>iul</c:v>
                </c:pt>
                <c:pt idx="7">
                  <c:v>aug</c:v>
                </c:pt>
                <c:pt idx="8">
                  <c:v>sep</c:v>
                </c:pt>
                <c:pt idx="9">
                  <c:v>oct</c:v>
                </c:pt>
                <c:pt idx="10">
                  <c:v>nov</c:v>
                </c:pt>
                <c:pt idx="11">
                  <c:v>dec</c:v>
                </c:pt>
              </c:strCache>
            </c:strRef>
          </c:cat>
          <c:val>
            <c:numRef>
              <c:f>Sheet1!$B$4:$M$4</c:f>
              <c:numCache>
                <c:formatCode>General</c:formatCode>
                <c:ptCount val="12"/>
                <c:pt idx="0">
                  <c:v>560.9</c:v>
                </c:pt>
                <c:pt idx="1">
                  <c:v>560.6</c:v>
                </c:pt>
                <c:pt idx="2">
                  <c:v>457.7</c:v>
                </c:pt>
                <c:pt idx="3">
                  <c:v>531.1</c:v>
                </c:pt>
                <c:pt idx="4">
                  <c:v>455.7</c:v>
                </c:pt>
                <c:pt idx="5">
                  <c:v>497.3</c:v>
                </c:pt>
                <c:pt idx="6">
                  <c:v>444.8</c:v>
                </c:pt>
                <c:pt idx="7">
                  <c:v>489</c:v>
                </c:pt>
                <c:pt idx="8">
                  <c:v>496.56</c:v>
                </c:pt>
                <c:pt idx="9">
                  <c:v>467.48</c:v>
                </c:pt>
                <c:pt idx="10">
                  <c:v>541.79999999999995</c:v>
                </c:pt>
                <c:pt idx="11">
                  <c:v>445.7</c:v>
                </c:pt>
              </c:numCache>
            </c:numRef>
          </c:val>
        </c:ser>
        <c:ser>
          <c:idx val="3"/>
          <c:order val="3"/>
          <c:tx>
            <c:strRef>
              <c:f>Sheet1!$A$5</c:f>
              <c:strCache>
                <c:ptCount val="1"/>
                <c:pt idx="0">
                  <c:v>maxima Cernavodă</c:v>
                </c:pt>
              </c:strCache>
            </c:strRef>
          </c:tx>
          <c:spPr>
            <a:solidFill>
              <a:srgbClr val="00FF00"/>
            </a:solidFill>
            <a:ln w="12699">
              <a:solidFill>
                <a:srgbClr val="000000"/>
              </a:solidFill>
              <a:prstDash val="solid"/>
            </a:ln>
          </c:spPr>
          <c:invertIfNegative val="0"/>
          <c:cat>
            <c:strRef>
              <c:f>Sheet1!$B$1:$M$1</c:f>
              <c:strCache>
                <c:ptCount val="12"/>
                <c:pt idx="0">
                  <c:v>ian</c:v>
                </c:pt>
                <c:pt idx="1">
                  <c:v>feb</c:v>
                </c:pt>
                <c:pt idx="2">
                  <c:v>mar</c:v>
                </c:pt>
                <c:pt idx="3">
                  <c:v>apr</c:v>
                </c:pt>
                <c:pt idx="4">
                  <c:v>mai</c:v>
                </c:pt>
                <c:pt idx="5">
                  <c:v>iun</c:v>
                </c:pt>
                <c:pt idx="6">
                  <c:v>iul</c:v>
                </c:pt>
                <c:pt idx="7">
                  <c:v>aug</c:v>
                </c:pt>
                <c:pt idx="8">
                  <c:v>sep</c:v>
                </c:pt>
                <c:pt idx="9">
                  <c:v>oct</c:v>
                </c:pt>
                <c:pt idx="10">
                  <c:v>nov</c:v>
                </c:pt>
                <c:pt idx="11">
                  <c:v>dec</c:v>
                </c:pt>
              </c:strCache>
            </c:strRef>
          </c:cat>
          <c:val>
            <c:numRef>
              <c:f>Sheet1!$B$5:$M$5</c:f>
              <c:numCache>
                <c:formatCode>General</c:formatCode>
                <c:ptCount val="12"/>
                <c:pt idx="0">
                  <c:v>772.3</c:v>
                </c:pt>
                <c:pt idx="1">
                  <c:v>683.9</c:v>
                </c:pt>
                <c:pt idx="2">
                  <c:v>499.6</c:v>
                </c:pt>
                <c:pt idx="3">
                  <c:v>748.3</c:v>
                </c:pt>
                <c:pt idx="4">
                  <c:v>525.79999999999995</c:v>
                </c:pt>
                <c:pt idx="5">
                  <c:v>550.79999999999995</c:v>
                </c:pt>
                <c:pt idx="6">
                  <c:v>482</c:v>
                </c:pt>
                <c:pt idx="7">
                  <c:v>593.79999999999995</c:v>
                </c:pt>
                <c:pt idx="8">
                  <c:v>680.61</c:v>
                </c:pt>
                <c:pt idx="9">
                  <c:v>514.89</c:v>
                </c:pt>
                <c:pt idx="10">
                  <c:v>575.9</c:v>
                </c:pt>
                <c:pt idx="11">
                  <c:v>513.1</c:v>
                </c:pt>
              </c:numCache>
            </c:numRef>
          </c:val>
        </c:ser>
        <c:dLbls>
          <c:showLegendKey val="0"/>
          <c:showVal val="0"/>
          <c:showCatName val="0"/>
          <c:showSerName val="0"/>
          <c:showPercent val="0"/>
          <c:showBubbleSize val="0"/>
        </c:dLbls>
        <c:gapWidth val="150"/>
        <c:axId val="109270912"/>
        <c:axId val="109272448"/>
      </c:barChart>
      <c:catAx>
        <c:axId val="10927091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50"/>
            </a:pPr>
            <a:endParaRPr lang="en-US"/>
          </a:p>
        </c:txPr>
        <c:crossAx val="109272448"/>
        <c:crosses val="autoZero"/>
        <c:auto val="1"/>
        <c:lblAlgn val="ctr"/>
        <c:lblOffset val="0"/>
        <c:tickLblSkip val="1"/>
        <c:tickMarkSkip val="1"/>
        <c:noMultiLvlLbl val="0"/>
      </c:catAx>
      <c:valAx>
        <c:axId val="109272448"/>
        <c:scaling>
          <c:orientation val="minMax"/>
          <c:max val="1000"/>
          <c:min val="0"/>
        </c:scaling>
        <c:delete val="0"/>
        <c:axPos val="l"/>
        <c:majorGridlines>
          <c:spPr>
            <a:ln w="3175">
              <a:solidFill>
                <a:srgbClr val="000000"/>
              </a:solidFill>
              <a:prstDash val="solid"/>
            </a:ln>
          </c:spPr>
        </c:majorGridlines>
        <c:title>
          <c:tx>
            <c:rich>
              <a:bodyPr/>
              <a:lstStyle/>
              <a:p>
                <a:pPr>
                  <a:defRPr sz="1100" b="1">
                    <a:latin typeface="+mn-lt"/>
                  </a:defRPr>
                </a:pPr>
                <a:r>
                  <a:rPr lang="en-US" sz="1100" b="1">
                    <a:latin typeface="+mn-lt"/>
                  </a:rPr>
                  <a:t>Bq/kg</a:t>
                </a:r>
                <a:r>
                  <a:rPr lang="ro-RO" sz="1100" b="1">
                    <a:latin typeface="+mn-lt"/>
                  </a:rPr>
                  <a:t> m.u.</a:t>
                </a:r>
                <a:endParaRPr lang="en-US" sz="1100" b="1">
                  <a:latin typeface="+mn-lt"/>
                </a:endParaRPr>
              </a:p>
            </c:rich>
          </c:tx>
          <c:layout>
            <c:manualLayout>
              <c:xMode val="edge"/>
              <c:yMode val="edge"/>
              <c:x val="1.543209424403345E-2"/>
              <c:y val="0.35418340768240469"/>
            </c:manualLayout>
          </c:layout>
          <c:overlay val="0"/>
          <c:spPr>
            <a:noFill/>
            <a:ln w="25398">
              <a:noFill/>
            </a:ln>
          </c:spPr>
        </c:title>
        <c:numFmt formatCode="0" sourceLinked="0"/>
        <c:majorTickMark val="out"/>
        <c:minorTickMark val="none"/>
        <c:tickLblPos val="nextTo"/>
        <c:spPr>
          <a:ln w="3175">
            <a:solidFill>
              <a:srgbClr val="000000"/>
            </a:solidFill>
            <a:prstDash val="solid"/>
          </a:ln>
        </c:spPr>
        <c:txPr>
          <a:bodyPr rot="0" vert="horz"/>
          <a:lstStyle/>
          <a:p>
            <a:pPr>
              <a:defRPr sz="1050"/>
            </a:pPr>
            <a:endParaRPr lang="en-US"/>
          </a:p>
        </c:txPr>
        <c:crossAx val="109270912"/>
        <c:crosses val="autoZero"/>
        <c:crossBetween val="between"/>
        <c:majorUnit val="200"/>
        <c:minorUnit val="100"/>
      </c:valAx>
      <c:spPr>
        <a:gradFill rotWithShape="0">
          <a:gsLst>
            <a:gs pos="0">
              <a:srgbClr xmlns:mc="http://schemas.openxmlformats.org/markup-compatibility/2006" xmlns:a14="http://schemas.microsoft.com/office/drawing/2010/main" val="FFFFFF" mc:Ignorable="a14" a14:legacySpreadsheetColorIndex="9"/>
            </a:gs>
            <a:gs pos="100000">
              <a:srgbClr xmlns:mc="http://schemas.openxmlformats.org/markup-compatibility/2006" xmlns:a14="http://schemas.microsoft.com/office/drawing/2010/main" val="010101" mc:Ignorable="a14" a14:legacySpreadsheetColorIndex="9">
                <a:gamma/>
                <a:shade val="66275"/>
                <a:invGamma/>
              </a:srgbClr>
            </a:gs>
          </a:gsLst>
          <a:lin ang="0" scaled="1"/>
        </a:gradFill>
        <a:ln w="3175">
          <a:solidFill>
            <a:srgbClr val="000000"/>
          </a:solidFill>
          <a:prstDash val="solid"/>
        </a:ln>
      </c:spPr>
    </c:plotArea>
    <c:legend>
      <c:legendPos val="b"/>
      <c:layout>
        <c:manualLayout>
          <c:xMode val="edge"/>
          <c:yMode val="edge"/>
          <c:x val="0.12191358024691358"/>
          <c:y val="0.88932806324110669"/>
          <c:w val="0.875"/>
          <c:h val="9.4861660079051377E-2"/>
        </c:manualLayout>
      </c:layout>
      <c:overlay val="0"/>
      <c:spPr>
        <a:solidFill>
          <a:srgbClr val="FFFFFF"/>
        </a:solidFill>
        <a:ln w="25398">
          <a:noFill/>
        </a:ln>
      </c:spPr>
      <c:txPr>
        <a:bodyPr/>
        <a:lstStyle/>
        <a:p>
          <a:pPr>
            <a:defRPr>
              <a:latin typeface="Calibri" panose="020F0502020204030204" pitchFamily="34" charset="0"/>
            </a:defRPr>
          </a:pPr>
          <a:endParaRPr lang="en-US"/>
        </a:p>
      </c:txPr>
    </c:legend>
    <c:plotVisOnly val="1"/>
    <c:dispBlanksAs val="gap"/>
    <c:showDLblsOverMax val="0"/>
  </c:chart>
  <c:spPr>
    <a:solidFill>
      <a:srgbClr val="FFFFFF"/>
    </a:solidFill>
    <a:ln w="6350" cap="flat" cmpd="sng" algn="ctr">
      <a:solidFill>
        <a:srgbClr val="000000"/>
      </a:solidFill>
      <a:prstDash val="solid"/>
      <a:miter lim="800000"/>
      <a:headEnd type="none" w="med" len="med"/>
      <a:tailEnd type="none" w="med" len="med"/>
    </a:ln>
  </c:spPr>
  <c:txPr>
    <a:bodyPr/>
    <a:lstStyle/>
    <a:p>
      <a:pPr>
        <a:defRPr sz="1100" b="0" i="0" u="none" strike="noStrike" baseline="0">
          <a:solidFill>
            <a:srgbClr val="000000"/>
          </a:solidFill>
          <a:latin typeface="Arial"/>
          <a:ea typeface="Arial"/>
          <a:cs typeface="Arial"/>
        </a:defRPr>
      </a:pPr>
      <a:endParaRPr lang="en-US"/>
    </a:p>
  </c:txPr>
  <c:externalData r:id="rId2">
    <c:autoUpdate val="0"/>
  </c:externalData>
  <c:userShapes r:id="rId3"/>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mn-lt"/>
                <a:cs typeface="Arial" panose="020B0604020202020204" pitchFamily="34" charset="0"/>
              </a:defRPr>
            </a:pPr>
            <a:r>
              <a:rPr lang="ro-RO" sz="1200">
                <a:latin typeface="+mn-lt"/>
                <a:cs typeface="Arial" panose="020B0604020202020204" pitchFamily="34" charset="0"/>
              </a:rPr>
              <a:t>Figura </a:t>
            </a:r>
            <a:r>
              <a:rPr lang="ro-RO" sz="1200" b="1" i="0" u="none" strike="noStrike" kern="1200" baseline="0">
                <a:solidFill>
                  <a:sysClr val="windowText" lastClr="000000"/>
                </a:solidFill>
                <a:latin typeface="+mn-lt"/>
                <a:ea typeface="+mn-ea"/>
                <a:cs typeface="Arial" panose="020B0604020202020204" pitchFamily="34" charset="0"/>
              </a:rPr>
              <a:t>IX</a:t>
            </a:r>
            <a:r>
              <a:rPr lang="ro-RO" sz="1200">
                <a:latin typeface="+mn-lt"/>
                <a:cs typeface="Arial" panose="020B0604020202020204" pitchFamily="34" charset="0"/>
              </a:rPr>
              <a:t>.34. Variaţia multianuală a </a:t>
            </a:r>
            <a:r>
              <a:rPr lang="en-US" sz="1200">
                <a:latin typeface="+mn-lt"/>
                <a:cs typeface="Arial" panose="020B0604020202020204" pitchFamily="34" charset="0"/>
              </a:rPr>
              <a:t>activit</a:t>
            </a:r>
            <a:r>
              <a:rPr lang="ro-RO" sz="1200">
                <a:latin typeface="+mn-lt"/>
                <a:cs typeface="Arial" panose="020B0604020202020204" pitchFamily="34" charset="0"/>
              </a:rPr>
              <a:t>ăţii</a:t>
            </a:r>
            <a:r>
              <a:rPr lang="ro-RO" sz="1200" baseline="0">
                <a:latin typeface="+mn-lt"/>
                <a:cs typeface="Arial" panose="020B0604020202020204" pitchFamily="34" charset="0"/>
              </a:rPr>
              <a:t> beta globale a solului necultivat</a:t>
            </a:r>
          </a:p>
        </c:rich>
      </c:tx>
      <c:overlay val="0"/>
    </c:title>
    <c:autoTitleDeleted val="0"/>
    <c:plotArea>
      <c:layout>
        <c:manualLayout>
          <c:layoutTarget val="inner"/>
          <c:xMode val="edge"/>
          <c:yMode val="edge"/>
          <c:x val="0.10790867808190643"/>
          <c:y val="0.18095328083989501"/>
          <c:w val="0.88537532808398955"/>
          <c:h val="0.56503937007874017"/>
        </c:manualLayout>
      </c:layout>
      <c:lineChart>
        <c:grouping val="standard"/>
        <c:varyColors val="0"/>
        <c:ser>
          <c:idx val="0"/>
          <c:order val="0"/>
          <c:tx>
            <c:strRef>
              <c:f>Foaie1!$B$1</c:f>
              <c:strCache>
                <c:ptCount val="1"/>
                <c:pt idx="0">
                  <c:v>SSRM Constanţa -media</c:v>
                </c:pt>
              </c:strCache>
            </c:strRef>
          </c:tx>
          <c:cat>
            <c:numRef>
              <c:f>Foaie1!$A$2:$A$7</c:f>
              <c:numCache>
                <c:formatCode>General</c:formatCode>
                <c:ptCount val="6"/>
                <c:pt idx="0">
                  <c:v>2010</c:v>
                </c:pt>
                <c:pt idx="1">
                  <c:v>2011</c:v>
                </c:pt>
                <c:pt idx="2">
                  <c:v>2012</c:v>
                </c:pt>
                <c:pt idx="3">
                  <c:v>2013</c:v>
                </c:pt>
                <c:pt idx="4">
                  <c:v>2014</c:v>
                </c:pt>
                <c:pt idx="5">
                  <c:v>2015</c:v>
                </c:pt>
              </c:numCache>
            </c:numRef>
          </c:cat>
          <c:val>
            <c:numRef>
              <c:f>Foaie1!$B$2:$B$7</c:f>
              <c:numCache>
                <c:formatCode>General</c:formatCode>
                <c:ptCount val="6"/>
                <c:pt idx="0">
                  <c:v>360</c:v>
                </c:pt>
                <c:pt idx="1">
                  <c:v>370</c:v>
                </c:pt>
                <c:pt idx="2">
                  <c:v>374.03</c:v>
                </c:pt>
                <c:pt idx="3">
                  <c:v>340.02</c:v>
                </c:pt>
                <c:pt idx="4">
                  <c:v>338.77</c:v>
                </c:pt>
                <c:pt idx="5">
                  <c:v>331.72</c:v>
                </c:pt>
              </c:numCache>
            </c:numRef>
          </c:val>
          <c:smooth val="0"/>
        </c:ser>
        <c:ser>
          <c:idx val="1"/>
          <c:order val="1"/>
          <c:tx>
            <c:strRef>
              <c:f>Foaie1!$C$1</c:f>
              <c:strCache>
                <c:ptCount val="1"/>
                <c:pt idx="0">
                  <c:v>SSRM Constanţa -maxima</c:v>
                </c:pt>
              </c:strCache>
            </c:strRef>
          </c:tx>
          <c:cat>
            <c:numRef>
              <c:f>Foaie1!$A$2:$A$7</c:f>
              <c:numCache>
                <c:formatCode>General</c:formatCode>
                <c:ptCount val="6"/>
                <c:pt idx="0">
                  <c:v>2010</c:v>
                </c:pt>
                <c:pt idx="1">
                  <c:v>2011</c:v>
                </c:pt>
                <c:pt idx="2">
                  <c:v>2012</c:v>
                </c:pt>
                <c:pt idx="3">
                  <c:v>2013</c:v>
                </c:pt>
                <c:pt idx="4">
                  <c:v>2014</c:v>
                </c:pt>
                <c:pt idx="5">
                  <c:v>2015</c:v>
                </c:pt>
              </c:numCache>
            </c:numRef>
          </c:cat>
          <c:val>
            <c:numRef>
              <c:f>Foaie1!$C$2:$C$7</c:f>
              <c:numCache>
                <c:formatCode>0.00</c:formatCode>
                <c:ptCount val="6"/>
                <c:pt idx="0">
                  <c:v>450</c:v>
                </c:pt>
                <c:pt idx="1">
                  <c:v>650</c:v>
                </c:pt>
                <c:pt idx="2">
                  <c:v>459.5</c:v>
                </c:pt>
                <c:pt idx="3">
                  <c:v>438.8</c:v>
                </c:pt>
                <c:pt idx="4">
                  <c:v>430.8</c:v>
                </c:pt>
                <c:pt idx="5">
                  <c:v>422.8</c:v>
                </c:pt>
              </c:numCache>
            </c:numRef>
          </c:val>
          <c:smooth val="0"/>
        </c:ser>
        <c:ser>
          <c:idx val="2"/>
          <c:order val="2"/>
          <c:tx>
            <c:strRef>
              <c:f>Foaie1!$D$1</c:f>
              <c:strCache>
                <c:ptCount val="1"/>
                <c:pt idx="0">
                  <c:v>SSRM Cernavodă-media</c:v>
                </c:pt>
              </c:strCache>
            </c:strRef>
          </c:tx>
          <c:cat>
            <c:numRef>
              <c:f>Foaie1!$A$2:$A$7</c:f>
              <c:numCache>
                <c:formatCode>General</c:formatCode>
                <c:ptCount val="6"/>
                <c:pt idx="0">
                  <c:v>2010</c:v>
                </c:pt>
                <c:pt idx="1">
                  <c:v>2011</c:v>
                </c:pt>
                <c:pt idx="2">
                  <c:v>2012</c:v>
                </c:pt>
                <c:pt idx="3">
                  <c:v>2013</c:v>
                </c:pt>
                <c:pt idx="4">
                  <c:v>2014</c:v>
                </c:pt>
                <c:pt idx="5">
                  <c:v>2015</c:v>
                </c:pt>
              </c:numCache>
            </c:numRef>
          </c:cat>
          <c:val>
            <c:numRef>
              <c:f>Foaie1!$D$2:$D$7</c:f>
              <c:numCache>
                <c:formatCode>General</c:formatCode>
                <c:ptCount val="6"/>
                <c:pt idx="0">
                  <c:v>532.13</c:v>
                </c:pt>
                <c:pt idx="1">
                  <c:v>478.41</c:v>
                </c:pt>
                <c:pt idx="2">
                  <c:v>551.55999999999995</c:v>
                </c:pt>
                <c:pt idx="3">
                  <c:v>578.89</c:v>
                </c:pt>
                <c:pt idx="4">
                  <c:v>561.55999999999995</c:v>
                </c:pt>
                <c:pt idx="5">
                  <c:v>495.72</c:v>
                </c:pt>
              </c:numCache>
            </c:numRef>
          </c:val>
          <c:smooth val="0"/>
        </c:ser>
        <c:ser>
          <c:idx val="3"/>
          <c:order val="3"/>
          <c:tx>
            <c:strRef>
              <c:f>Foaie1!$E$1</c:f>
              <c:strCache>
                <c:ptCount val="1"/>
                <c:pt idx="0">
                  <c:v>SSRM Cernavodă-maxima</c:v>
                </c:pt>
              </c:strCache>
            </c:strRef>
          </c:tx>
          <c:cat>
            <c:numRef>
              <c:f>Foaie1!$A$2:$A$7</c:f>
              <c:numCache>
                <c:formatCode>General</c:formatCode>
                <c:ptCount val="6"/>
                <c:pt idx="0">
                  <c:v>2010</c:v>
                </c:pt>
                <c:pt idx="1">
                  <c:v>2011</c:v>
                </c:pt>
                <c:pt idx="2">
                  <c:v>2012</c:v>
                </c:pt>
                <c:pt idx="3">
                  <c:v>2013</c:v>
                </c:pt>
                <c:pt idx="4">
                  <c:v>2014</c:v>
                </c:pt>
                <c:pt idx="5">
                  <c:v>2015</c:v>
                </c:pt>
              </c:numCache>
            </c:numRef>
          </c:cat>
          <c:val>
            <c:numRef>
              <c:f>Foaie1!$E$2:$E$7</c:f>
              <c:numCache>
                <c:formatCode>General</c:formatCode>
                <c:ptCount val="6"/>
                <c:pt idx="0">
                  <c:v>872.23</c:v>
                </c:pt>
                <c:pt idx="1">
                  <c:v>710.63</c:v>
                </c:pt>
                <c:pt idx="2">
                  <c:v>840.42</c:v>
                </c:pt>
                <c:pt idx="3">
                  <c:v>761.79</c:v>
                </c:pt>
                <c:pt idx="4">
                  <c:v>778.89</c:v>
                </c:pt>
                <c:pt idx="5">
                  <c:v>772.3</c:v>
                </c:pt>
              </c:numCache>
            </c:numRef>
          </c:val>
          <c:smooth val="0"/>
        </c:ser>
        <c:dLbls>
          <c:showLegendKey val="0"/>
          <c:showVal val="0"/>
          <c:showCatName val="0"/>
          <c:showSerName val="0"/>
          <c:showPercent val="0"/>
          <c:showBubbleSize val="0"/>
        </c:dLbls>
        <c:marker val="1"/>
        <c:smooth val="0"/>
        <c:axId val="109292544"/>
        <c:axId val="109347584"/>
      </c:lineChart>
      <c:catAx>
        <c:axId val="109292544"/>
        <c:scaling>
          <c:orientation val="minMax"/>
        </c:scaling>
        <c:delete val="0"/>
        <c:axPos val="b"/>
        <c:numFmt formatCode="General" sourceLinked="1"/>
        <c:majorTickMark val="none"/>
        <c:minorTickMark val="none"/>
        <c:tickLblPos val="nextTo"/>
        <c:txPr>
          <a:bodyPr rot="120000" vert="horz"/>
          <a:lstStyle/>
          <a:p>
            <a:pPr>
              <a:defRPr/>
            </a:pPr>
            <a:endParaRPr lang="en-US"/>
          </a:p>
        </c:txPr>
        <c:crossAx val="109347584"/>
        <c:crossesAt val="0"/>
        <c:auto val="1"/>
        <c:lblAlgn val="ctr"/>
        <c:lblOffset val="100"/>
        <c:noMultiLvlLbl val="0"/>
      </c:catAx>
      <c:valAx>
        <c:axId val="109347584"/>
        <c:scaling>
          <c:orientation val="minMax"/>
          <c:min val="0"/>
        </c:scaling>
        <c:delete val="0"/>
        <c:axPos val="l"/>
        <c:majorGridlines/>
        <c:title>
          <c:tx>
            <c:rich>
              <a:bodyPr rot="-5400000" vert="horz"/>
              <a:lstStyle/>
              <a:p>
                <a:pPr>
                  <a:defRPr sz="1100"/>
                </a:pPr>
                <a:r>
                  <a:rPr lang="ro-RO" sz="1100"/>
                  <a:t>Bq/kg m.u.</a:t>
                </a:r>
              </a:p>
              <a:p>
                <a:pPr>
                  <a:defRPr sz="1100"/>
                </a:pPr>
                <a:endParaRPr lang="vi-VN" sz="1100"/>
              </a:p>
            </c:rich>
          </c:tx>
          <c:overlay val="0"/>
        </c:title>
        <c:numFmt formatCode="General" sourceLinked="0"/>
        <c:majorTickMark val="none"/>
        <c:minorTickMark val="none"/>
        <c:tickLblPos val="nextTo"/>
        <c:spPr>
          <a:ln cmpd="dbl"/>
        </c:spPr>
        <c:txPr>
          <a:bodyPr rot="0" vert="horz"/>
          <a:lstStyle/>
          <a:p>
            <a:pPr>
              <a:defRPr/>
            </a:pPr>
            <a:endParaRPr lang="en-US"/>
          </a:p>
        </c:txPr>
        <c:crossAx val="109292544"/>
        <c:crosses val="autoZero"/>
        <c:crossBetween val="between"/>
      </c:valAx>
    </c:plotArea>
    <c:legend>
      <c:legendPos val="b"/>
      <c:legendEntry>
        <c:idx val="0"/>
        <c:txPr>
          <a:bodyPr/>
          <a:lstStyle/>
          <a:p>
            <a:pPr>
              <a:defRPr sz="1050" baseline="0">
                <a:latin typeface="Calibri" panose="020F0502020204030204" pitchFamily="34" charset="0"/>
              </a:defRPr>
            </a:pPr>
            <a:endParaRPr lang="en-US"/>
          </a:p>
        </c:txPr>
      </c:legendEntry>
      <c:legendEntry>
        <c:idx val="1"/>
        <c:txPr>
          <a:bodyPr/>
          <a:lstStyle/>
          <a:p>
            <a:pPr>
              <a:defRPr sz="1050">
                <a:latin typeface="Calibri" panose="020F0502020204030204" pitchFamily="34" charset="0"/>
              </a:defRPr>
            </a:pPr>
            <a:endParaRPr lang="en-US"/>
          </a:p>
        </c:txPr>
      </c:legendEntry>
      <c:legendEntry>
        <c:idx val="2"/>
        <c:txPr>
          <a:bodyPr/>
          <a:lstStyle/>
          <a:p>
            <a:pPr>
              <a:defRPr sz="1050" baseline="0">
                <a:latin typeface="Calibri" panose="020F0502020204030204" pitchFamily="34" charset="0"/>
              </a:defRPr>
            </a:pPr>
            <a:endParaRPr lang="en-US"/>
          </a:p>
        </c:txPr>
      </c:legendEntry>
      <c:layout>
        <c:manualLayout>
          <c:xMode val="edge"/>
          <c:yMode val="edge"/>
          <c:x val="7.8835978835978843E-2"/>
          <c:y val="0.86138655744954962"/>
          <c:w val="0.87464766904136981"/>
          <c:h val="0.13861344255045041"/>
        </c:manualLayout>
      </c:layout>
      <c:overlay val="0"/>
      <c:txPr>
        <a:bodyPr/>
        <a:lstStyle/>
        <a:p>
          <a:pPr>
            <a:defRPr sz="1050">
              <a:latin typeface="Calibri" panose="020F0502020204030204" pitchFamily="34" charset="0"/>
            </a:defRPr>
          </a:pPr>
          <a:endParaRPr lang="en-US"/>
        </a:p>
      </c:txPr>
    </c:legend>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mn-lt"/>
                <a:ea typeface="Arial"/>
                <a:cs typeface="Arial"/>
              </a:defRPr>
            </a:pPr>
            <a:r>
              <a:rPr lang="en-US" sz="1200">
                <a:latin typeface="+mn-lt"/>
              </a:rPr>
              <a:t>Figura </a:t>
            </a:r>
            <a:r>
              <a:rPr lang="ro-RO" sz="1200" b="1" i="0" u="none" strike="noStrike" kern="1200" baseline="0">
                <a:solidFill>
                  <a:srgbClr val="000000"/>
                </a:solidFill>
                <a:latin typeface="+mn-lt"/>
                <a:cs typeface="Arial"/>
              </a:rPr>
              <a:t>IX</a:t>
            </a:r>
            <a:r>
              <a:rPr lang="ro-RO" sz="1200">
                <a:latin typeface="+mn-lt"/>
              </a:rPr>
              <a:t>.35</a:t>
            </a:r>
            <a:r>
              <a:rPr lang="en-US" sz="1200">
                <a:latin typeface="+mn-lt"/>
              </a:rPr>
              <a:t>. Concentraţii de </a:t>
            </a:r>
            <a:r>
              <a:rPr lang="ro-RO" sz="1200">
                <a:latin typeface="+mn-lt"/>
              </a:rPr>
              <a:t>K</a:t>
            </a:r>
            <a:r>
              <a:rPr lang="en-US" sz="1200">
                <a:latin typeface="+mn-lt"/>
              </a:rPr>
              <a:t>-40 în sol necultivat
- probe colectate în 2015 în Regiunea </a:t>
            </a:r>
            <a:r>
              <a:rPr lang="ro-RO" sz="1200">
                <a:latin typeface="+mn-lt"/>
              </a:rPr>
              <a:t>de dezvoltare</a:t>
            </a:r>
            <a:r>
              <a:rPr lang="ro-RO" sz="1200" baseline="0">
                <a:latin typeface="+mn-lt"/>
              </a:rPr>
              <a:t> de</a:t>
            </a:r>
            <a:r>
              <a:rPr lang="en-US" sz="1200">
                <a:latin typeface="+mn-lt"/>
              </a:rPr>
              <a:t> Sud-Est</a:t>
            </a:r>
          </a:p>
        </c:rich>
      </c:tx>
      <c:layout>
        <c:manualLayout>
          <c:xMode val="edge"/>
          <c:yMode val="edge"/>
          <c:x val="0.19480522171570661"/>
          <c:y val="3.6232051875868455E-2"/>
        </c:manualLayout>
      </c:layout>
      <c:overlay val="0"/>
      <c:spPr>
        <a:noFill/>
        <a:ln w="25359">
          <a:noFill/>
        </a:ln>
      </c:spPr>
    </c:title>
    <c:autoTitleDeleted val="0"/>
    <c:plotArea>
      <c:layout>
        <c:manualLayout>
          <c:layoutTarget val="inner"/>
          <c:xMode val="edge"/>
          <c:yMode val="edge"/>
          <c:x val="0.1038961038961039"/>
          <c:y val="0.20289855072463769"/>
          <c:w val="0.86525974025974028"/>
          <c:h val="0.58209973753280841"/>
        </c:manualLayout>
      </c:layout>
      <c:barChart>
        <c:barDir val="col"/>
        <c:grouping val="clustered"/>
        <c:varyColors val="0"/>
        <c:ser>
          <c:idx val="0"/>
          <c:order val="0"/>
          <c:tx>
            <c:v>Constanţa</c:v>
          </c:tx>
          <c:spPr>
            <a:solidFill>
              <a:srgbClr val="9999FF"/>
            </a:solidFill>
            <a:ln w="12680">
              <a:solidFill>
                <a:srgbClr val="000000"/>
              </a:solidFill>
              <a:prstDash val="solid"/>
            </a:ln>
          </c:spPr>
          <c:invertIfNegative val="0"/>
          <c:cat>
            <c:strRef>
              <c:f>'cs-137'!$B$4:$C$4</c:f>
              <c:strCache>
                <c:ptCount val="2"/>
                <c:pt idx="0">
                  <c:v>Semestrul I</c:v>
                </c:pt>
                <c:pt idx="1">
                  <c:v>Semestrul II</c:v>
                </c:pt>
              </c:strCache>
            </c:strRef>
          </c:cat>
          <c:val>
            <c:numRef>
              <c:f>'cs-137'!$B$5:$C$5</c:f>
              <c:numCache>
                <c:formatCode>0.00</c:formatCode>
                <c:ptCount val="2"/>
                <c:pt idx="0">
                  <c:v>341.72</c:v>
                </c:pt>
                <c:pt idx="1">
                  <c:v>369.53</c:v>
                </c:pt>
              </c:numCache>
            </c:numRef>
          </c:val>
        </c:ser>
        <c:ser>
          <c:idx val="1"/>
          <c:order val="1"/>
          <c:tx>
            <c:v>Cernavodă</c:v>
          </c:tx>
          <c:spPr>
            <a:solidFill>
              <a:srgbClr val="993366"/>
            </a:solidFill>
            <a:ln w="12680">
              <a:solidFill>
                <a:srgbClr val="000000"/>
              </a:solidFill>
              <a:prstDash val="solid"/>
            </a:ln>
          </c:spPr>
          <c:invertIfNegative val="0"/>
          <c:cat>
            <c:strRef>
              <c:f>'cs-137'!$B$4:$C$4</c:f>
              <c:strCache>
                <c:ptCount val="2"/>
                <c:pt idx="0">
                  <c:v>Semestrul I</c:v>
                </c:pt>
                <c:pt idx="1">
                  <c:v>Semestrul II</c:v>
                </c:pt>
              </c:strCache>
            </c:strRef>
          </c:cat>
          <c:val>
            <c:numRef>
              <c:f>'cs-137'!$B$6:$C$6</c:f>
              <c:numCache>
                <c:formatCode>0.00</c:formatCode>
                <c:ptCount val="2"/>
                <c:pt idx="0">
                  <c:v>443.93</c:v>
                </c:pt>
                <c:pt idx="1">
                  <c:v>455.36</c:v>
                </c:pt>
              </c:numCache>
            </c:numRef>
          </c:val>
        </c:ser>
        <c:ser>
          <c:idx val="2"/>
          <c:order val="2"/>
          <c:tx>
            <c:v>Galaţi</c:v>
          </c:tx>
          <c:spPr>
            <a:solidFill>
              <a:srgbClr val="FFFFCC"/>
            </a:solidFill>
            <a:ln w="12680">
              <a:solidFill>
                <a:srgbClr val="000000"/>
              </a:solidFill>
              <a:prstDash val="solid"/>
            </a:ln>
          </c:spPr>
          <c:invertIfNegative val="0"/>
          <c:cat>
            <c:strRef>
              <c:f>'cs-137'!$B$4:$C$4</c:f>
              <c:strCache>
                <c:ptCount val="2"/>
                <c:pt idx="0">
                  <c:v>Semestrul I</c:v>
                </c:pt>
                <c:pt idx="1">
                  <c:v>Semestrul II</c:v>
                </c:pt>
              </c:strCache>
            </c:strRef>
          </c:cat>
          <c:val>
            <c:numRef>
              <c:f>'cs-137'!$B$7:$C$7</c:f>
              <c:numCache>
                <c:formatCode>General</c:formatCode>
                <c:ptCount val="2"/>
                <c:pt idx="0" formatCode="0.00">
                  <c:v>444.47</c:v>
                </c:pt>
              </c:numCache>
            </c:numRef>
          </c:val>
        </c:ser>
        <c:ser>
          <c:idx val="4"/>
          <c:order val="3"/>
          <c:tx>
            <c:v>Tulcea</c:v>
          </c:tx>
          <c:spPr>
            <a:solidFill>
              <a:srgbClr val="660066"/>
            </a:solidFill>
            <a:ln w="12680">
              <a:solidFill>
                <a:srgbClr val="000000"/>
              </a:solidFill>
              <a:prstDash val="solid"/>
            </a:ln>
          </c:spPr>
          <c:invertIfNegative val="0"/>
          <c:cat>
            <c:strRef>
              <c:f>'cs-137'!$B$4:$C$4</c:f>
              <c:strCache>
                <c:ptCount val="2"/>
                <c:pt idx="0">
                  <c:v>Semestrul I</c:v>
                </c:pt>
                <c:pt idx="1">
                  <c:v>Semestrul II</c:v>
                </c:pt>
              </c:strCache>
            </c:strRef>
          </c:cat>
          <c:val>
            <c:numRef>
              <c:f>'cs-137'!$B$9:$C$9</c:f>
              <c:numCache>
                <c:formatCode>General</c:formatCode>
                <c:ptCount val="2"/>
                <c:pt idx="0" formatCode="0.00">
                  <c:v>498.47</c:v>
                </c:pt>
              </c:numCache>
            </c:numRef>
          </c:val>
        </c:ser>
        <c:ser>
          <c:idx val="5"/>
          <c:order val="4"/>
          <c:tx>
            <c:v>Sf. Gheorghe</c:v>
          </c:tx>
          <c:spPr>
            <a:solidFill>
              <a:srgbClr val="FF8080"/>
            </a:solidFill>
            <a:ln w="12680">
              <a:solidFill>
                <a:srgbClr val="000000"/>
              </a:solidFill>
              <a:prstDash val="solid"/>
            </a:ln>
          </c:spPr>
          <c:invertIfNegative val="0"/>
          <c:cat>
            <c:strRef>
              <c:f>'cs-137'!$B$4:$C$4</c:f>
              <c:strCache>
                <c:ptCount val="2"/>
                <c:pt idx="0">
                  <c:v>Semestrul I</c:v>
                </c:pt>
                <c:pt idx="1">
                  <c:v>Semestrul II</c:v>
                </c:pt>
              </c:strCache>
            </c:strRef>
          </c:cat>
          <c:val>
            <c:numRef>
              <c:f>'cs-137'!$B$10:$C$10</c:f>
              <c:numCache>
                <c:formatCode>General</c:formatCode>
                <c:ptCount val="2"/>
                <c:pt idx="0" formatCode="0.00">
                  <c:v>250.45</c:v>
                </c:pt>
              </c:numCache>
            </c:numRef>
          </c:val>
        </c:ser>
        <c:ser>
          <c:idx val="3"/>
          <c:order val="5"/>
          <c:tx>
            <c:v>Buzău</c:v>
          </c:tx>
          <c:spPr>
            <a:solidFill>
              <a:srgbClr val="CCFFFF"/>
            </a:solidFill>
            <a:ln w="12680">
              <a:solidFill>
                <a:srgbClr val="000000"/>
              </a:solidFill>
              <a:prstDash val="solid"/>
            </a:ln>
          </c:spPr>
          <c:invertIfNegative val="0"/>
          <c:val>
            <c:numRef>
              <c:f>'cs-137'!$B$8</c:f>
              <c:numCache>
                <c:formatCode>0.00</c:formatCode>
                <c:ptCount val="1"/>
                <c:pt idx="0">
                  <c:v>507.23</c:v>
                </c:pt>
              </c:numCache>
            </c:numRef>
          </c:val>
        </c:ser>
        <c:dLbls>
          <c:showLegendKey val="0"/>
          <c:showVal val="0"/>
          <c:showCatName val="0"/>
          <c:showSerName val="0"/>
          <c:showPercent val="0"/>
          <c:showBubbleSize val="0"/>
        </c:dLbls>
        <c:gapWidth val="150"/>
        <c:axId val="109320448"/>
        <c:axId val="109371392"/>
      </c:barChart>
      <c:catAx>
        <c:axId val="109320448"/>
        <c:scaling>
          <c:orientation val="minMax"/>
        </c:scaling>
        <c:delete val="0"/>
        <c:axPos val="b"/>
        <c:numFmt formatCode="General" sourceLinked="1"/>
        <c:majorTickMark val="out"/>
        <c:minorTickMark val="none"/>
        <c:tickLblPos val="nextTo"/>
        <c:spPr>
          <a:ln w="3170">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n-US"/>
          </a:p>
        </c:txPr>
        <c:crossAx val="109371392"/>
        <c:crosses val="autoZero"/>
        <c:auto val="1"/>
        <c:lblAlgn val="ctr"/>
        <c:lblOffset val="100"/>
        <c:tickLblSkip val="1"/>
        <c:tickMarkSkip val="1"/>
        <c:noMultiLvlLbl val="0"/>
      </c:catAx>
      <c:valAx>
        <c:axId val="109371392"/>
        <c:scaling>
          <c:orientation val="minMax"/>
          <c:max val="600"/>
        </c:scaling>
        <c:delete val="0"/>
        <c:axPos val="l"/>
        <c:majorGridlines>
          <c:spPr>
            <a:ln w="3170">
              <a:solidFill>
                <a:srgbClr val="000000"/>
              </a:solidFill>
              <a:prstDash val="solid"/>
            </a:ln>
          </c:spPr>
        </c:majorGridlines>
        <c:title>
          <c:tx>
            <c:rich>
              <a:bodyPr/>
              <a:lstStyle/>
              <a:p>
                <a:pPr>
                  <a:defRPr sz="1098" b="1" i="0" u="none" strike="noStrike" baseline="0">
                    <a:solidFill>
                      <a:srgbClr val="000000"/>
                    </a:solidFill>
                    <a:latin typeface="Arial"/>
                    <a:ea typeface="Arial"/>
                    <a:cs typeface="Arial"/>
                  </a:defRPr>
                </a:pPr>
                <a:r>
                  <a:rPr lang="vi-VN"/>
                  <a:t>Bq/kg m</a:t>
                </a:r>
                <a:r>
                  <a:rPr lang="ro-RO"/>
                  <a:t>.</a:t>
                </a:r>
                <a:r>
                  <a:rPr lang="vi-VN"/>
                  <a:t>u</a:t>
                </a:r>
                <a:r>
                  <a:rPr lang="ro-RO"/>
                  <a:t>.</a:t>
                </a:r>
                <a:endParaRPr lang="vi-VN"/>
              </a:p>
            </c:rich>
          </c:tx>
          <c:layout>
            <c:manualLayout>
              <c:xMode val="edge"/>
              <c:yMode val="edge"/>
              <c:x val="1.8942899560569517E-2"/>
              <c:y val="0.34032277880158601"/>
            </c:manualLayout>
          </c:layout>
          <c:overlay val="0"/>
          <c:spPr>
            <a:noFill/>
            <a:ln w="25359">
              <a:noFill/>
            </a:ln>
          </c:spPr>
        </c:title>
        <c:numFmt formatCode="0" sourceLinked="0"/>
        <c:majorTickMark val="out"/>
        <c:minorTickMark val="none"/>
        <c:tickLblPos val="nextTo"/>
        <c:spPr>
          <a:ln w="3170">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n-US"/>
          </a:p>
        </c:txPr>
        <c:crossAx val="109320448"/>
        <c:crosses val="autoZero"/>
        <c:crossBetween val="between"/>
        <c:majorUnit val="200"/>
        <c:minorUnit val="1.2"/>
      </c:valAx>
      <c:spPr>
        <a:gradFill rotWithShape="0">
          <a:gsLst>
            <a:gs pos="0">
              <a:srgbClr xmlns:mc="http://schemas.openxmlformats.org/markup-compatibility/2006" xmlns:a14="http://schemas.microsoft.com/office/drawing/2010/main" val="010101" mc:Ignorable="a14" a14:legacySpreadsheetColorIndex="9">
                <a:gamma/>
                <a:shade val="66275"/>
                <a:invGamma/>
              </a:srgbClr>
            </a:gs>
            <a:gs pos="100000">
              <a:srgbClr xmlns:mc="http://schemas.openxmlformats.org/markup-compatibility/2006" xmlns:a14="http://schemas.microsoft.com/office/drawing/2010/main" val="FFFFFF" mc:Ignorable="a14" a14:legacySpreadsheetColorIndex="9"/>
            </a:gs>
          </a:gsLst>
          <a:lin ang="5400000" scaled="1"/>
        </a:gradFill>
        <a:ln w="12680">
          <a:solidFill>
            <a:srgbClr val="808080"/>
          </a:solidFill>
          <a:prstDash val="solid"/>
        </a:ln>
      </c:spPr>
    </c:plotArea>
    <c:legend>
      <c:legendPos val="b"/>
      <c:legendEntry>
        <c:idx val="1"/>
        <c:txPr>
          <a:bodyPr/>
          <a:lstStyle/>
          <a:p>
            <a:pPr>
              <a:defRPr sz="1000" b="0" i="0" u="none" strike="noStrike" baseline="0">
                <a:solidFill>
                  <a:srgbClr val="000000"/>
                </a:solidFill>
                <a:latin typeface="+mn-lt"/>
                <a:ea typeface="Arial"/>
                <a:cs typeface="Arial"/>
              </a:defRPr>
            </a:pPr>
            <a:endParaRPr lang="en-US"/>
          </a:p>
        </c:txPr>
      </c:legendEntry>
      <c:legendEntry>
        <c:idx val="5"/>
        <c:txPr>
          <a:bodyPr/>
          <a:lstStyle/>
          <a:p>
            <a:pPr>
              <a:defRPr sz="1000" b="0" i="0" u="none" strike="noStrike" baseline="0">
                <a:solidFill>
                  <a:srgbClr val="000000"/>
                </a:solidFill>
                <a:latin typeface="+mn-lt"/>
                <a:ea typeface="Arial"/>
                <a:cs typeface="Arial"/>
              </a:defRPr>
            </a:pPr>
            <a:endParaRPr lang="en-US"/>
          </a:p>
        </c:txPr>
      </c:legendEntry>
      <c:layout>
        <c:manualLayout>
          <c:xMode val="edge"/>
          <c:yMode val="edge"/>
          <c:x val="7.1428510658209862E-2"/>
          <c:y val="0.84530779397256195"/>
          <c:w val="0.92857145323939771"/>
          <c:h val="0.11594218002161494"/>
        </c:manualLayout>
      </c:layout>
      <c:overlay val="0"/>
      <c:spPr>
        <a:solidFill>
          <a:srgbClr val="FFFFFF"/>
        </a:solidFill>
        <a:ln w="3170">
          <a:noFill/>
          <a:prstDash val="solid"/>
        </a:ln>
      </c:spPr>
      <c:txPr>
        <a:bodyPr/>
        <a:lstStyle/>
        <a:p>
          <a:pPr>
            <a:defRPr sz="1050" b="0" i="0" u="none" strike="noStrike" baseline="0">
              <a:solidFill>
                <a:srgbClr val="000000"/>
              </a:solidFill>
              <a:latin typeface="+mn-lt"/>
              <a:ea typeface="Arial"/>
              <a:cs typeface="Arial"/>
            </a:defRPr>
          </a:pPr>
          <a:endParaRPr lang="en-US"/>
        </a:p>
      </c:txPr>
    </c:legend>
    <c:plotVisOnly val="1"/>
    <c:dispBlanksAs val="gap"/>
    <c:showDLblsOverMax val="0"/>
  </c:chart>
  <c:spPr>
    <a:solidFill>
      <a:srgbClr val="FFFFFF"/>
    </a:solidFill>
    <a:ln w="3170">
      <a:solidFill>
        <a:srgbClr val="000000"/>
      </a:solidFill>
      <a:prstDash val="solid"/>
    </a:ln>
  </c:spPr>
  <c:txPr>
    <a:bodyPr/>
    <a:lstStyle/>
    <a:p>
      <a:pPr>
        <a:defRPr sz="1473" b="0" i="0" u="none" strike="noStrike" baseline="0">
          <a:solidFill>
            <a:srgbClr val="000000"/>
          </a:solidFill>
          <a:latin typeface="Arial"/>
          <a:ea typeface="Arial"/>
          <a:cs typeface="Arial"/>
        </a:defRPr>
      </a:pPr>
      <a:endParaRPr lang="en-US"/>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98" b="1" i="0" u="none" strike="noStrike" baseline="0">
                <a:solidFill>
                  <a:srgbClr val="000000"/>
                </a:solidFill>
                <a:latin typeface="+mn-lt"/>
                <a:ea typeface="Arial"/>
                <a:cs typeface="Arial"/>
              </a:defRPr>
            </a:pPr>
            <a:r>
              <a:rPr lang="en-US" sz="898">
                <a:latin typeface="+mn-lt"/>
              </a:rPr>
              <a:t>Figura IX.36. Concentraţii de Cs-137 în sol necultivat
- probe colectate în 2015 în Regiunea de dezvoltare</a:t>
            </a:r>
            <a:r>
              <a:rPr lang="en-US" sz="898" baseline="0">
                <a:latin typeface="+mn-lt"/>
              </a:rPr>
              <a:t> de</a:t>
            </a:r>
            <a:r>
              <a:rPr lang="en-US" sz="898">
                <a:latin typeface="+mn-lt"/>
              </a:rPr>
              <a:t> Sud-Est</a:t>
            </a:r>
          </a:p>
        </c:rich>
      </c:tx>
      <c:layout>
        <c:manualLayout>
          <c:xMode val="edge"/>
          <c:yMode val="edge"/>
          <c:x val="0.1948052033401928"/>
          <c:y val="3.6231884057971016E-2"/>
        </c:manualLayout>
      </c:layout>
      <c:overlay val="0"/>
      <c:spPr>
        <a:noFill/>
        <a:ln w="19017">
          <a:noFill/>
        </a:ln>
      </c:spPr>
    </c:title>
    <c:autoTitleDeleted val="0"/>
    <c:plotArea>
      <c:layout>
        <c:manualLayout>
          <c:layoutTarget val="inner"/>
          <c:xMode val="edge"/>
          <c:yMode val="edge"/>
          <c:x val="0.1038961038961039"/>
          <c:y val="0.20289855072463769"/>
          <c:w val="0.86525974025974028"/>
          <c:h val="0.5688405797101449"/>
        </c:manualLayout>
      </c:layout>
      <c:barChart>
        <c:barDir val="col"/>
        <c:grouping val="clustered"/>
        <c:varyColors val="0"/>
        <c:ser>
          <c:idx val="0"/>
          <c:order val="0"/>
          <c:tx>
            <c:v>Constanţa</c:v>
          </c:tx>
          <c:spPr>
            <a:solidFill>
              <a:srgbClr val="9999FF"/>
            </a:solidFill>
            <a:ln w="9508">
              <a:solidFill>
                <a:srgbClr val="000000"/>
              </a:solidFill>
              <a:prstDash val="solid"/>
            </a:ln>
          </c:spPr>
          <c:invertIfNegative val="0"/>
          <c:cat>
            <c:strRef>
              <c:f>'cs-137'!$B$4:$C$4</c:f>
              <c:strCache>
                <c:ptCount val="2"/>
                <c:pt idx="0">
                  <c:v>Semestrul I</c:v>
                </c:pt>
                <c:pt idx="1">
                  <c:v>Semestrul II</c:v>
                </c:pt>
              </c:strCache>
            </c:strRef>
          </c:cat>
          <c:val>
            <c:numRef>
              <c:f>'cs-137'!$B$5:$C$5</c:f>
              <c:numCache>
                <c:formatCode>0.00</c:formatCode>
                <c:ptCount val="2"/>
                <c:pt idx="0">
                  <c:v>3.62</c:v>
                </c:pt>
                <c:pt idx="1">
                  <c:v>3.29</c:v>
                </c:pt>
              </c:numCache>
            </c:numRef>
          </c:val>
        </c:ser>
        <c:ser>
          <c:idx val="1"/>
          <c:order val="1"/>
          <c:tx>
            <c:v>Cernavodă</c:v>
          </c:tx>
          <c:spPr>
            <a:solidFill>
              <a:srgbClr val="993366"/>
            </a:solidFill>
            <a:ln w="9508">
              <a:solidFill>
                <a:srgbClr val="000000"/>
              </a:solidFill>
              <a:prstDash val="solid"/>
            </a:ln>
          </c:spPr>
          <c:invertIfNegative val="0"/>
          <c:cat>
            <c:strRef>
              <c:f>'cs-137'!$B$4:$C$4</c:f>
              <c:strCache>
                <c:ptCount val="2"/>
                <c:pt idx="0">
                  <c:v>Semestrul I</c:v>
                </c:pt>
                <c:pt idx="1">
                  <c:v>Semestrul II</c:v>
                </c:pt>
              </c:strCache>
            </c:strRef>
          </c:cat>
          <c:val>
            <c:numRef>
              <c:f>'cs-137'!$B$6:$C$6</c:f>
              <c:numCache>
                <c:formatCode>0.00</c:formatCode>
                <c:ptCount val="2"/>
                <c:pt idx="0">
                  <c:v>4.12</c:v>
                </c:pt>
                <c:pt idx="1">
                  <c:v>16.010000000000002</c:v>
                </c:pt>
              </c:numCache>
            </c:numRef>
          </c:val>
        </c:ser>
        <c:ser>
          <c:idx val="2"/>
          <c:order val="2"/>
          <c:tx>
            <c:v>Galaţi</c:v>
          </c:tx>
          <c:spPr>
            <a:solidFill>
              <a:srgbClr val="FFFFCC"/>
            </a:solidFill>
            <a:ln w="9508">
              <a:solidFill>
                <a:srgbClr val="000000"/>
              </a:solidFill>
              <a:prstDash val="solid"/>
            </a:ln>
          </c:spPr>
          <c:invertIfNegative val="0"/>
          <c:cat>
            <c:strRef>
              <c:f>'cs-137'!$B$4:$C$4</c:f>
              <c:strCache>
                <c:ptCount val="2"/>
                <c:pt idx="0">
                  <c:v>Semestrul I</c:v>
                </c:pt>
                <c:pt idx="1">
                  <c:v>Semestrul II</c:v>
                </c:pt>
              </c:strCache>
            </c:strRef>
          </c:cat>
          <c:val>
            <c:numRef>
              <c:f>'cs-137'!$B$7:$C$7</c:f>
              <c:numCache>
                <c:formatCode>General</c:formatCode>
                <c:ptCount val="2"/>
                <c:pt idx="0" formatCode="0.00">
                  <c:v>3.59</c:v>
                </c:pt>
              </c:numCache>
            </c:numRef>
          </c:val>
        </c:ser>
        <c:ser>
          <c:idx val="4"/>
          <c:order val="3"/>
          <c:tx>
            <c:v>Tulcea</c:v>
          </c:tx>
          <c:spPr>
            <a:solidFill>
              <a:srgbClr val="660066"/>
            </a:solidFill>
            <a:ln w="9508">
              <a:solidFill>
                <a:srgbClr val="000000"/>
              </a:solidFill>
              <a:prstDash val="solid"/>
            </a:ln>
          </c:spPr>
          <c:invertIfNegative val="0"/>
          <c:cat>
            <c:strRef>
              <c:f>'cs-137'!$B$4:$C$4</c:f>
              <c:strCache>
                <c:ptCount val="2"/>
                <c:pt idx="0">
                  <c:v>Semestrul I</c:v>
                </c:pt>
                <c:pt idx="1">
                  <c:v>Semestrul II</c:v>
                </c:pt>
              </c:strCache>
            </c:strRef>
          </c:cat>
          <c:val>
            <c:numRef>
              <c:f>'cs-137'!$B$9:$C$9</c:f>
              <c:numCache>
                <c:formatCode>General</c:formatCode>
                <c:ptCount val="2"/>
                <c:pt idx="0" formatCode="0.00">
                  <c:v>9.6199999999999992</c:v>
                </c:pt>
              </c:numCache>
            </c:numRef>
          </c:val>
        </c:ser>
        <c:ser>
          <c:idx val="5"/>
          <c:order val="4"/>
          <c:tx>
            <c:v>Sf. Gheorghe</c:v>
          </c:tx>
          <c:spPr>
            <a:solidFill>
              <a:srgbClr val="FF8080"/>
            </a:solidFill>
            <a:ln w="9508">
              <a:solidFill>
                <a:srgbClr val="000000"/>
              </a:solidFill>
              <a:prstDash val="solid"/>
            </a:ln>
          </c:spPr>
          <c:invertIfNegative val="0"/>
          <c:cat>
            <c:strRef>
              <c:f>'cs-137'!$B$4:$C$4</c:f>
              <c:strCache>
                <c:ptCount val="2"/>
                <c:pt idx="0">
                  <c:v>Semestrul I</c:v>
                </c:pt>
                <c:pt idx="1">
                  <c:v>Semestrul II</c:v>
                </c:pt>
              </c:strCache>
            </c:strRef>
          </c:cat>
          <c:val>
            <c:numRef>
              <c:f>'cs-137'!$B$10:$C$10</c:f>
              <c:numCache>
                <c:formatCode>General</c:formatCode>
                <c:ptCount val="2"/>
                <c:pt idx="0" formatCode="0.00">
                  <c:v>3.7</c:v>
                </c:pt>
              </c:numCache>
            </c:numRef>
          </c:val>
        </c:ser>
        <c:ser>
          <c:idx val="3"/>
          <c:order val="5"/>
          <c:tx>
            <c:v>Buzău</c:v>
          </c:tx>
          <c:spPr>
            <a:solidFill>
              <a:srgbClr val="CCFFFF"/>
            </a:solidFill>
            <a:ln w="9508">
              <a:solidFill>
                <a:srgbClr val="000000"/>
              </a:solidFill>
              <a:prstDash val="solid"/>
            </a:ln>
          </c:spPr>
          <c:invertIfNegative val="0"/>
          <c:val>
            <c:numRef>
              <c:f>'cs-137'!$B$8</c:f>
              <c:numCache>
                <c:formatCode>0.00</c:formatCode>
                <c:ptCount val="1"/>
              </c:numCache>
            </c:numRef>
          </c:val>
        </c:ser>
        <c:dLbls>
          <c:showLegendKey val="0"/>
          <c:showVal val="0"/>
          <c:showCatName val="0"/>
          <c:showSerName val="0"/>
          <c:showPercent val="0"/>
          <c:showBubbleSize val="0"/>
        </c:dLbls>
        <c:gapWidth val="150"/>
        <c:axId val="109560960"/>
        <c:axId val="109562496"/>
      </c:barChart>
      <c:catAx>
        <c:axId val="109560960"/>
        <c:scaling>
          <c:orientation val="minMax"/>
        </c:scaling>
        <c:delete val="0"/>
        <c:axPos val="b"/>
        <c:numFmt formatCode="General" sourceLinked="1"/>
        <c:majorTickMark val="out"/>
        <c:minorTickMark val="none"/>
        <c:tickLblPos val="nextTo"/>
        <c:spPr>
          <a:ln w="2377">
            <a:solidFill>
              <a:srgbClr val="000000"/>
            </a:solidFill>
            <a:prstDash val="solid"/>
          </a:ln>
        </c:spPr>
        <c:txPr>
          <a:bodyPr rot="0" vert="horz"/>
          <a:lstStyle/>
          <a:p>
            <a:pPr>
              <a:defRPr sz="599" b="0" i="0" u="none" strike="noStrike" baseline="0">
                <a:solidFill>
                  <a:srgbClr val="000000"/>
                </a:solidFill>
                <a:latin typeface="Arial"/>
                <a:ea typeface="Arial"/>
                <a:cs typeface="Arial"/>
              </a:defRPr>
            </a:pPr>
            <a:endParaRPr lang="en-US"/>
          </a:p>
        </c:txPr>
        <c:crossAx val="109562496"/>
        <c:crosses val="autoZero"/>
        <c:auto val="1"/>
        <c:lblAlgn val="ctr"/>
        <c:lblOffset val="100"/>
        <c:tickLblSkip val="1"/>
        <c:tickMarkSkip val="1"/>
        <c:noMultiLvlLbl val="0"/>
      </c:catAx>
      <c:valAx>
        <c:axId val="109562496"/>
        <c:scaling>
          <c:orientation val="minMax"/>
          <c:max val="20"/>
        </c:scaling>
        <c:delete val="0"/>
        <c:axPos val="l"/>
        <c:majorGridlines>
          <c:spPr>
            <a:ln w="2377">
              <a:solidFill>
                <a:srgbClr val="000000"/>
              </a:solidFill>
              <a:prstDash val="solid"/>
            </a:ln>
          </c:spPr>
        </c:majorGridlines>
        <c:title>
          <c:tx>
            <c:rich>
              <a:bodyPr/>
              <a:lstStyle/>
              <a:p>
                <a:pPr>
                  <a:defRPr sz="824" b="1" i="0" u="none" strike="noStrike" baseline="0">
                    <a:solidFill>
                      <a:srgbClr val="000000"/>
                    </a:solidFill>
                    <a:latin typeface="Calibri" panose="020F0502020204030204" pitchFamily="34" charset="0"/>
                    <a:ea typeface="Arial"/>
                    <a:cs typeface="Arial"/>
                  </a:defRPr>
                </a:pPr>
                <a:r>
                  <a:rPr lang="vi-VN" sz="824">
                    <a:latin typeface="Calibri" panose="020F0502020204030204" pitchFamily="34" charset="0"/>
                  </a:rPr>
                  <a:t>Bq/kg m</a:t>
                </a:r>
                <a:r>
                  <a:rPr lang="en-US" sz="824">
                    <a:latin typeface="Calibri" panose="020F0502020204030204" pitchFamily="34" charset="0"/>
                  </a:rPr>
                  <a:t>.</a:t>
                </a:r>
                <a:r>
                  <a:rPr lang="vi-VN" sz="824">
                    <a:latin typeface="Calibri" panose="020F0502020204030204" pitchFamily="34" charset="0"/>
                  </a:rPr>
                  <a:t>u</a:t>
                </a:r>
                <a:r>
                  <a:rPr lang="en-US" sz="824">
                    <a:latin typeface="Calibri" panose="020F0502020204030204" pitchFamily="34" charset="0"/>
                  </a:rPr>
                  <a:t>.</a:t>
                </a:r>
                <a:endParaRPr lang="vi-VN" sz="1100">
                  <a:latin typeface="Calibri" panose="020F0502020204030204" pitchFamily="34" charset="0"/>
                </a:endParaRPr>
              </a:p>
            </c:rich>
          </c:tx>
          <c:layout>
            <c:manualLayout>
              <c:xMode val="edge"/>
              <c:yMode val="edge"/>
              <c:x val="2.1103840893127796E-2"/>
              <c:y val="0.36231884057971014"/>
            </c:manualLayout>
          </c:layout>
          <c:overlay val="0"/>
          <c:spPr>
            <a:noFill/>
            <a:ln w="19017">
              <a:noFill/>
            </a:ln>
          </c:spPr>
        </c:title>
        <c:numFmt formatCode="0" sourceLinked="0"/>
        <c:majorTickMark val="out"/>
        <c:minorTickMark val="none"/>
        <c:tickLblPos val="nextTo"/>
        <c:spPr>
          <a:ln w="2377">
            <a:solidFill>
              <a:srgbClr val="000000"/>
            </a:solidFill>
            <a:prstDash val="solid"/>
          </a:ln>
        </c:spPr>
        <c:txPr>
          <a:bodyPr rot="0" vert="horz"/>
          <a:lstStyle/>
          <a:p>
            <a:pPr>
              <a:defRPr sz="599" b="0" i="0" u="none" strike="noStrike" baseline="0">
                <a:solidFill>
                  <a:srgbClr val="000000"/>
                </a:solidFill>
                <a:latin typeface="Arial"/>
                <a:ea typeface="Arial"/>
                <a:cs typeface="Arial"/>
              </a:defRPr>
            </a:pPr>
            <a:endParaRPr lang="en-US"/>
          </a:p>
        </c:txPr>
        <c:crossAx val="109560960"/>
        <c:crosses val="autoZero"/>
        <c:crossBetween val="between"/>
        <c:majorUnit val="10"/>
        <c:minorUnit val="1.2"/>
      </c:valAx>
      <c:spPr>
        <a:gradFill rotWithShape="0">
          <a:gsLst>
            <a:gs pos="0">
              <a:srgbClr xmlns:mc="http://schemas.openxmlformats.org/markup-compatibility/2006" xmlns:a14="http://schemas.microsoft.com/office/drawing/2010/main" val="010101" mc:Ignorable="a14" a14:legacySpreadsheetColorIndex="9">
                <a:gamma/>
                <a:shade val="66275"/>
                <a:invGamma/>
              </a:srgbClr>
            </a:gs>
            <a:gs pos="100000">
              <a:srgbClr xmlns:mc="http://schemas.openxmlformats.org/markup-compatibility/2006" xmlns:a14="http://schemas.microsoft.com/office/drawing/2010/main" val="FFFFFF" mc:Ignorable="a14" a14:legacySpreadsheetColorIndex="9"/>
            </a:gs>
          </a:gsLst>
          <a:lin ang="5400000" scaled="1"/>
        </a:gradFill>
        <a:ln w="9508">
          <a:solidFill>
            <a:srgbClr val="808080"/>
          </a:solidFill>
          <a:prstDash val="solid"/>
        </a:ln>
      </c:spPr>
    </c:plotArea>
    <c:legend>
      <c:legendPos val="b"/>
      <c:legendEntry>
        <c:idx val="1"/>
        <c:txPr>
          <a:bodyPr/>
          <a:lstStyle/>
          <a:p>
            <a:pPr>
              <a:defRPr sz="749" b="0" i="0" u="none" strike="noStrike" baseline="0">
                <a:solidFill>
                  <a:srgbClr val="000000"/>
                </a:solidFill>
                <a:latin typeface="+mn-lt"/>
                <a:ea typeface="Arial"/>
                <a:cs typeface="Arial"/>
              </a:defRPr>
            </a:pPr>
            <a:endParaRPr lang="en-US"/>
          </a:p>
        </c:txPr>
      </c:legendEntry>
      <c:legendEntry>
        <c:idx val="5"/>
        <c:txPr>
          <a:bodyPr/>
          <a:lstStyle/>
          <a:p>
            <a:pPr>
              <a:defRPr sz="749" b="0" i="0" u="none" strike="noStrike" baseline="0">
                <a:solidFill>
                  <a:srgbClr val="000000"/>
                </a:solidFill>
                <a:latin typeface="+mn-lt"/>
                <a:ea typeface="Arial"/>
                <a:cs typeface="Arial"/>
              </a:defRPr>
            </a:pPr>
            <a:endParaRPr lang="en-US"/>
          </a:p>
        </c:txPr>
      </c:legendEntry>
      <c:layout>
        <c:manualLayout>
          <c:xMode val="edge"/>
          <c:yMode val="edge"/>
          <c:x val="7.1428536221704669E-2"/>
          <c:y val="0.84057971014492749"/>
          <c:w val="0.92857146377829536"/>
          <c:h val="0.11594202898550721"/>
        </c:manualLayout>
      </c:layout>
      <c:overlay val="0"/>
      <c:spPr>
        <a:solidFill>
          <a:srgbClr val="FFFFFF"/>
        </a:solidFill>
        <a:ln w="19017">
          <a:noFill/>
        </a:ln>
      </c:spPr>
      <c:txPr>
        <a:bodyPr/>
        <a:lstStyle/>
        <a:p>
          <a:pPr>
            <a:defRPr sz="786" b="0" i="0" u="none" strike="noStrike" baseline="0">
              <a:solidFill>
                <a:srgbClr val="000000"/>
              </a:solidFill>
              <a:latin typeface="+mn-lt"/>
              <a:ea typeface="Arial"/>
              <a:cs typeface="Arial"/>
            </a:defRPr>
          </a:pPr>
          <a:endParaRPr lang="en-US"/>
        </a:p>
      </c:txPr>
    </c:legend>
    <c:plotVisOnly val="1"/>
    <c:dispBlanksAs val="gap"/>
    <c:showDLblsOverMax val="0"/>
  </c:chart>
  <c:spPr>
    <a:solidFill>
      <a:srgbClr val="FFFFFF"/>
    </a:solidFill>
    <a:ln w="2377">
      <a:solidFill>
        <a:srgbClr val="000000"/>
      </a:solidFill>
      <a:prstDash val="solid"/>
    </a:ln>
  </c:spPr>
  <c:txPr>
    <a:bodyPr/>
    <a:lstStyle/>
    <a:p>
      <a:pPr>
        <a:defRPr sz="1104" b="0" i="0" u="none" strike="noStrike" baseline="0">
          <a:solidFill>
            <a:srgbClr val="000000"/>
          </a:solidFill>
          <a:latin typeface="Arial"/>
          <a:ea typeface="Arial"/>
          <a:cs typeface="Arial"/>
        </a:defRPr>
      </a:pPr>
      <a:endParaRPr lang="en-US"/>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mn-lt"/>
                <a:ea typeface="Arial"/>
                <a:cs typeface="Arial"/>
              </a:defRPr>
            </a:pPr>
            <a:r>
              <a:rPr lang="en-US" sz="1200">
                <a:latin typeface="+mn-lt"/>
              </a:rPr>
              <a:t>Figura </a:t>
            </a:r>
            <a:r>
              <a:rPr lang="en-US" sz="1200" b="1" i="0" u="none" strike="noStrike" kern="1200" baseline="0">
                <a:solidFill>
                  <a:srgbClr val="000000"/>
                </a:solidFill>
                <a:latin typeface="+mn-lt"/>
                <a:cs typeface="Arial"/>
              </a:rPr>
              <a:t>IX</a:t>
            </a:r>
            <a:r>
              <a:rPr lang="en-US" sz="1200">
                <a:latin typeface="+mn-lt"/>
              </a:rPr>
              <a:t>.</a:t>
            </a:r>
            <a:r>
              <a:rPr lang="ro-RO" sz="1200">
                <a:latin typeface="+mn-lt"/>
              </a:rPr>
              <a:t>39</a:t>
            </a:r>
            <a:r>
              <a:rPr lang="en-US" sz="1200">
                <a:latin typeface="+mn-lt"/>
              </a:rPr>
              <a:t>. Concentraţii de Ra-226  în probe de sol necultivat</a:t>
            </a:r>
            <a:r>
              <a:rPr lang="ro-RO" sz="1200">
                <a:latin typeface="+mn-lt"/>
              </a:rPr>
              <a:t> colectate în zonele Năvodari şi Vadu</a:t>
            </a:r>
            <a:endParaRPr lang="en-US" sz="1200">
              <a:latin typeface="+mn-lt"/>
            </a:endParaRPr>
          </a:p>
        </c:rich>
      </c:tx>
      <c:layout>
        <c:manualLayout>
          <c:xMode val="edge"/>
          <c:yMode val="edge"/>
          <c:x val="0.16589147286821707"/>
          <c:y val="0"/>
        </c:manualLayout>
      </c:layout>
      <c:overlay val="0"/>
      <c:spPr>
        <a:noFill/>
        <a:ln w="25400">
          <a:noFill/>
        </a:ln>
      </c:spPr>
    </c:title>
    <c:autoTitleDeleted val="0"/>
    <c:plotArea>
      <c:layout>
        <c:manualLayout>
          <c:layoutTarget val="inner"/>
          <c:xMode val="edge"/>
          <c:yMode val="edge"/>
          <c:x val="0.11176470588235295"/>
          <c:y val="0.24933304787052676"/>
          <c:w val="0.83999837481615103"/>
          <c:h val="0.49502878241914677"/>
        </c:manualLayout>
      </c:layout>
      <c:barChart>
        <c:barDir val="col"/>
        <c:grouping val="clustered"/>
        <c:varyColors val="0"/>
        <c:ser>
          <c:idx val="0"/>
          <c:order val="0"/>
          <c:tx>
            <c:strRef>
              <c:f>Sheet1!$A$2</c:f>
              <c:strCache>
                <c:ptCount val="1"/>
              </c:strCache>
            </c:strRef>
          </c:tx>
          <c:spPr>
            <a:solidFill>
              <a:srgbClr val="00FF00"/>
            </a:solidFill>
            <a:ln w="12700">
              <a:solidFill>
                <a:srgbClr val="000000"/>
              </a:solidFill>
              <a:prstDash val="solid"/>
            </a:ln>
          </c:spPr>
          <c:invertIfNegative val="0"/>
          <c:cat>
            <c:strRef>
              <c:f>Sheet1!$B$1:$N$1</c:f>
              <c:strCache>
                <c:ptCount val="13"/>
                <c:pt idx="0">
                  <c:v>Mamaia Sat</c:v>
                </c:pt>
                <c:pt idx="1">
                  <c:v>Năvodari-vestul oraşului</c:v>
                </c:pt>
                <c:pt idx="2">
                  <c:v>Năvodari-sudul Combinatului</c:v>
                </c:pt>
                <c:pt idx="3">
                  <c:v>Lumina</c:v>
                </c:pt>
                <c:pt idx="4">
                  <c:v>Vadu-vestul întreprinderii</c:v>
                </c:pt>
                <c:pt idx="5">
                  <c:v>Vadu-nordul întreprinderii</c:v>
                </c:pt>
                <c:pt idx="6">
                  <c:v>Vadu-estul întreprinderii</c:v>
                </c:pt>
                <c:pt idx="7">
                  <c:v>Vadu-sudul întreprinderii</c:v>
                </c:pt>
                <c:pt idx="8">
                  <c:v>Vadu-vestul localităţii</c:v>
                </c:pt>
                <c:pt idx="9">
                  <c:v>Vadu-nordul localităţii</c:v>
                </c:pt>
                <c:pt idx="10">
                  <c:v>Vadu-estul localităţii</c:v>
                </c:pt>
                <c:pt idx="11">
                  <c:v>Vadu-sudul localităţii</c:v>
                </c:pt>
                <c:pt idx="12">
                  <c:v>medie Constanţa</c:v>
                </c:pt>
              </c:strCache>
            </c:strRef>
          </c:cat>
          <c:val>
            <c:numRef>
              <c:f>Sheet1!$B$2:$N$2</c:f>
              <c:numCache>
                <c:formatCode>General</c:formatCode>
                <c:ptCount val="13"/>
                <c:pt idx="0">
                  <c:v>31.027999999999999</c:v>
                </c:pt>
                <c:pt idx="1">
                  <c:v>44.216999999999999</c:v>
                </c:pt>
                <c:pt idx="2">
                  <c:v>35.61</c:v>
                </c:pt>
                <c:pt idx="3">
                  <c:v>37.878999999999998</c:v>
                </c:pt>
                <c:pt idx="4">
                  <c:v>111.748</c:v>
                </c:pt>
                <c:pt idx="5">
                  <c:v>149.542</c:v>
                </c:pt>
                <c:pt idx="6">
                  <c:v>64.238</c:v>
                </c:pt>
                <c:pt idx="7">
                  <c:v>81.494</c:v>
                </c:pt>
                <c:pt idx="8">
                  <c:v>35.884</c:v>
                </c:pt>
                <c:pt idx="9">
                  <c:v>32.904000000000003</c:v>
                </c:pt>
                <c:pt idx="10">
                  <c:v>34.997</c:v>
                </c:pt>
                <c:pt idx="11">
                  <c:v>36.338999999999999</c:v>
                </c:pt>
                <c:pt idx="12">
                  <c:v>22.396999999999998</c:v>
                </c:pt>
              </c:numCache>
            </c:numRef>
          </c:val>
        </c:ser>
        <c:dLbls>
          <c:showLegendKey val="0"/>
          <c:showVal val="0"/>
          <c:showCatName val="0"/>
          <c:showSerName val="0"/>
          <c:showPercent val="0"/>
          <c:showBubbleSize val="0"/>
        </c:dLbls>
        <c:gapWidth val="410"/>
        <c:axId val="109682688"/>
        <c:axId val="109684224"/>
      </c:barChart>
      <c:catAx>
        <c:axId val="109682688"/>
        <c:scaling>
          <c:orientation val="minMax"/>
        </c:scaling>
        <c:delete val="0"/>
        <c:axPos val="b"/>
        <c:numFmt formatCode="General" sourceLinked="1"/>
        <c:majorTickMark val="out"/>
        <c:minorTickMark val="none"/>
        <c:tickLblPos val="nextTo"/>
        <c:spPr>
          <a:ln w="3175">
            <a:solidFill>
              <a:srgbClr val="000000"/>
            </a:solidFill>
            <a:prstDash val="solid"/>
          </a:ln>
        </c:spPr>
        <c:txPr>
          <a:bodyPr rot="-1500000" vert="horz"/>
          <a:lstStyle/>
          <a:p>
            <a:pPr>
              <a:defRPr sz="875" b="0" i="0" u="none" strike="noStrike" baseline="0">
                <a:solidFill>
                  <a:srgbClr val="000000"/>
                </a:solidFill>
                <a:latin typeface="Arial"/>
                <a:ea typeface="Arial"/>
                <a:cs typeface="Arial"/>
              </a:defRPr>
            </a:pPr>
            <a:endParaRPr lang="en-US"/>
          </a:p>
        </c:txPr>
        <c:crossAx val="109684224"/>
        <c:crosses val="autoZero"/>
        <c:auto val="1"/>
        <c:lblAlgn val="ctr"/>
        <c:lblOffset val="100"/>
        <c:tickLblSkip val="1"/>
        <c:tickMarkSkip val="1"/>
        <c:noMultiLvlLbl val="0"/>
      </c:catAx>
      <c:valAx>
        <c:axId val="109684224"/>
        <c:scaling>
          <c:orientation val="minMax"/>
          <c:max val="200"/>
        </c:scaling>
        <c:delete val="0"/>
        <c:axPos val="l"/>
        <c:majorGridlines>
          <c:spPr>
            <a:ln w="3175">
              <a:solidFill>
                <a:srgbClr val="000000"/>
              </a:solidFill>
              <a:prstDash val="solid"/>
            </a:ln>
          </c:spPr>
        </c:majorGridlines>
        <c:title>
          <c:tx>
            <c:rich>
              <a:bodyPr/>
              <a:lstStyle/>
              <a:p>
                <a:pPr>
                  <a:defRPr sz="1100" b="1" i="0" u="none" strike="noStrike" baseline="0">
                    <a:solidFill>
                      <a:srgbClr val="000000"/>
                    </a:solidFill>
                    <a:latin typeface="Calibri" panose="020F0502020204030204" pitchFamily="34" charset="0"/>
                    <a:ea typeface="Arial"/>
                    <a:cs typeface="Arial"/>
                  </a:defRPr>
                </a:pPr>
                <a:r>
                  <a:rPr lang="vi-VN" sz="1100">
                    <a:latin typeface="Calibri" panose="020F0502020204030204" pitchFamily="34" charset="0"/>
                  </a:rPr>
                  <a:t>Bq/kg m</a:t>
                </a:r>
                <a:r>
                  <a:rPr lang="en-US" sz="1100">
                    <a:latin typeface="Calibri" panose="020F0502020204030204" pitchFamily="34" charset="0"/>
                  </a:rPr>
                  <a:t>.</a:t>
                </a:r>
                <a:r>
                  <a:rPr lang="vi-VN" sz="1100">
                    <a:latin typeface="Calibri" panose="020F0502020204030204" pitchFamily="34" charset="0"/>
                  </a:rPr>
                  <a:t>u</a:t>
                </a:r>
                <a:r>
                  <a:rPr lang="en-US" sz="1100">
                    <a:latin typeface="Calibri" panose="020F0502020204030204" pitchFamily="34" charset="0"/>
                  </a:rPr>
                  <a:t>.</a:t>
                </a:r>
                <a:endParaRPr lang="vi-VN" sz="1100">
                  <a:latin typeface="Calibri" panose="020F0502020204030204" pitchFamily="34" charset="0"/>
                </a:endParaRPr>
              </a:p>
            </c:rich>
          </c:tx>
          <c:layout>
            <c:manualLayout>
              <c:xMode val="edge"/>
              <c:yMode val="edge"/>
              <c:x val="2.033251187113061E-2"/>
              <c:y val="0.30631909647657679"/>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50" b="0" i="0" u="none" strike="noStrike" baseline="0">
                <a:solidFill>
                  <a:srgbClr val="000000"/>
                </a:solidFill>
                <a:latin typeface="Arial"/>
                <a:ea typeface="Arial"/>
                <a:cs typeface="Arial"/>
              </a:defRPr>
            </a:pPr>
            <a:endParaRPr lang="en-US"/>
          </a:p>
        </c:txPr>
        <c:crossAx val="109682688"/>
        <c:crosses val="autoZero"/>
        <c:crossBetween val="between"/>
        <c:majorUnit val="100"/>
      </c:valAx>
      <c:spPr>
        <a:gradFill rotWithShape="0">
          <a:gsLst>
            <a:gs pos="0">
              <a:srgbClr xmlns:mc="http://schemas.openxmlformats.org/markup-compatibility/2006" xmlns:a14="http://schemas.microsoft.com/office/drawing/2010/main" val="000000" mc:Ignorable="a14" a14:legacySpreadsheetColorIndex="9">
                <a:gamma/>
                <a:shade val="46275"/>
                <a:invGamma/>
              </a:srgbClr>
            </a:gs>
            <a:gs pos="100000">
              <a:srgbClr xmlns:mc="http://schemas.openxmlformats.org/markup-compatibility/2006" xmlns:a14="http://schemas.microsoft.com/office/drawing/2010/main" val="FFFFFF" mc:Ignorable="a14" a14:legacySpreadsheetColorIndex="9"/>
            </a:gs>
          </a:gsLst>
          <a:lin ang="5400000" scaled="1"/>
        </a:gradFill>
        <a:ln w="12700">
          <a:solidFill>
            <a:srgbClr val="808080"/>
          </a:solidFill>
          <a:prstDash val="solid"/>
        </a:ln>
      </c:spPr>
    </c:plotArea>
    <c:plotVisOnly val="1"/>
    <c:dispBlanksAs val="gap"/>
    <c:showDLblsOverMax val="0"/>
  </c:chart>
  <c:spPr>
    <a:noFill/>
    <a:ln w="6350" cap="flat" cmpd="sng" algn="ctr">
      <a:solidFill>
        <a:srgbClr val="000000"/>
      </a:solidFill>
      <a:prstDash val="solid"/>
      <a:miter lim="800000"/>
      <a:headEnd type="none" w="med" len="med"/>
      <a:tailEnd type="none" w="med" len="med"/>
    </a:ln>
  </c:spPr>
  <c:txPr>
    <a:bodyPr/>
    <a:lstStyle/>
    <a:p>
      <a:pPr>
        <a:defRPr sz="825" b="1" i="0" u="none" strike="noStrike" baseline="0">
          <a:solidFill>
            <a:srgbClr val="000000"/>
          </a:solidFill>
          <a:latin typeface="Arial"/>
          <a:ea typeface="Arial"/>
          <a:cs typeface="Arial"/>
        </a:defRPr>
      </a:pPr>
      <a:endParaRPr lang="en-US"/>
    </a:p>
  </c:txPr>
  <c:externalData r:id="rId2">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mn-lt"/>
                <a:ea typeface="Arial"/>
                <a:cs typeface="Arial"/>
              </a:defRPr>
            </a:pPr>
            <a:r>
              <a:rPr lang="en-US" sz="1200">
                <a:latin typeface="+mn-lt"/>
              </a:rPr>
              <a:t>Figura </a:t>
            </a:r>
            <a:r>
              <a:rPr lang="en-US" sz="1200" b="1" i="0" u="none" strike="noStrike" kern="1200" baseline="0">
                <a:solidFill>
                  <a:srgbClr val="000000"/>
                </a:solidFill>
                <a:latin typeface="+mn-lt"/>
                <a:cs typeface="Arial"/>
              </a:rPr>
              <a:t>IX</a:t>
            </a:r>
            <a:r>
              <a:rPr lang="en-US" sz="1200">
                <a:latin typeface="+mn-lt"/>
              </a:rPr>
              <a:t>.4</a:t>
            </a:r>
            <a:r>
              <a:rPr lang="ro-RO" sz="1200">
                <a:latin typeface="+mn-lt"/>
              </a:rPr>
              <a:t>0</a:t>
            </a:r>
            <a:r>
              <a:rPr lang="en-US" sz="1200">
                <a:latin typeface="+mn-lt"/>
              </a:rPr>
              <a:t>. Concentraţii de Th-234  în probe de sol necultivat</a:t>
            </a:r>
            <a:r>
              <a:rPr lang="ro-RO" sz="1200">
                <a:latin typeface="+mn-lt"/>
              </a:rPr>
              <a:t> colectate în zonele Năvodari şi Vadu</a:t>
            </a:r>
          </a:p>
        </c:rich>
      </c:tx>
      <c:layout>
        <c:manualLayout>
          <c:xMode val="edge"/>
          <c:yMode val="edge"/>
          <c:x val="0.16589147286821707"/>
          <c:y val="0"/>
        </c:manualLayout>
      </c:layout>
      <c:overlay val="0"/>
      <c:spPr>
        <a:noFill/>
        <a:ln w="25400">
          <a:noFill/>
        </a:ln>
      </c:spPr>
    </c:title>
    <c:autoTitleDeleted val="0"/>
    <c:plotArea>
      <c:layout>
        <c:manualLayout>
          <c:layoutTarget val="inner"/>
          <c:xMode val="edge"/>
          <c:yMode val="edge"/>
          <c:x val="0.11149958926889864"/>
          <c:y val="0.17157568787047686"/>
          <c:w val="0.84286536164403603"/>
          <c:h val="0.53683420560453898"/>
        </c:manualLayout>
      </c:layout>
      <c:barChart>
        <c:barDir val="col"/>
        <c:grouping val="clustered"/>
        <c:varyColors val="0"/>
        <c:ser>
          <c:idx val="0"/>
          <c:order val="0"/>
          <c:tx>
            <c:strRef>
              <c:f>Sheet1!$A$2</c:f>
              <c:strCache>
                <c:ptCount val="1"/>
              </c:strCache>
            </c:strRef>
          </c:tx>
          <c:spPr>
            <a:solidFill>
              <a:srgbClr val="4BACC6">
                <a:lumMod val="75000"/>
              </a:srgbClr>
            </a:solidFill>
            <a:ln w="12700">
              <a:solidFill>
                <a:srgbClr val="000000"/>
              </a:solidFill>
              <a:prstDash val="solid"/>
            </a:ln>
          </c:spPr>
          <c:invertIfNegative val="0"/>
          <c:cat>
            <c:strRef>
              <c:f>Sheet1!$B$1:$N$1</c:f>
              <c:strCache>
                <c:ptCount val="13"/>
                <c:pt idx="0">
                  <c:v>Mamaia Sat</c:v>
                </c:pt>
                <c:pt idx="1">
                  <c:v>Năvodari-vestul oraşului</c:v>
                </c:pt>
                <c:pt idx="2">
                  <c:v>Năvodari-sudul Combinatului</c:v>
                </c:pt>
                <c:pt idx="3">
                  <c:v>Lumina</c:v>
                </c:pt>
                <c:pt idx="4">
                  <c:v>Vadu-vestul întreprinderii</c:v>
                </c:pt>
                <c:pt idx="5">
                  <c:v>Vadu-nordul întreprinderii</c:v>
                </c:pt>
                <c:pt idx="6">
                  <c:v>Vadu-estul întreprinderii</c:v>
                </c:pt>
                <c:pt idx="7">
                  <c:v>Vadu-sudul întreprinderii</c:v>
                </c:pt>
                <c:pt idx="8">
                  <c:v>Vadu-vestul localităţii</c:v>
                </c:pt>
                <c:pt idx="9">
                  <c:v>Vadu-nordul localităţii</c:v>
                </c:pt>
                <c:pt idx="10">
                  <c:v>Vadu-estul localităţii</c:v>
                </c:pt>
                <c:pt idx="11">
                  <c:v>Vadu-sudul localităţii</c:v>
                </c:pt>
                <c:pt idx="12">
                  <c:v>medie Constanţa</c:v>
                </c:pt>
              </c:strCache>
            </c:strRef>
          </c:cat>
          <c:val>
            <c:numRef>
              <c:f>Sheet1!$B$2:$N$2</c:f>
              <c:numCache>
                <c:formatCode>General</c:formatCode>
                <c:ptCount val="13"/>
                <c:pt idx="0">
                  <c:v>46.591000000000001</c:v>
                </c:pt>
                <c:pt idx="1">
                  <c:v>71.319000000000003</c:v>
                </c:pt>
                <c:pt idx="2">
                  <c:v>57.896000000000001</c:v>
                </c:pt>
                <c:pt idx="3">
                  <c:v>48.642000000000003</c:v>
                </c:pt>
                <c:pt idx="4">
                  <c:v>171.846</c:v>
                </c:pt>
                <c:pt idx="5">
                  <c:v>205.93899999999999</c:v>
                </c:pt>
                <c:pt idx="6">
                  <c:v>95.635000000000005</c:v>
                </c:pt>
                <c:pt idx="7">
                  <c:v>137.84299999999999</c:v>
                </c:pt>
                <c:pt idx="8">
                  <c:v>54.360999999999997</c:v>
                </c:pt>
                <c:pt idx="9">
                  <c:v>52.165999999999997</c:v>
                </c:pt>
                <c:pt idx="10">
                  <c:v>51.622</c:v>
                </c:pt>
                <c:pt idx="11">
                  <c:v>53.351999999999997</c:v>
                </c:pt>
                <c:pt idx="12">
                  <c:v>32.659999999999997</c:v>
                </c:pt>
              </c:numCache>
            </c:numRef>
          </c:val>
        </c:ser>
        <c:dLbls>
          <c:showLegendKey val="0"/>
          <c:showVal val="0"/>
          <c:showCatName val="0"/>
          <c:showSerName val="0"/>
          <c:showPercent val="0"/>
          <c:showBubbleSize val="0"/>
        </c:dLbls>
        <c:gapWidth val="410"/>
        <c:axId val="114914816"/>
        <c:axId val="114916352"/>
      </c:barChart>
      <c:catAx>
        <c:axId val="114914816"/>
        <c:scaling>
          <c:orientation val="minMax"/>
        </c:scaling>
        <c:delete val="0"/>
        <c:axPos val="b"/>
        <c:numFmt formatCode="General" sourceLinked="1"/>
        <c:majorTickMark val="out"/>
        <c:minorTickMark val="none"/>
        <c:tickLblPos val="nextTo"/>
        <c:spPr>
          <a:ln w="3175">
            <a:solidFill>
              <a:srgbClr val="000000"/>
            </a:solidFill>
            <a:prstDash val="solid"/>
          </a:ln>
        </c:spPr>
        <c:txPr>
          <a:bodyPr rot="-1500000" vert="horz"/>
          <a:lstStyle/>
          <a:p>
            <a:pPr>
              <a:defRPr sz="875" b="0" i="0" u="none" strike="noStrike" baseline="0">
                <a:solidFill>
                  <a:srgbClr val="000000"/>
                </a:solidFill>
                <a:latin typeface="Arial"/>
                <a:ea typeface="Arial"/>
                <a:cs typeface="Arial"/>
              </a:defRPr>
            </a:pPr>
            <a:endParaRPr lang="en-US"/>
          </a:p>
        </c:txPr>
        <c:crossAx val="114916352"/>
        <c:crosses val="autoZero"/>
        <c:auto val="1"/>
        <c:lblAlgn val="ctr"/>
        <c:lblOffset val="100"/>
        <c:tickLblSkip val="1"/>
        <c:tickMarkSkip val="1"/>
        <c:noMultiLvlLbl val="0"/>
      </c:catAx>
      <c:valAx>
        <c:axId val="114916352"/>
        <c:scaling>
          <c:orientation val="minMax"/>
          <c:max val="300"/>
        </c:scaling>
        <c:delete val="0"/>
        <c:axPos val="l"/>
        <c:majorGridlines>
          <c:spPr>
            <a:ln w="3175">
              <a:solidFill>
                <a:srgbClr val="000000"/>
              </a:solidFill>
              <a:prstDash val="solid"/>
            </a:ln>
          </c:spPr>
        </c:majorGridlines>
        <c:title>
          <c:tx>
            <c:rich>
              <a:bodyPr/>
              <a:lstStyle/>
              <a:p>
                <a:pPr>
                  <a:defRPr sz="1100" b="1" i="0" u="none" strike="noStrike" baseline="0">
                    <a:solidFill>
                      <a:srgbClr val="000000"/>
                    </a:solidFill>
                    <a:latin typeface="Calibri" panose="020F0502020204030204" pitchFamily="34" charset="0"/>
                    <a:ea typeface="Arial"/>
                    <a:cs typeface="Arial"/>
                  </a:defRPr>
                </a:pPr>
                <a:r>
                  <a:rPr lang="vi-VN" sz="1100">
                    <a:latin typeface="Calibri" panose="020F0502020204030204" pitchFamily="34" charset="0"/>
                  </a:rPr>
                  <a:t>Bq/kg m</a:t>
                </a:r>
                <a:r>
                  <a:rPr lang="en-US" sz="1100">
                    <a:latin typeface="Calibri" panose="020F0502020204030204" pitchFamily="34" charset="0"/>
                  </a:rPr>
                  <a:t>.</a:t>
                </a:r>
                <a:r>
                  <a:rPr lang="vi-VN" sz="1100">
                    <a:latin typeface="Calibri" panose="020F0502020204030204" pitchFamily="34" charset="0"/>
                  </a:rPr>
                  <a:t>u</a:t>
                </a:r>
                <a:r>
                  <a:rPr lang="en-US" sz="1100">
                    <a:latin typeface="Calibri" panose="020F0502020204030204" pitchFamily="34" charset="0"/>
                  </a:rPr>
                  <a:t>.</a:t>
                </a:r>
                <a:endParaRPr lang="vi-VN" sz="1100">
                  <a:latin typeface="Calibri" panose="020F0502020204030204" pitchFamily="34" charset="0"/>
                </a:endParaRPr>
              </a:p>
            </c:rich>
          </c:tx>
          <c:layout>
            <c:manualLayout>
              <c:xMode val="edge"/>
              <c:yMode val="edge"/>
              <c:x val="2.033251187113061E-2"/>
              <c:y val="0.30631909647657679"/>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50" b="0" i="0" u="none" strike="noStrike" baseline="0">
                <a:solidFill>
                  <a:srgbClr val="000000"/>
                </a:solidFill>
                <a:latin typeface="Arial"/>
                <a:ea typeface="Arial"/>
                <a:cs typeface="Arial"/>
              </a:defRPr>
            </a:pPr>
            <a:endParaRPr lang="en-US"/>
          </a:p>
        </c:txPr>
        <c:crossAx val="114914816"/>
        <c:crosses val="autoZero"/>
        <c:crossBetween val="between"/>
        <c:majorUnit val="100"/>
      </c:valAx>
      <c:spPr>
        <a:gradFill rotWithShape="0">
          <a:gsLst>
            <a:gs pos="0">
              <a:srgbClr xmlns:mc="http://schemas.openxmlformats.org/markup-compatibility/2006" xmlns:a14="http://schemas.microsoft.com/office/drawing/2010/main" val="000000" mc:Ignorable="a14" a14:legacySpreadsheetColorIndex="9">
                <a:gamma/>
                <a:shade val="46275"/>
                <a:invGamma/>
              </a:srgbClr>
            </a:gs>
            <a:gs pos="100000">
              <a:srgbClr xmlns:mc="http://schemas.openxmlformats.org/markup-compatibility/2006" xmlns:a14="http://schemas.microsoft.com/office/drawing/2010/main" val="FFFFFF" mc:Ignorable="a14" a14:legacySpreadsheetColorIndex="9"/>
            </a:gs>
          </a:gsLst>
          <a:lin ang="5400000" scaled="1"/>
        </a:gradFill>
        <a:ln w="12700">
          <a:solidFill>
            <a:srgbClr val="808080"/>
          </a:solidFill>
          <a:prstDash val="solid"/>
        </a:ln>
      </c:spPr>
    </c:plotArea>
    <c:plotVisOnly val="1"/>
    <c:dispBlanksAs val="gap"/>
    <c:showDLblsOverMax val="0"/>
  </c:chart>
  <c:spPr>
    <a:noFill/>
    <a:ln w="6350" cap="flat" cmpd="sng" algn="ctr">
      <a:solidFill>
        <a:srgbClr val="000000"/>
      </a:solidFill>
      <a:prstDash val="solid"/>
      <a:miter lim="800000"/>
      <a:headEnd type="none" w="med" len="med"/>
      <a:tailEnd type="none" w="med" len="med"/>
    </a:ln>
  </c:spPr>
  <c:txPr>
    <a:bodyPr/>
    <a:lstStyle/>
    <a:p>
      <a:pPr>
        <a:defRPr sz="825" b="1" i="0" u="none" strike="noStrike" baseline="0">
          <a:solidFill>
            <a:srgbClr val="000000"/>
          </a:solidFill>
          <a:latin typeface="Arial"/>
          <a:ea typeface="Arial"/>
          <a:cs typeface="Arial"/>
        </a:defRPr>
      </a:pPr>
      <a:endParaRPr lang="en-US"/>
    </a:p>
  </c:txPr>
  <c:externalData r:id="rId2">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mn-lt"/>
                <a:ea typeface="Arial"/>
                <a:cs typeface="Arial"/>
              </a:defRPr>
            </a:pPr>
            <a:r>
              <a:rPr lang="en-US" sz="1200">
                <a:latin typeface="+mn-lt"/>
              </a:rPr>
              <a:t>Figura </a:t>
            </a:r>
            <a:r>
              <a:rPr lang="en-US" sz="1200" b="1" i="0" u="none" strike="noStrike" kern="1200" baseline="0">
                <a:solidFill>
                  <a:srgbClr val="000000"/>
                </a:solidFill>
                <a:latin typeface="+mn-lt"/>
                <a:cs typeface="Arial"/>
              </a:rPr>
              <a:t>IX</a:t>
            </a:r>
            <a:r>
              <a:rPr lang="en-US" sz="1200">
                <a:latin typeface="+mn-lt"/>
              </a:rPr>
              <a:t>.4</a:t>
            </a:r>
            <a:r>
              <a:rPr lang="ro-RO" sz="1200">
                <a:latin typeface="+mn-lt"/>
              </a:rPr>
              <a:t>1</a:t>
            </a:r>
            <a:r>
              <a:rPr lang="en-US" sz="1200">
                <a:latin typeface="+mn-lt"/>
              </a:rPr>
              <a:t>. Concentraţii de U-235  în probe de sol necultivat</a:t>
            </a:r>
            <a:r>
              <a:rPr lang="ro-RO" sz="1200">
                <a:latin typeface="+mn-lt"/>
              </a:rPr>
              <a:t> colectate în zonele Năvodari şi Vadu</a:t>
            </a:r>
            <a:endParaRPr lang="en-US" sz="1200">
              <a:latin typeface="+mn-lt"/>
            </a:endParaRPr>
          </a:p>
        </c:rich>
      </c:tx>
      <c:layout>
        <c:manualLayout>
          <c:xMode val="edge"/>
          <c:yMode val="edge"/>
          <c:x val="0.16589147286821707"/>
          <c:y val="0"/>
        </c:manualLayout>
      </c:layout>
      <c:overlay val="0"/>
      <c:spPr>
        <a:noFill/>
        <a:ln w="25400">
          <a:noFill/>
        </a:ln>
      </c:spPr>
    </c:title>
    <c:autoTitleDeleted val="0"/>
    <c:plotArea>
      <c:layout>
        <c:manualLayout>
          <c:layoutTarget val="inner"/>
          <c:xMode val="edge"/>
          <c:yMode val="edge"/>
          <c:x val="0.11149958926889864"/>
          <c:y val="0.15045949256342958"/>
          <c:w val="0.84286536164403603"/>
          <c:h val="0.55835975503062119"/>
        </c:manualLayout>
      </c:layout>
      <c:barChart>
        <c:barDir val="col"/>
        <c:grouping val="clustered"/>
        <c:varyColors val="0"/>
        <c:ser>
          <c:idx val="0"/>
          <c:order val="0"/>
          <c:tx>
            <c:strRef>
              <c:f>Sheet1!#REF!</c:f>
              <c:strCache>
                <c:ptCount val="1"/>
                <c:pt idx="0">
                  <c:v>#REF!</c:v>
                </c:pt>
              </c:strCache>
            </c:strRef>
          </c:tx>
          <c:spPr>
            <a:solidFill>
              <a:srgbClr val="FF0000"/>
            </a:solidFill>
            <a:ln w="12700">
              <a:solidFill>
                <a:srgbClr val="000000"/>
              </a:solidFill>
              <a:prstDash val="solid"/>
            </a:ln>
          </c:spPr>
          <c:invertIfNegative val="0"/>
          <c:cat>
            <c:strRef>
              <c:f>Sheet1!$A$1:$M$1</c:f>
              <c:strCache>
                <c:ptCount val="13"/>
                <c:pt idx="0">
                  <c:v>Mamaia Sat</c:v>
                </c:pt>
                <c:pt idx="1">
                  <c:v>Năvodari-vestul oraşului</c:v>
                </c:pt>
                <c:pt idx="2">
                  <c:v>Năvodari-sudul Combinatului</c:v>
                </c:pt>
                <c:pt idx="3">
                  <c:v>Lumina</c:v>
                </c:pt>
                <c:pt idx="4">
                  <c:v>Vadu-vestul întreprinderii</c:v>
                </c:pt>
                <c:pt idx="5">
                  <c:v>Vadu-nordul întreprinderii</c:v>
                </c:pt>
                <c:pt idx="6">
                  <c:v>Vadu-estul întreprinderii</c:v>
                </c:pt>
                <c:pt idx="7">
                  <c:v>Vadu-sudul întreprinderii</c:v>
                </c:pt>
                <c:pt idx="8">
                  <c:v>Vadu-vestul localităţii</c:v>
                </c:pt>
                <c:pt idx="9">
                  <c:v>Vadu-nordul localităţii</c:v>
                </c:pt>
                <c:pt idx="10">
                  <c:v>Vadu-estul localităţii</c:v>
                </c:pt>
                <c:pt idx="11">
                  <c:v>Vadu-sudul localităţii</c:v>
                </c:pt>
                <c:pt idx="12">
                  <c:v>medie Constanţa</c:v>
                </c:pt>
              </c:strCache>
            </c:strRef>
          </c:cat>
          <c:val>
            <c:numRef>
              <c:f>Sheet1!$A$2:$M$2</c:f>
              <c:numCache>
                <c:formatCode>General</c:formatCode>
                <c:ptCount val="13"/>
                <c:pt idx="0">
                  <c:v>2.0249999999999999</c:v>
                </c:pt>
                <c:pt idx="1">
                  <c:v>3.3690000000000002</c:v>
                </c:pt>
                <c:pt idx="2">
                  <c:v>3.2949999999999999</c:v>
                </c:pt>
                <c:pt idx="3">
                  <c:v>2.7275999999999998</c:v>
                </c:pt>
                <c:pt idx="4">
                  <c:v>6.0570000000000004</c:v>
                </c:pt>
                <c:pt idx="5">
                  <c:v>7.6849999999999996</c:v>
                </c:pt>
                <c:pt idx="6">
                  <c:v>3.7149999999999999</c:v>
                </c:pt>
                <c:pt idx="7">
                  <c:v>4.6459999999999999</c:v>
                </c:pt>
                <c:pt idx="8">
                  <c:v>2.1930000000000001</c:v>
                </c:pt>
                <c:pt idx="9">
                  <c:v>3.7370000000000001</c:v>
                </c:pt>
                <c:pt idx="10">
                  <c:v>1.643</c:v>
                </c:pt>
                <c:pt idx="11">
                  <c:v>2.5499999999999998</c:v>
                </c:pt>
                <c:pt idx="12">
                  <c:v>1.861</c:v>
                </c:pt>
              </c:numCache>
            </c:numRef>
          </c:val>
        </c:ser>
        <c:dLbls>
          <c:showLegendKey val="0"/>
          <c:showVal val="0"/>
          <c:showCatName val="0"/>
          <c:showSerName val="0"/>
          <c:showPercent val="0"/>
          <c:showBubbleSize val="0"/>
        </c:dLbls>
        <c:gapWidth val="410"/>
        <c:axId val="109698048"/>
        <c:axId val="114942720"/>
      </c:barChart>
      <c:catAx>
        <c:axId val="109698048"/>
        <c:scaling>
          <c:orientation val="minMax"/>
        </c:scaling>
        <c:delete val="0"/>
        <c:axPos val="b"/>
        <c:numFmt formatCode="General" sourceLinked="1"/>
        <c:majorTickMark val="out"/>
        <c:minorTickMark val="none"/>
        <c:tickLblPos val="nextTo"/>
        <c:spPr>
          <a:ln w="3175">
            <a:solidFill>
              <a:srgbClr val="000000"/>
            </a:solidFill>
            <a:prstDash val="solid"/>
          </a:ln>
        </c:spPr>
        <c:txPr>
          <a:bodyPr rot="-1500000" vert="horz"/>
          <a:lstStyle/>
          <a:p>
            <a:pPr>
              <a:defRPr sz="875" b="0" i="0" u="none" strike="noStrike" baseline="0">
                <a:solidFill>
                  <a:srgbClr val="000000"/>
                </a:solidFill>
                <a:latin typeface="Arial"/>
                <a:ea typeface="Arial"/>
                <a:cs typeface="Arial"/>
              </a:defRPr>
            </a:pPr>
            <a:endParaRPr lang="en-US"/>
          </a:p>
        </c:txPr>
        <c:crossAx val="114942720"/>
        <c:crosses val="autoZero"/>
        <c:auto val="1"/>
        <c:lblAlgn val="ctr"/>
        <c:lblOffset val="100"/>
        <c:tickLblSkip val="1"/>
        <c:tickMarkSkip val="1"/>
        <c:noMultiLvlLbl val="0"/>
      </c:catAx>
      <c:valAx>
        <c:axId val="114942720"/>
        <c:scaling>
          <c:orientation val="minMax"/>
          <c:max val="10"/>
          <c:min val="0"/>
        </c:scaling>
        <c:delete val="0"/>
        <c:axPos val="l"/>
        <c:majorGridlines>
          <c:spPr>
            <a:ln w="3175">
              <a:solidFill>
                <a:srgbClr val="000000"/>
              </a:solidFill>
              <a:prstDash val="solid"/>
            </a:ln>
          </c:spPr>
        </c:majorGridlines>
        <c:title>
          <c:tx>
            <c:rich>
              <a:bodyPr/>
              <a:lstStyle/>
              <a:p>
                <a:pPr>
                  <a:defRPr sz="1100" b="1" i="0" u="none" strike="noStrike" baseline="0">
                    <a:solidFill>
                      <a:srgbClr val="000000"/>
                    </a:solidFill>
                    <a:latin typeface="Calibri" panose="020F0502020204030204" pitchFamily="34" charset="0"/>
                    <a:ea typeface="Arial"/>
                    <a:cs typeface="Arial"/>
                  </a:defRPr>
                </a:pPr>
                <a:r>
                  <a:rPr lang="vi-VN" sz="1100">
                    <a:latin typeface="Calibri" panose="020F0502020204030204" pitchFamily="34" charset="0"/>
                  </a:rPr>
                  <a:t>Bq/kg m</a:t>
                </a:r>
                <a:r>
                  <a:rPr lang="en-US" sz="1100">
                    <a:latin typeface="Calibri" panose="020F0502020204030204" pitchFamily="34" charset="0"/>
                  </a:rPr>
                  <a:t>.</a:t>
                </a:r>
                <a:r>
                  <a:rPr lang="vi-VN" sz="1100">
                    <a:latin typeface="Calibri" panose="020F0502020204030204" pitchFamily="34" charset="0"/>
                  </a:rPr>
                  <a:t>u</a:t>
                </a:r>
                <a:r>
                  <a:rPr lang="en-US" sz="1100">
                    <a:latin typeface="Calibri" panose="020F0502020204030204" pitchFamily="34" charset="0"/>
                  </a:rPr>
                  <a:t>.</a:t>
                </a:r>
                <a:endParaRPr lang="vi-VN" sz="1100">
                  <a:latin typeface="Calibri" panose="020F0502020204030204" pitchFamily="34" charset="0"/>
                </a:endParaRPr>
              </a:p>
            </c:rich>
          </c:tx>
          <c:layout>
            <c:manualLayout>
              <c:xMode val="edge"/>
              <c:yMode val="edge"/>
              <c:x val="2.033251187113061E-2"/>
              <c:y val="0.30631909647657679"/>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50" b="0" i="0" u="none" strike="noStrike" baseline="0">
                <a:solidFill>
                  <a:srgbClr val="000000"/>
                </a:solidFill>
                <a:latin typeface="Arial"/>
                <a:ea typeface="Arial"/>
                <a:cs typeface="Arial"/>
              </a:defRPr>
            </a:pPr>
            <a:endParaRPr lang="en-US"/>
          </a:p>
        </c:txPr>
        <c:crossAx val="109698048"/>
        <c:crosses val="autoZero"/>
        <c:crossBetween val="between"/>
        <c:majorUnit val="5"/>
      </c:valAx>
      <c:spPr>
        <a:gradFill rotWithShape="0">
          <a:gsLst>
            <a:gs pos="0">
              <a:srgbClr xmlns:mc="http://schemas.openxmlformats.org/markup-compatibility/2006" xmlns:a14="http://schemas.microsoft.com/office/drawing/2010/main" val="000000" mc:Ignorable="a14" a14:legacySpreadsheetColorIndex="9">
                <a:gamma/>
                <a:shade val="46275"/>
                <a:invGamma/>
              </a:srgbClr>
            </a:gs>
            <a:gs pos="100000">
              <a:srgbClr xmlns:mc="http://schemas.openxmlformats.org/markup-compatibility/2006" xmlns:a14="http://schemas.microsoft.com/office/drawing/2010/main" val="FFFFFF" mc:Ignorable="a14" a14:legacySpreadsheetColorIndex="9"/>
            </a:gs>
          </a:gsLst>
          <a:lin ang="5400000" scaled="1"/>
        </a:gradFill>
        <a:ln w="12700">
          <a:solidFill>
            <a:srgbClr val="808080"/>
          </a:solidFill>
          <a:prstDash val="solid"/>
        </a:ln>
      </c:spPr>
    </c:plotArea>
    <c:plotVisOnly val="1"/>
    <c:dispBlanksAs val="gap"/>
    <c:showDLblsOverMax val="0"/>
  </c:chart>
  <c:spPr>
    <a:noFill/>
    <a:ln w="6350" cap="flat" cmpd="sng" algn="ctr">
      <a:solidFill>
        <a:srgbClr val="000000"/>
      </a:solidFill>
      <a:prstDash val="solid"/>
      <a:miter lim="800000"/>
      <a:headEnd type="none" w="med" len="med"/>
      <a:tailEnd type="none" w="med" len="med"/>
    </a:ln>
  </c:spPr>
  <c:txPr>
    <a:bodyPr/>
    <a:lstStyle/>
    <a:p>
      <a:pPr>
        <a:defRPr sz="825" b="1" i="0" u="none" strike="noStrike" baseline="0">
          <a:solidFill>
            <a:srgbClr val="000000"/>
          </a:solidFill>
          <a:latin typeface="Arial"/>
          <a:ea typeface="Arial"/>
          <a:cs typeface="Arial"/>
        </a:defRPr>
      </a:pPr>
      <a:endParaRPr lang="en-US"/>
    </a:p>
  </c:txPr>
  <c:externalData r:id="rId2">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rtl="0">
              <a:defRPr sz="1200" b="1" i="0" u="none" strike="noStrike" baseline="0">
                <a:solidFill>
                  <a:srgbClr val="000000"/>
                </a:solidFill>
                <a:latin typeface="Calibri" panose="020F0502020204030204" pitchFamily="34" charset="0"/>
                <a:ea typeface="Arial"/>
                <a:cs typeface="Arial"/>
              </a:defRPr>
            </a:pPr>
            <a:r>
              <a:rPr lang="vi-VN" sz="1200">
                <a:latin typeface="Calibri" panose="020F0502020204030204" pitchFamily="34" charset="0"/>
              </a:rPr>
              <a:t>Figura </a:t>
            </a:r>
            <a:r>
              <a:rPr lang="en-US" sz="1200" b="1" i="0" u="none" strike="noStrike" kern="1200" baseline="0">
                <a:solidFill>
                  <a:srgbClr val="000000"/>
                </a:solidFill>
                <a:latin typeface="Calibri" panose="020F0502020204030204" pitchFamily="34" charset="0"/>
                <a:cs typeface="Arial"/>
              </a:rPr>
              <a:t>IX</a:t>
            </a:r>
            <a:r>
              <a:rPr lang="en-US" sz="1200">
                <a:latin typeface="Calibri" panose="020F0502020204030204" pitchFamily="34" charset="0"/>
              </a:rPr>
              <a:t>.4</a:t>
            </a:r>
            <a:r>
              <a:rPr lang="ro-RO" sz="1200">
                <a:latin typeface="Calibri" panose="020F0502020204030204" pitchFamily="34" charset="0"/>
              </a:rPr>
              <a:t>4</a:t>
            </a:r>
            <a:r>
              <a:rPr lang="vi-VN" sz="1200">
                <a:latin typeface="Calibri" panose="020F0502020204030204" pitchFamily="34" charset="0"/>
              </a:rPr>
              <a:t>.</a:t>
            </a:r>
            <a:r>
              <a:rPr lang="en-US" sz="1200" baseline="0">
                <a:latin typeface="Calibri" panose="020F0502020204030204" pitchFamily="34" charset="0"/>
              </a:rPr>
              <a:t> </a:t>
            </a:r>
            <a:r>
              <a:rPr lang="vi-VN" sz="1200">
                <a:latin typeface="Calibri" panose="020F0502020204030204" pitchFamily="34" charset="0"/>
              </a:rPr>
              <a:t>Vegetaţie spontană, activităţi specifice beta globale
- medii/maxime lunare </a:t>
            </a:r>
            <a:r>
              <a:rPr lang="ro-RO" sz="1200">
                <a:latin typeface="Calibri" panose="020F0502020204030204" pitchFamily="34" charset="0"/>
              </a:rPr>
              <a:t>în </a:t>
            </a:r>
            <a:r>
              <a:rPr lang="en-US" sz="1200" b="1" i="0" u="none" strike="noStrike" kern="1200" baseline="0">
                <a:solidFill>
                  <a:srgbClr val="000000"/>
                </a:solidFill>
                <a:latin typeface="Calibri" panose="020F0502020204030204" pitchFamily="34" charset="0"/>
                <a:cs typeface="Arial"/>
              </a:rPr>
              <a:t>2015</a:t>
            </a:r>
            <a:r>
              <a:rPr lang="vi-VN" sz="1200">
                <a:latin typeface="Calibri" panose="020F0502020204030204" pitchFamily="34" charset="0"/>
              </a:rPr>
              <a:t> -
</a:t>
            </a:r>
          </a:p>
        </c:rich>
      </c:tx>
      <c:layout>
        <c:manualLayout>
          <c:xMode val="edge"/>
          <c:yMode val="edge"/>
          <c:x val="0.2317262830482115"/>
          <c:y val="0"/>
        </c:manualLayout>
      </c:layout>
      <c:overlay val="0"/>
      <c:spPr>
        <a:noFill/>
        <a:ln w="25400">
          <a:noFill/>
        </a:ln>
      </c:spPr>
    </c:title>
    <c:autoTitleDeleted val="0"/>
    <c:plotArea>
      <c:layout>
        <c:manualLayout>
          <c:layoutTarget val="inner"/>
          <c:xMode val="edge"/>
          <c:yMode val="edge"/>
          <c:x val="0.12459016926289787"/>
          <c:y val="0.19470969537898672"/>
          <c:w val="0.85333479599879736"/>
          <c:h val="0.61202099737532811"/>
        </c:manualLayout>
      </c:layout>
      <c:barChart>
        <c:barDir val="col"/>
        <c:grouping val="clustered"/>
        <c:varyColors val="0"/>
        <c:ser>
          <c:idx val="0"/>
          <c:order val="0"/>
          <c:tx>
            <c:strRef>
              <c:f>Sheet1!$A$2</c:f>
              <c:strCache>
                <c:ptCount val="1"/>
                <c:pt idx="0">
                  <c:v>media Constanţa</c:v>
                </c:pt>
              </c:strCache>
            </c:strRef>
          </c:tx>
          <c:spPr>
            <a:solidFill>
              <a:srgbClr val="FFFF00"/>
            </a:solidFill>
            <a:ln w="12700">
              <a:solidFill>
                <a:srgbClr val="000000"/>
              </a:solidFill>
              <a:prstDash val="solid"/>
            </a:ln>
          </c:spPr>
          <c:invertIfNegative val="0"/>
          <c:cat>
            <c:strRef>
              <c:f>Sheet1!$B$1:$H$1</c:f>
              <c:strCache>
                <c:ptCount val="7"/>
                <c:pt idx="0">
                  <c:v>apr</c:v>
                </c:pt>
                <c:pt idx="1">
                  <c:v>mai</c:v>
                </c:pt>
                <c:pt idx="2">
                  <c:v>iun</c:v>
                </c:pt>
                <c:pt idx="3">
                  <c:v>iul</c:v>
                </c:pt>
                <c:pt idx="4">
                  <c:v>aug</c:v>
                </c:pt>
                <c:pt idx="5">
                  <c:v>sep</c:v>
                </c:pt>
                <c:pt idx="6">
                  <c:v>oct</c:v>
                </c:pt>
              </c:strCache>
            </c:strRef>
          </c:cat>
          <c:val>
            <c:numRef>
              <c:f>Sheet1!$B$2:$H$2</c:f>
              <c:numCache>
                <c:formatCode>General</c:formatCode>
                <c:ptCount val="7"/>
                <c:pt idx="0">
                  <c:v>220.28</c:v>
                </c:pt>
                <c:pt idx="1">
                  <c:v>204.73</c:v>
                </c:pt>
                <c:pt idx="2">
                  <c:v>239.75</c:v>
                </c:pt>
                <c:pt idx="3">
                  <c:v>244.5</c:v>
                </c:pt>
                <c:pt idx="4">
                  <c:v>216.58</c:v>
                </c:pt>
                <c:pt idx="5">
                  <c:v>241.43</c:v>
                </c:pt>
                <c:pt idx="6">
                  <c:v>292.2</c:v>
                </c:pt>
              </c:numCache>
            </c:numRef>
          </c:val>
        </c:ser>
        <c:ser>
          <c:idx val="1"/>
          <c:order val="1"/>
          <c:tx>
            <c:strRef>
              <c:f>Sheet1!$A$3</c:f>
              <c:strCache>
                <c:ptCount val="1"/>
                <c:pt idx="0">
                  <c:v>maxima Constanţa</c:v>
                </c:pt>
              </c:strCache>
            </c:strRef>
          </c:tx>
          <c:spPr>
            <a:solidFill>
              <a:srgbClr val="FF00FF"/>
            </a:solidFill>
            <a:ln w="12700">
              <a:solidFill>
                <a:srgbClr val="000000"/>
              </a:solidFill>
              <a:prstDash val="solid"/>
            </a:ln>
          </c:spPr>
          <c:invertIfNegative val="0"/>
          <c:cat>
            <c:strRef>
              <c:f>Sheet1!$B$1:$H$1</c:f>
              <c:strCache>
                <c:ptCount val="7"/>
                <c:pt idx="0">
                  <c:v>apr</c:v>
                </c:pt>
                <c:pt idx="1">
                  <c:v>mai</c:v>
                </c:pt>
                <c:pt idx="2">
                  <c:v>iun</c:v>
                </c:pt>
                <c:pt idx="3">
                  <c:v>iul</c:v>
                </c:pt>
                <c:pt idx="4">
                  <c:v>aug</c:v>
                </c:pt>
                <c:pt idx="5">
                  <c:v>sep</c:v>
                </c:pt>
                <c:pt idx="6">
                  <c:v>oct</c:v>
                </c:pt>
              </c:strCache>
            </c:strRef>
          </c:cat>
          <c:val>
            <c:numRef>
              <c:f>Sheet1!$B$3:$H$3</c:f>
              <c:numCache>
                <c:formatCode>General</c:formatCode>
                <c:ptCount val="7"/>
                <c:pt idx="0">
                  <c:v>301.10000000000002</c:v>
                </c:pt>
                <c:pt idx="1">
                  <c:v>250.9</c:v>
                </c:pt>
                <c:pt idx="2">
                  <c:v>277.3</c:v>
                </c:pt>
                <c:pt idx="3">
                  <c:v>499.6</c:v>
                </c:pt>
                <c:pt idx="4">
                  <c:v>260</c:v>
                </c:pt>
                <c:pt idx="5">
                  <c:v>298.10000000000002</c:v>
                </c:pt>
                <c:pt idx="6">
                  <c:v>323</c:v>
                </c:pt>
              </c:numCache>
            </c:numRef>
          </c:val>
        </c:ser>
        <c:ser>
          <c:idx val="2"/>
          <c:order val="2"/>
          <c:tx>
            <c:strRef>
              <c:f>Sheet1!$A$4</c:f>
              <c:strCache>
                <c:ptCount val="1"/>
                <c:pt idx="0">
                  <c:v>media Cernavodă</c:v>
                </c:pt>
              </c:strCache>
            </c:strRef>
          </c:tx>
          <c:spPr>
            <a:solidFill>
              <a:srgbClr val="FFFFCC"/>
            </a:solidFill>
            <a:ln w="12700">
              <a:solidFill>
                <a:srgbClr val="000000"/>
              </a:solidFill>
              <a:prstDash val="solid"/>
            </a:ln>
          </c:spPr>
          <c:invertIfNegative val="0"/>
          <c:cat>
            <c:strRef>
              <c:f>Sheet1!$B$1:$H$1</c:f>
              <c:strCache>
                <c:ptCount val="7"/>
                <c:pt idx="0">
                  <c:v>apr</c:v>
                </c:pt>
                <c:pt idx="1">
                  <c:v>mai</c:v>
                </c:pt>
                <c:pt idx="2">
                  <c:v>iun</c:v>
                </c:pt>
                <c:pt idx="3">
                  <c:v>iul</c:v>
                </c:pt>
                <c:pt idx="4">
                  <c:v>aug</c:v>
                </c:pt>
                <c:pt idx="5">
                  <c:v>sep</c:v>
                </c:pt>
                <c:pt idx="6">
                  <c:v>oct</c:v>
                </c:pt>
              </c:strCache>
            </c:strRef>
          </c:cat>
          <c:val>
            <c:numRef>
              <c:f>Sheet1!$B$4:$H$4</c:f>
              <c:numCache>
                <c:formatCode>General</c:formatCode>
                <c:ptCount val="7"/>
                <c:pt idx="0">
                  <c:v>208.3</c:v>
                </c:pt>
                <c:pt idx="1">
                  <c:v>147.30000000000001</c:v>
                </c:pt>
                <c:pt idx="2">
                  <c:v>155</c:v>
                </c:pt>
                <c:pt idx="3">
                  <c:v>199.7</c:v>
                </c:pt>
                <c:pt idx="4">
                  <c:v>167.3</c:v>
                </c:pt>
                <c:pt idx="5">
                  <c:v>212.12</c:v>
                </c:pt>
                <c:pt idx="6">
                  <c:v>201.11</c:v>
                </c:pt>
              </c:numCache>
            </c:numRef>
          </c:val>
        </c:ser>
        <c:ser>
          <c:idx val="3"/>
          <c:order val="3"/>
          <c:tx>
            <c:strRef>
              <c:f>Sheet1!$A$5</c:f>
              <c:strCache>
                <c:ptCount val="1"/>
                <c:pt idx="0">
                  <c:v>maxima Cernavodă</c:v>
                </c:pt>
              </c:strCache>
            </c:strRef>
          </c:tx>
          <c:spPr>
            <a:solidFill>
              <a:srgbClr val="CCFFFF"/>
            </a:solidFill>
            <a:ln w="12700">
              <a:solidFill>
                <a:srgbClr val="000000"/>
              </a:solidFill>
              <a:prstDash val="solid"/>
            </a:ln>
          </c:spPr>
          <c:invertIfNegative val="0"/>
          <c:cat>
            <c:strRef>
              <c:f>Sheet1!$B$1:$H$1</c:f>
              <c:strCache>
                <c:ptCount val="7"/>
                <c:pt idx="0">
                  <c:v>apr</c:v>
                </c:pt>
                <c:pt idx="1">
                  <c:v>mai</c:v>
                </c:pt>
                <c:pt idx="2">
                  <c:v>iun</c:v>
                </c:pt>
                <c:pt idx="3">
                  <c:v>iul</c:v>
                </c:pt>
                <c:pt idx="4">
                  <c:v>aug</c:v>
                </c:pt>
                <c:pt idx="5">
                  <c:v>sep</c:v>
                </c:pt>
                <c:pt idx="6">
                  <c:v>oct</c:v>
                </c:pt>
              </c:strCache>
            </c:strRef>
          </c:cat>
          <c:val>
            <c:numRef>
              <c:f>Sheet1!$B$5:$H$5</c:f>
              <c:numCache>
                <c:formatCode>General</c:formatCode>
                <c:ptCount val="7"/>
                <c:pt idx="0">
                  <c:v>282.2</c:v>
                </c:pt>
                <c:pt idx="1">
                  <c:v>173.7</c:v>
                </c:pt>
                <c:pt idx="2">
                  <c:v>200.7</c:v>
                </c:pt>
                <c:pt idx="3">
                  <c:v>249.7</c:v>
                </c:pt>
                <c:pt idx="4">
                  <c:v>237.6</c:v>
                </c:pt>
                <c:pt idx="5">
                  <c:v>256.18</c:v>
                </c:pt>
                <c:pt idx="6">
                  <c:v>330.87</c:v>
                </c:pt>
              </c:numCache>
            </c:numRef>
          </c:val>
        </c:ser>
        <c:dLbls>
          <c:showLegendKey val="0"/>
          <c:showVal val="0"/>
          <c:showCatName val="0"/>
          <c:showSerName val="0"/>
          <c:showPercent val="0"/>
          <c:showBubbleSize val="0"/>
        </c:dLbls>
        <c:gapWidth val="150"/>
        <c:axId val="114588672"/>
        <c:axId val="114901760"/>
      </c:barChart>
      <c:catAx>
        <c:axId val="11458867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14901760"/>
        <c:crosses val="autoZero"/>
        <c:auto val="1"/>
        <c:lblAlgn val="ctr"/>
        <c:lblOffset val="0"/>
        <c:tickLblSkip val="1"/>
        <c:tickMarkSkip val="1"/>
        <c:noMultiLvlLbl val="0"/>
      </c:catAx>
      <c:valAx>
        <c:axId val="114901760"/>
        <c:scaling>
          <c:orientation val="minMax"/>
          <c:max val="600"/>
        </c:scaling>
        <c:delete val="0"/>
        <c:axPos val="l"/>
        <c:majorGridlines>
          <c:spPr>
            <a:ln w="3175">
              <a:solidFill>
                <a:srgbClr val="000000"/>
              </a:solidFill>
              <a:prstDash val="solid"/>
            </a:ln>
          </c:spPr>
        </c:majorGridlines>
        <c:title>
          <c:tx>
            <c:rich>
              <a:bodyPr/>
              <a:lstStyle/>
              <a:p>
                <a:pPr>
                  <a:defRPr sz="1100" b="1" i="0" u="none" strike="noStrike" baseline="0">
                    <a:solidFill>
                      <a:srgbClr val="000000"/>
                    </a:solidFill>
                    <a:latin typeface="Calibri" panose="020F0502020204030204" pitchFamily="34" charset="0"/>
                    <a:ea typeface="Arial"/>
                    <a:cs typeface="Arial"/>
                  </a:defRPr>
                </a:pPr>
                <a:r>
                  <a:rPr lang="vi-VN">
                    <a:latin typeface="Calibri" panose="020F0502020204030204" pitchFamily="34" charset="0"/>
                  </a:rPr>
                  <a:t>Bq/kg m</a:t>
                </a:r>
                <a:r>
                  <a:rPr lang="en-US">
                    <a:latin typeface="Calibri" panose="020F0502020204030204" pitchFamily="34" charset="0"/>
                  </a:rPr>
                  <a:t>.v.</a:t>
                </a:r>
                <a:endParaRPr lang="vi-VN">
                  <a:latin typeface="Calibri" panose="020F0502020204030204" pitchFamily="34" charset="0"/>
                </a:endParaRPr>
              </a:p>
            </c:rich>
          </c:tx>
          <c:layout>
            <c:manualLayout>
              <c:xMode val="edge"/>
              <c:yMode val="edge"/>
              <c:x val="3.1075302893639842E-2"/>
              <c:y val="0.32759086129129084"/>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14588672"/>
        <c:crosses val="autoZero"/>
        <c:crossBetween val="between"/>
        <c:majorUnit val="200"/>
        <c:minorUnit val="100"/>
      </c:valAx>
      <c:spPr>
        <a:gradFill rotWithShape="0">
          <a:gsLst>
            <a:gs pos="0">
              <a:srgbClr xmlns:mc="http://schemas.openxmlformats.org/markup-compatibility/2006" xmlns:a14="http://schemas.microsoft.com/office/drawing/2010/main" val="010101" mc:Ignorable="a14" a14:legacySpreadsheetColorIndex="9">
                <a:gamma/>
                <a:shade val="66275"/>
                <a:invGamma/>
              </a:srgbClr>
            </a:gs>
            <a:gs pos="100000">
              <a:srgbClr xmlns:mc="http://schemas.openxmlformats.org/markup-compatibility/2006" xmlns:a14="http://schemas.microsoft.com/office/drawing/2010/main" val="FFFFFF" mc:Ignorable="a14" a14:legacySpreadsheetColorIndex="9"/>
            </a:gs>
          </a:gsLst>
          <a:lin ang="5400000" scaled="1"/>
        </a:gradFill>
        <a:ln w="3175">
          <a:solidFill>
            <a:srgbClr val="000000"/>
          </a:solidFill>
          <a:prstDash val="solid"/>
        </a:ln>
      </c:spPr>
    </c:plotArea>
    <c:legend>
      <c:legendPos val="b"/>
      <c:layout>
        <c:manualLayout>
          <c:xMode val="edge"/>
          <c:yMode val="edge"/>
          <c:x val="0.12140432136385429"/>
          <c:y val="0.83657587548638135"/>
          <c:w val="0.86648968414551897"/>
          <c:h val="0.14785992217898833"/>
        </c:manualLayout>
      </c:layout>
      <c:overlay val="0"/>
      <c:spPr>
        <a:solidFill>
          <a:srgbClr val="FFFFFF"/>
        </a:solidFill>
        <a:ln w="25400">
          <a:noFill/>
        </a:ln>
      </c:spPr>
      <c:txPr>
        <a:bodyPr/>
        <a:lstStyle/>
        <a:p>
          <a:pPr>
            <a:defRPr sz="1000" b="0" i="0" u="none" strike="noStrike" baseline="0">
              <a:solidFill>
                <a:srgbClr val="000000"/>
              </a:solidFill>
              <a:latin typeface="Calibri" panose="020F0502020204030204" pitchFamily="34" charset="0"/>
              <a:ea typeface="Arial"/>
              <a:cs typeface="Arial"/>
            </a:defRPr>
          </a:pPr>
          <a:endParaRPr lang="en-US"/>
        </a:p>
      </c:txPr>
    </c:legend>
    <c:plotVisOnly val="1"/>
    <c:dispBlanksAs val="gap"/>
    <c:showDLblsOverMax val="0"/>
  </c:chart>
  <c:spPr>
    <a:solidFill>
      <a:srgbClr val="FFFFFF"/>
    </a:solidFill>
    <a:ln w="6350" cap="flat" cmpd="sng" algn="ctr">
      <a:solidFill>
        <a:srgbClr val="000000"/>
      </a:solidFill>
      <a:prstDash val="solid"/>
      <a:miter lim="800000"/>
      <a:headEnd type="none" w="med" len="med"/>
      <a:tailEnd type="none" w="med" len="med"/>
    </a:ln>
  </c:spPr>
  <c:txPr>
    <a:bodyPr/>
    <a:lstStyle/>
    <a:p>
      <a:pPr>
        <a:defRPr sz="1125" b="1"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mn-lt"/>
                <a:cs typeface="Arial" panose="020B0604020202020204" pitchFamily="34" charset="0"/>
              </a:defRPr>
            </a:pPr>
            <a:r>
              <a:rPr lang="ro-RO" sz="1200">
                <a:latin typeface="+mn-lt"/>
                <a:cs typeface="Arial" panose="020B0604020202020204" pitchFamily="34" charset="0"/>
              </a:rPr>
              <a:t>Figura </a:t>
            </a:r>
            <a:r>
              <a:rPr lang="ro-RO" sz="1200" b="1" i="0" u="none" strike="noStrike" kern="1200" baseline="0">
                <a:solidFill>
                  <a:sysClr val="windowText" lastClr="000000"/>
                </a:solidFill>
                <a:latin typeface="+mn-lt"/>
                <a:ea typeface="+mn-ea"/>
                <a:cs typeface="Arial" panose="020B0604020202020204" pitchFamily="34" charset="0"/>
              </a:rPr>
              <a:t>IX</a:t>
            </a:r>
            <a:r>
              <a:rPr lang="ro-RO" sz="1200">
                <a:latin typeface="+mn-lt"/>
                <a:cs typeface="Arial" panose="020B0604020202020204" pitchFamily="34" charset="0"/>
              </a:rPr>
              <a:t>.45. Variaţia multianuală a </a:t>
            </a:r>
            <a:r>
              <a:rPr lang="en-US" sz="1200">
                <a:latin typeface="+mn-lt"/>
                <a:cs typeface="Arial" panose="020B0604020202020204" pitchFamily="34" charset="0"/>
              </a:rPr>
              <a:t>activit</a:t>
            </a:r>
            <a:r>
              <a:rPr lang="ro-RO" sz="1200">
                <a:latin typeface="+mn-lt"/>
                <a:cs typeface="Arial" panose="020B0604020202020204" pitchFamily="34" charset="0"/>
              </a:rPr>
              <a:t>ăţii</a:t>
            </a:r>
            <a:r>
              <a:rPr lang="ro-RO" sz="1200" baseline="0">
                <a:latin typeface="+mn-lt"/>
                <a:cs typeface="Arial" panose="020B0604020202020204" pitchFamily="34" charset="0"/>
              </a:rPr>
              <a:t> beta globale a vegetaţiei spontane</a:t>
            </a:r>
          </a:p>
        </c:rich>
      </c:tx>
      <c:overlay val="0"/>
    </c:title>
    <c:autoTitleDeleted val="0"/>
    <c:plotArea>
      <c:layout>
        <c:manualLayout>
          <c:layoutTarget val="inner"/>
          <c:xMode val="edge"/>
          <c:yMode val="edge"/>
          <c:x val="0.10790867808190643"/>
          <c:y val="0.18095328083989501"/>
          <c:w val="0.87299139465151998"/>
          <c:h val="0.53085144356955383"/>
        </c:manualLayout>
      </c:layout>
      <c:lineChart>
        <c:grouping val="standard"/>
        <c:varyColors val="0"/>
        <c:ser>
          <c:idx val="0"/>
          <c:order val="0"/>
          <c:tx>
            <c:strRef>
              <c:f>Foaie1!$B$1</c:f>
              <c:strCache>
                <c:ptCount val="1"/>
                <c:pt idx="0">
                  <c:v>SSRM Constanţa -media</c:v>
                </c:pt>
              </c:strCache>
            </c:strRef>
          </c:tx>
          <c:cat>
            <c:numRef>
              <c:f>Foaie1!$A$2:$A$7</c:f>
              <c:numCache>
                <c:formatCode>General</c:formatCode>
                <c:ptCount val="6"/>
                <c:pt idx="0">
                  <c:v>2010</c:v>
                </c:pt>
                <c:pt idx="1">
                  <c:v>2011</c:v>
                </c:pt>
                <c:pt idx="2">
                  <c:v>2012</c:v>
                </c:pt>
                <c:pt idx="3">
                  <c:v>2013</c:v>
                </c:pt>
                <c:pt idx="4">
                  <c:v>2014</c:v>
                </c:pt>
                <c:pt idx="5">
                  <c:v>2015</c:v>
                </c:pt>
              </c:numCache>
            </c:numRef>
          </c:cat>
          <c:val>
            <c:numRef>
              <c:f>Foaie1!$B$2:$B$7</c:f>
              <c:numCache>
                <c:formatCode>General</c:formatCode>
                <c:ptCount val="6"/>
                <c:pt idx="0">
                  <c:v>220</c:v>
                </c:pt>
                <c:pt idx="1">
                  <c:v>230</c:v>
                </c:pt>
                <c:pt idx="2">
                  <c:v>223.06</c:v>
                </c:pt>
                <c:pt idx="3">
                  <c:v>240.18</c:v>
                </c:pt>
                <c:pt idx="4">
                  <c:v>249.94</c:v>
                </c:pt>
                <c:pt idx="5">
                  <c:v>237.07</c:v>
                </c:pt>
              </c:numCache>
            </c:numRef>
          </c:val>
          <c:smooth val="0"/>
        </c:ser>
        <c:ser>
          <c:idx val="1"/>
          <c:order val="1"/>
          <c:tx>
            <c:strRef>
              <c:f>Foaie1!$C$1</c:f>
              <c:strCache>
                <c:ptCount val="1"/>
                <c:pt idx="0">
                  <c:v>SSRM Constanţa -maxima</c:v>
                </c:pt>
              </c:strCache>
            </c:strRef>
          </c:tx>
          <c:cat>
            <c:numRef>
              <c:f>Foaie1!$A$2:$A$7</c:f>
              <c:numCache>
                <c:formatCode>General</c:formatCode>
                <c:ptCount val="6"/>
                <c:pt idx="0">
                  <c:v>2010</c:v>
                </c:pt>
                <c:pt idx="1">
                  <c:v>2011</c:v>
                </c:pt>
                <c:pt idx="2">
                  <c:v>2012</c:v>
                </c:pt>
                <c:pt idx="3">
                  <c:v>2013</c:v>
                </c:pt>
                <c:pt idx="4">
                  <c:v>2014</c:v>
                </c:pt>
                <c:pt idx="5">
                  <c:v>2015</c:v>
                </c:pt>
              </c:numCache>
            </c:numRef>
          </c:cat>
          <c:val>
            <c:numRef>
              <c:f>Foaie1!$C$2:$C$7</c:f>
              <c:numCache>
                <c:formatCode>0.00</c:formatCode>
                <c:ptCount val="6"/>
                <c:pt idx="0">
                  <c:v>440</c:v>
                </c:pt>
                <c:pt idx="1">
                  <c:v>350</c:v>
                </c:pt>
                <c:pt idx="2">
                  <c:v>298.3</c:v>
                </c:pt>
                <c:pt idx="3">
                  <c:v>383</c:v>
                </c:pt>
                <c:pt idx="4">
                  <c:v>413.5</c:v>
                </c:pt>
                <c:pt idx="5">
                  <c:v>499.6</c:v>
                </c:pt>
              </c:numCache>
            </c:numRef>
          </c:val>
          <c:smooth val="0"/>
        </c:ser>
        <c:ser>
          <c:idx val="2"/>
          <c:order val="2"/>
          <c:tx>
            <c:strRef>
              <c:f>Foaie1!$D$1</c:f>
              <c:strCache>
                <c:ptCount val="1"/>
                <c:pt idx="0">
                  <c:v>SSRM Cernavodă-media</c:v>
                </c:pt>
              </c:strCache>
            </c:strRef>
          </c:tx>
          <c:cat>
            <c:numRef>
              <c:f>Foaie1!$A$2:$A$7</c:f>
              <c:numCache>
                <c:formatCode>General</c:formatCode>
                <c:ptCount val="6"/>
                <c:pt idx="0">
                  <c:v>2010</c:v>
                </c:pt>
                <c:pt idx="1">
                  <c:v>2011</c:v>
                </c:pt>
                <c:pt idx="2">
                  <c:v>2012</c:v>
                </c:pt>
                <c:pt idx="3">
                  <c:v>2013</c:v>
                </c:pt>
                <c:pt idx="4">
                  <c:v>2014</c:v>
                </c:pt>
                <c:pt idx="5">
                  <c:v>2015</c:v>
                </c:pt>
              </c:numCache>
            </c:numRef>
          </c:cat>
          <c:val>
            <c:numRef>
              <c:f>Foaie1!$D$2:$D$7</c:f>
              <c:numCache>
                <c:formatCode>General</c:formatCode>
                <c:ptCount val="6"/>
                <c:pt idx="0">
                  <c:v>208.07</c:v>
                </c:pt>
                <c:pt idx="1">
                  <c:v>191.18</c:v>
                </c:pt>
                <c:pt idx="2">
                  <c:v>219.16</c:v>
                </c:pt>
                <c:pt idx="3">
                  <c:v>194.38</c:v>
                </c:pt>
                <c:pt idx="4">
                  <c:v>208.79</c:v>
                </c:pt>
                <c:pt idx="5">
                  <c:v>184.4</c:v>
                </c:pt>
              </c:numCache>
            </c:numRef>
          </c:val>
          <c:smooth val="0"/>
        </c:ser>
        <c:ser>
          <c:idx val="3"/>
          <c:order val="3"/>
          <c:tx>
            <c:strRef>
              <c:f>Foaie1!$E$1</c:f>
              <c:strCache>
                <c:ptCount val="1"/>
                <c:pt idx="0">
                  <c:v>SSRM Cernavodă-maxima</c:v>
                </c:pt>
              </c:strCache>
            </c:strRef>
          </c:tx>
          <c:cat>
            <c:numRef>
              <c:f>Foaie1!$A$2:$A$7</c:f>
              <c:numCache>
                <c:formatCode>General</c:formatCode>
                <c:ptCount val="6"/>
                <c:pt idx="0">
                  <c:v>2010</c:v>
                </c:pt>
                <c:pt idx="1">
                  <c:v>2011</c:v>
                </c:pt>
                <c:pt idx="2">
                  <c:v>2012</c:v>
                </c:pt>
                <c:pt idx="3">
                  <c:v>2013</c:v>
                </c:pt>
                <c:pt idx="4">
                  <c:v>2014</c:v>
                </c:pt>
                <c:pt idx="5">
                  <c:v>2015</c:v>
                </c:pt>
              </c:numCache>
            </c:numRef>
          </c:cat>
          <c:val>
            <c:numRef>
              <c:f>Foaie1!$E$2:$E$7</c:f>
              <c:numCache>
                <c:formatCode>General</c:formatCode>
                <c:ptCount val="6"/>
                <c:pt idx="0">
                  <c:v>345.92</c:v>
                </c:pt>
                <c:pt idx="1">
                  <c:v>312.27</c:v>
                </c:pt>
                <c:pt idx="2">
                  <c:v>327.14</c:v>
                </c:pt>
                <c:pt idx="3">
                  <c:v>289.37</c:v>
                </c:pt>
                <c:pt idx="4">
                  <c:v>324.02</c:v>
                </c:pt>
                <c:pt idx="5">
                  <c:v>330.87</c:v>
                </c:pt>
              </c:numCache>
            </c:numRef>
          </c:val>
          <c:smooth val="0"/>
        </c:ser>
        <c:dLbls>
          <c:showLegendKey val="0"/>
          <c:showVal val="0"/>
          <c:showCatName val="0"/>
          <c:showSerName val="0"/>
          <c:showPercent val="0"/>
          <c:showBubbleSize val="0"/>
        </c:dLbls>
        <c:marker val="1"/>
        <c:smooth val="0"/>
        <c:axId val="114635136"/>
        <c:axId val="114636672"/>
      </c:lineChart>
      <c:catAx>
        <c:axId val="114635136"/>
        <c:scaling>
          <c:orientation val="minMax"/>
        </c:scaling>
        <c:delete val="0"/>
        <c:axPos val="b"/>
        <c:numFmt formatCode="General" sourceLinked="1"/>
        <c:majorTickMark val="none"/>
        <c:minorTickMark val="none"/>
        <c:tickLblPos val="nextTo"/>
        <c:txPr>
          <a:bodyPr rot="120000" vert="horz"/>
          <a:lstStyle/>
          <a:p>
            <a:pPr>
              <a:defRPr/>
            </a:pPr>
            <a:endParaRPr lang="en-US"/>
          </a:p>
        </c:txPr>
        <c:crossAx val="114636672"/>
        <c:crossesAt val="0"/>
        <c:auto val="1"/>
        <c:lblAlgn val="ctr"/>
        <c:lblOffset val="100"/>
        <c:noMultiLvlLbl val="0"/>
      </c:catAx>
      <c:valAx>
        <c:axId val="114636672"/>
        <c:scaling>
          <c:orientation val="minMax"/>
          <c:min val="0"/>
        </c:scaling>
        <c:delete val="0"/>
        <c:axPos val="l"/>
        <c:majorGridlines/>
        <c:title>
          <c:tx>
            <c:rich>
              <a:bodyPr rot="-5400000" vert="horz"/>
              <a:lstStyle/>
              <a:p>
                <a:pPr>
                  <a:defRPr sz="1100"/>
                </a:pPr>
                <a:r>
                  <a:rPr lang="ro-RO" sz="1100"/>
                  <a:t>Bq/kg m.v.</a:t>
                </a:r>
              </a:p>
              <a:p>
                <a:pPr>
                  <a:defRPr sz="1100"/>
                </a:pPr>
                <a:endParaRPr lang="vi-VN" sz="1100"/>
              </a:p>
            </c:rich>
          </c:tx>
          <c:overlay val="0"/>
        </c:title>
        <c:numFmt formatCode="General" sourceLinked="0"/>
        <c:majorTickMark val="none"/>
        <c:minorTickMark val="none"/>
        <c:tickLblPos val="nextTo"/>
        <c:spPr>
          <a:ln cmpd="dbl"/>
        </c:spPr>
        <c:txPr>
          <a:bodyPr rot="0" vert="horz"/>
          <a:lstStyle/>
          <a:p>
            <a:pPr>
              <a:defRPr/>
            </a:pPr>
            <a:endParaRPr lang="en-US"/>
          </a:p>
        </c:txPr>
        <c:crossAx val="114635136"/>
        <c:crosses val="autoZero"/>
        <c:crossBetween val="between"/>
      </c:valAx>
    </c:plotArea>
    <c:legend>
      <c:legendPos val="b"/>
      <c:legendEntry>
        <c:idx val="0"/>
        <c:txPr>
          <a:bodyPr/>
          <a:lstStyle/>
          <a:p>
            <a:pPr>
              <a:defRPr sz="1050" baseline="0">
                <a:latin typeface="Calibri" panose="020F0502020204030204" pitchFamily="34" charset="0"/>
              </a:defRPr>
            </a:pPr>
            <a:endParaRPr lang="en-US"/>
          </a:p>
        </c:txPr>
      </c:legendEntry>
      <c:legendEntry>
        <c:idx val="1"/>
        <c:txPr>
          <a:bodyPr/>
          <a:lstStyle/>
          <a:p>
            <a:pPr>
              <a:defRPr sz="1050">
                <a:latin typeface="Calibri" panose="020F0502020204030204" pitchFamily="34" charset="0"/>
              </a:defRPr>
            </a:pPr>
            <a:endParaRPr lang="en-US"/>
          </a:p>
        </c:txPr>
      </c:legendEntry>
      <c:legendEntry>
        <c:idx val="2"/>
        <c:txPr>
          <a:bodyPr/>
          <a:lstStyle/>
          <a:p>
            <a:pPr>
              <a:defRPr sz="1050" baseline="0">
                <a:latin typeface="Calibri" panose="020F0502020204030204" pitchFamily="34" charset="0"/>
              </a:defRPr>
            </a:pPr>
            <a:endParaRPr lang="en-US"/>
          </a:p>
        </c:txPr>
      </c:legendEntry>
      <c:layout>
        <c:manualLayout>
          <c:xMode val="edge"/>
          <c:yMode val="edge"/>
          <c:x val="7.8835978835978843E-2"/>
          <c:y val="0.8418506777561896"/>
          <c:w val="0.91103272307679806"/>
          <c:h val="0.15814946208646996"/>
        </c:manualLayout>
      </c:layout>
      <c:overlay val="0"/>
      <c:txPr>
        <a:bodyPr/>
        <a:lstStyle/>
        <a:p>
          <a:pPr>
            <a:defRPr sz="1050">
              <a:latin typeface="Calibri" panose="020F0502020204030204" pitchFamily="34" charset="0"/>
            </a:defRPr>
          </a:pPr>
          <a:endParaRPr lang="en-US"/>
        </a:p>
      </c:txPr>
    </c:legend>
    <c:plotVisOnly val="1"/>
    <c:dispBlanksAs val="gap"/>
    <c:showDLblsOverMax val="0"/>
  </c:chart>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97" b="1" i="0" u="none" strike="noStrike" baseline="0">
                <a:solidFill>
                  <a:srgbClr val="000000"/>
                </a:solidFill>
                <a:latin typeface="Calibri" panose="020F0502020204030204" pitchFamily="34" charset="0"/>
                <a:ea typeface="Arial"/>
                <a:cs typeface="Arial"/>
              </a:defRPr>
            </a:pPr>
            <a:r>
              <a:rPr lang="vi-VN" sz="897">
                <a:latin typeface="Calibri" panose="020F0502020204030204" pitchFamily="34" charset="0"/>
              </a:rPr>
              <a:t>Figura </a:t>
            </a:r>
            <a:r>
              <a:rPr lang="en-US" sz="897">
                <a:latin typeface="Calibri" panose="020F0502020204030204" pitchFamily="34" charset="0"/>
              </a:rPr>
              <a:t>IX.46</a:t>
            </a:r>
            <a:r>
              <a:rPr lang="vi-VN" sz="897">
                <a:latin typeface="Calibri" panose="020F0502020204030204" pitchFamily="34" charset="0"/>
              </a:rPr>
              <a:t>. Concentraţii de Be-7 în vegetaţie spontană- probe colectate în 201</a:t>
            </a:r>
            <a:r>
              <a:rPr lang="en-US" sz="897">
                <a:latin typeface="Calibri" panose="020F0502020204030204" pitchFamily="34" charset="0"/>
              </a:rPr>
              <a:t>5</a:t>
            </a:r>
            <a:r>
              <a:rPr lang="vi-VN" sz="897">
                <a:latin typeface="Calibri" panose="020F0502020204030204" pitchFamily="34" charset="0"/>
              </a:rPr>
              <a:t> în Regiunea de </a:t>
            </a:r>
            <a:r>
              <a:rPr lang="en-US" sz="897">
                <a:latin typeface="Calibri" panose="020F0502020204030204" pitchFamily="34" charset="0"/>
              </a:rPr>
              <a:t>dezvoltare de </a:t>
            </a:r>
            <a:r>
              <a:rPr lang="vi-VN" sz="897">
                <a:latin typeface="Calibri" panose="020F0502020204030204" pitchFamily="34" charset="0"/>
              </a:rPr>
              <a:t>Sud-Est</a:t>
            </a:r>
          </a:p>
        </c:rich>
      </c:tx>
      <c:layout>
        <c:manualLayout>
          <c:xMode val="edge"/>
          <c:yMode val="edge"/>
          <c:x val="0.13247172859450726"/>
          <c:y val="2.1739749198016915E-2"/>
        </c:manualLayout>
      </c:layout>
      <c:overlay val="0"/>
      <c:spPr>
        <a:noFill/>
        <a:ln w="18987">
          <a:noFill/>
        </a:ln>
      </c:spPr>
    </c:title>
    <c:autoTitleDeleted val="0"/>
    <c:plotArea>
      <c:layout>
        <c:manualLayout>
          <c:layoutTarget val="inner"/>
          <c:xMode val="edge"/>
          <c:yMode val="edge"/>
          <c:x val="0.13247172859450726"/>
          <c:y val="0.21135265700483091"/>
          <c:w val="0.80452342487883688"/>
          <c:h val="0.54106280193236711"/>
        </c:manualLayout>
      </c:layout>
      <c:barChart>
        <c:barDir val="col"/>
        <c:grouping val="clustered"/>
        <c:varyColors val="0"/>
        <c:ser>
          <c:idx val="0"/>
          <c:order val="0"/>
          <c:tx>
            <c:v>Constanţa</c:v>
          </c:tx>
          <c:spPr>
            <a:solidFill>
              <a:srgbClr val="9999FF"/>
            </a:solidFill>
            <a:ln w="9493">
              <a:solidFill>
                <a:srgbClr val="000000"/>
              </a:solidFill>
              <a:prstDash val="solid"/>
            </a:ln>
          </c:spPr>
          <c:invertIfNegative val="0"/>
          <c:cat>
            <c:strRef>
              <c:f>Foaie1!$B$4:$C$4</c:f>
              <c:strCache>
                <c:ptCount val="2"/>
                <c:pt idx="0">
                  <c:v>Semestrul I</c:v>
                </c:pt>
                <c:pt idx="1">
                  <c:v>Semestrul II</c:v>
                </c:pt>
              </c:strCache>
            </c:strRef>
          </c:cat>
          <c:val>
            <c:numRef>
              <c:f>Foaie1!$B$5:$C$5</c:f>
              <c:numCache>
                <c:formatCode>0.00</c:formatCode>
                <c:ptCount val="2"/>
                <c:pt idx="0">
                  <c:v>17.399999999999999</c:v>
                </c:pt>
                <c:pt idx="1">
                  <c:v>74.099999999999994</c:v>
                </c:pt>
              </c:numCache>
            </c:numRef>
          </c:val>
        </c:ser>
        <c:ser>
          <c:idx val="1"/>
          <c:order val="1"/>
          <c:tx>
            <c:v>Cernavodă</c:v>
          </c:tx>
          <c:spPr>
            <a:solidFill>
              <a:srgbClr val="993366"/>
            </a:solidFill>
            <a:ln w="9493">
              <a:solidFill>
                <a:srgbClr val="000000"/>
              </a:solidFill>
              <a:prstDash val="solid"/>
            </a:ln>
          </c:spPr>
          <c:invertIfNegative val="0"/>
          <c:cat>
            <c:strRef>
              <c:f>Foaie1!$B$4:$C$4</c:f>
              <c:strCache>
                <c:ptCount val="2"/>
                <c:pt idx="0">
                  <c:v>Semestrul I</c:v>
                </c:pt>
                <c:pt idx="1">
                  <c:v>Semestrul II</c:v>
                </c:pt>
              </c:strCache>
            </c:strRef>
          </c:cat>
          <c:val>
            <c:numRef>
              <c:f>Foaie1!$B$6:$C$6</c:f>
              <c:numCache>
                <c:formatCode>0.00</c:formatCode>
                <c:ptCount val="2"/>
                <c:pt idx="0">
                  <c:v>46.89</c:v>
                </c:pt>
                <c:pt idx="1">
                  <c:v>22.62</c:v>
                </c:pt>
              </c:numCache>
            </c:numRef>
          </c:val>
        </c:ser>
        <c:ser>
          <c:idx val="2"/>
          <c:order val="2"/>
          <c:tx>
            <c:v>Galaţi</c:v>
          </c:tx>
          <c:spPr>
            <a:solidFill>
              <a:srgbClr val="FFFFCC"/>
            </a:solidFill>
            <a:ln w="9493">
              <a:solidFill>
                <a:srgbClr val="000000"/>
              </a:solidFill>
              <a:prstDash val="solid"/>
            </a:ln>
          </c:spPr>
          <c:invertIfNegative val="0"/>
          <c:cat>
            <c:strRef>
              <c:f>Foaie1!$B$4:$C$4</c:f>
              <c:strCache>
                <c:ptCount val="2"/>
                <c:pt idx="0">
                  <c:v>Semestrul I</c:v>
                </c:pt>
                <c:pt idx="1">
                  <c:v>Semestrul II</c:v>
                </c:pt>
              </c:strCache>
            </c:strRef>
          </c:cat>
          <c:val>
            <c:numRef>
              <c:f>Foaie1!$B$7:$C$7</c:f>
              <c:numCache>
                <c:formatCode>General</c:formatCode>
                <c:ptCount val="2"/>
                <c:pt idx="0" formatCode="0.00">
                  <c:v>18.079999999999998</c:v>
                </c:pt>
              </c:numCache>
            </c:numRef>
          </c:val>
        </c:ser>
        <c:ser>
          <c:idx val="3"/>
          <c:order val="3"/>
          <c:tx>
            <c:v>Buzău</c:v>
          </c:tx>
          <c:spPr>
            <a:solidFill>
              <a:srgbClr val="CCFFFF"/>
            </a:solidFill>
            <a:ln w="9493">
              <a:solidFill>
                <a:srgbClr val="000000"/>
              </a:solidFill>
              <a:prstDash val="solid"/>
            </a:ln>
          </c:spPr>
          <c:invertIfNegative val="0"/>
          <c:cat>
            <c:strRef>
              <c:f>Foaie1!$B$4:$C$4</c:f>
              <c:strCache>
                <c:ptCount val="2"/>
                <c:pt idx="0">
                  <c:v>Semestrul I</c:v>
                </c:pt>
                <c:pt idx="1">
                  <c:v>Semestrul II</c:v>
                </c:pt>
              </c:strCache>
            </c:strRef>
          </c:cat>
          <c:val>
            <c:numRef>
              <c:f>Foaie1!$B$8:$C$8</c:f>
              <c:numCache>
                <c:formatCode>General</c:formatCode>
                <c:ptCount val="2"/>
                <c:pt idx="0" formatCode="0.00">
                  <c:v>26.05</c:v>
                </c:pt>
              </c:numCache>
            </c:numRef>
          </c:val>
        </c:ser>
        <c:ser>
          <c:idx val="4"/>
          <c:order val="4"/>
          <c:tx>
            <c:v>Tulcea</c:v>
          </c:tx>
          <c:spPr>
            <a:solidFill>
              <a:srgbClr val="660066"/>
            </a:solidFill>
            <a:ln w="9493">
              <a:solidFill>
                <a:srgbClr val="000000"/>
              </a:solidFill>
              <a:prstDash val="solid"/>
            </a:ln>
          </c:spPr>
          <c:invertIfNegative val="0"/>
          <c:cat>
            <c:strRef>
              <c:f>Foaie1!$B$4:$C$4</c:f>
              <c:strCache>
                <c:ptCount val="2"/>
                <c:pt idx="0">
                  <c:v>Semestrul I</c:v>
                </c:pt>
                <c:pt idx="1">
                  <c:v>Semestrul II</c:v>
                </c:pt>
              </c:strCache>
            </c:strRef>
          </c:cat>
          <c:val>
            <c:numRef>
              <c:f>Foaie1!$B$9:$C$9</c:f>
              <c:numCache>
                <c:formatCode>General</c:formatCode>
                <c:ptCount val="2"/>
                <c:pt idx="0" formatCode="0.00">
                  <c:v>6.95</c:v>
                </c:pt>
              </c:numCache>
            </c:numRef>
          </c:val>
        </c:ser>
        <c:ser>
          <c:idx val="5"/>
          <c:order val="5"/>
          <c:tx>
            <c:v>Sf. Gheorghe</c:v>
          </c:tx>
          <c:spPr>
            <a:solidFill>
              <a:srgbClr val="FF8080"/>
            </a:solidFill>
            <a:ln w="9493">
              <a:solidFill>
                <a:srgbClr val="000000"/>
              </a:solidFill>
              <a:prstDash val="solid"/>
            </a:ln>
          </c:spPr>
          <c:invertIfNegative val="0"/>
          <c:cat>
            <c:strRef>
              <c:f>Foaie1!$B$4:$C$4</c:f>
              <c:strCache>
                <c:ptCount val="2"/>
                <c:pt idx="0">
                  <c:v>Semestrul I</c:v>
                </c:pt>
                <c:pt idx="1">
                  <c:v>Semestrul II</c:v>
                </c:pt>
              </c:strCache>
            </c:strRef>
          </c:cat>
          <c:val>
            <c:numRef>
              <c:f>Foaie1!$B$10:$C$10</c:f>
              <c:numCache>
                <c:formatCode>General</c:formatCode>
                <c:ptCount val="2"/>
                <c:pt idx="0" formatCode="0.00">
                  <c:v>8.76</c:v>
                </c:pt>
              </c:numCache>
            </c:numRef>
          </c:val>
        </c:ser>
        <c:dLbls>
          <c:showLegendKey val="0"/>
          <c:showVal val="0"/>
          <c:showCatName val="0"/>
          <c:showSerName val="0"/>
          <c:showPercent val="0"/>
          <c:showBubbleSize val="0"/>
        </c:dLbls>
        <c:gapWidth val="150"/>
        <c:axId val="114519424"/>
        <c:axId val="114521216"/>
      </c:barChart>
      <c:catAx>
        <c:axId val="114519424"/>
        <c:scaling>
          <c:orientation val="minMax"/>
        </c:scaling>
        <c:delete val="0"/>
        <c:axPos val="b"/>
        <c:numFmt formatCode="General" sourceLinked="1"/>
        <c:majorTickMark val="out"/>
        <c:minorTickMark val="none"/>
        <c:tickLblPos val="nextTo"/>
        <c:spPr>
          <a:ln w="2373">
            <a:solidFill>
              <a:srgbClr val="000000"/>
            </a:solidFill>
            <a:prstDash val="solid"/>
          </a:ln>
        </c:spPr>
        <c:txPr>
          <a:bodyPr rot="0" vert="horz"/>
          <a:lstStyle/>
          <a:p>
            <a:pPr>
              <a:defRPr sz="598" b="0" i="0" u="none" strike="noStrike" baseline="0">
                <a:solidFill>
                  <a:srgbClr val="000000"/>
                </a:solidFill>
                <a:latin typeface="Arial"/>
                <a:ea typeface="Arial"/>
                <a:cs typeface="Arial"/>
              </a:defRPr>
            </a:pPr>
            <a:endParaRPr lang="en-US"/>
          </a:p>
        </c:txPr>
        <c:crossAx val="114521216"/>
        <c:crosses val="autoZero"/>
        <c:auto val="1"/>
        <c:lblAlgn val="ctr"/>
        <c:lblOffset val="100"/>
        <c:tickLblSkip val="1"/>
        <c:tickMarkSkip val="1"/>
        <c:noMultiLvlLbl val="0"/>
      </c:catAx>
      <c:valAx>
        <c:axId val="114521216"/>
        <c:scaling>
          <c:orientation val="minMax"/>
          <c:max val="60"/>
        </c:scaling>
        <c:delete val="0"/>
        <c:axPos val="l"/>
        <c:majorGridlines>
          <c:spPr>
            <a:ln w="2373">
              <a:solidFill>
                <a:srgbClr val="000000"/>
              </a:solidFill>
              <a:prstDash val="solid"/>
            </a:ln>
          </c:spPr>
        </c:majorGridlines>
        <c:title>
          <c:tx>
            <c:rich>
              <a:bodyPr/>
              <a:lstStyle/>
              <a:p>
                <a:pPr>
                  <a:defRPr sz="822" b="1" i="0" u="none" strike="noStrike" baseline="0">
                    <a:solidFill>
                      <a:srgbClr val="000000"/>
                    </a:solidFill>
                    <a:latin typeface="Calibri" panose="020F0502020204030204" pitchFamily="34" charset="0"/>
                    <a:ea typeface="Arial"/>
                    <a:cs typeface="Arial"/>
                  </a:defRPr>
                </a:pPr>
                <a:r>
                  <a:rPr lang="vi-VN">
                    <a:latin typeface="Calibri" panose="020F0502020204030204" pitchFamily="34" charset="0"/>
                  </a:rPr>
                  <a:t>Bq/kg m</a:t>
                </a:r>
                <a:r>
                  <a:rPr lang="en-US">
                    <a:latin typeface="Calibri" panose="020F0502020204030204" pitchFamily="34" charset="0"/>
                  </a:rPr>
                  <a:t>.</a:t>
                </a:r>
                <a:r>
                  <a:rPr lang="vi-VN">
                    <a:latin typeface="Calibri" panose="020F0502020204030204" pitchFamily="34" charset="0"/>
                  </a:rPr>
                  <a:t>v</a:t>
                </a:r>
                <a:r>
                  <a:rPr lang="en-US">
                    <a:latin typeface="Calibri" panose="020F0502020204030204" pitchFamily="34" charset="0"/>
                  </a:rPr>
                  <a:t>.</a:t>
                </a:r>
                <a:endParaRPr lang="vi-VN">
                  <a:latin typeface="Calibri" panose="020F0502020204030204" pitchFamily="34" charset="0"/>
                </a:endParaRPr>
              </a:p>
            </c:rich>
          </c:tx>
          <c:layout>
            <c:manualLayout>
              <c:xMode val="edge"/>
              <c:yMode val="edge"/>
              <c:x val="4.0387722132471729E-2"/>
              <c:y val="0.23550702828813067"/>
            </c:manualLayout>
          </c:layout>
          <c:overlay val="0"/>
          <c:spPr>
            <a:noFill/>
            <a:ln w="18987">
              <a:noFill/>
            </a:ln>
          </c:spPr>
        </c:title>
        <c:numFmt formatCode="0" sourceLinked="0"/>
        <c:majorTickMark val="out"/>
        <c:minorTickMark val="none"/>
        <c:tickLblPos val="nextTo"/>
        <c:spPr>
          <a:ln w="2373">
            <a:solidFill>
              <a:srgbClr val="000000"/>
            </a:solidFill>
            <a:prstDash val="solid"/>
          </a:ln>
        </c:spPr>
        <c:txPr>
          <a:bodyPr rot="0" vert="horz"/>
          <a:lstStyle/>
          <a:p>
            <a:pPr>
              <a:defRPr sz="598" b="0" i="0" u="none" strike="noStrike" baseline="0">
                <a:solidFill>
                  <a:srgbClr val="000000"/>
                </a:solidFill>
                <a:latin typeface="Arial"/>
                <a:ea typeface="Arial"/>
                <a:cs typeface="Arial"/>
              </a:defRPr>
            </a:pPr>
            <a:endParaRPr lang="en-US"/>
          </a:p>
        </c:txPr>
        <c:crossAx val="114519424"/>
        <c:crosses val="autoZero"/>
        <c:crossBetween val="between"/>
        <c:majorUnit val="20"/>
        <c:minorUnit val="0.24"/>
      </c:valAx>
      <c:spPr>
        <a:gradFill rotWithShape="0">
          <a:gsLst>
            <a:gs pos="0">
              <a:srgbClr xmlns:mc="http://schemas.openxmlformats.org/markup-compatibility/2006" xmlns:a14="http://schemas.microsoft.com/office/drawing/2010/main" val="FFFFFF" mc:Ignorable="a14" a14:legacySpreadsheetColorIndex="9"/>
            </a:gs>
            <a:gs pos="50000">
              <a:srgbClr xmlns:mc="http://schemas.openxmlformats.org/markup-compatibility/2006" xmlns:a14="http://schemas.microsoft.com/office/drawing/2010/main" val="010101" mc:Ignorable="a14" a14:legacySpreadsheetColorIndex="9">
                <a:gamma/>
                <a:shade val="66275"/>
                <a:invGamma/>
              </a:srgbClr>
            </a:gs>
            <a:gs pos="100000">
              <a:srgbClr xmlns:mc="http://schemas.openxmlformats.org/markup-compatibility/2006" xmlns:a14="http://schemas.microsoft.com/office/drawing/2010/main" val="FFFFFF" mc:Ignorable="a14" a14:legacySpreadsheetColorIndex="9"/>
            </a:gs>
          </a:gsLst>
          <a:lin ang="5400000" scaled="1"/>
        </a:gradFill>
        <a:ln w="9493">
          <a:solidFill>
            <a:srgbClr val="808080"/>
          </a:solidFill>
          <a:prstDash val="solid"/>
        </a:ln>
      </c:spPr>
    </c:plotArea>
    <c:legend>
      <c:legendPos val="r"/>
      <c:layout>
        <c:manualLayout>
          <c:xMode val="edge"/>
          <c:yMode val="edge"/>
          <c:x val="0.1050080775444265"/>
          <c:y val="0.82850230387868196"/>
          <c:w val="0.85945072697899838"/>
          <c:h val="0.15942000583260429"/>
        </c:manualLayout>
      </c:layout>
      <c:overlay val="0"/>
      <c:spPr>
        <a:solidFill>
          <a:srgbClr val="FFFFFF"/>
        </a:solidFill>
        <a:ln w="18987">
          <a:noFill/>
        </a:ln>
      </c:spPr>
      <c:txPr>
        <a:bodyPr/>
        <a:lstStyle/>
        <a:p>
          <a:pPr>
            <a:defRPr sz="785" b="0" i="0" u="none" strike="noStrike" baseline="0">
              <a:solidFill>
                <a:srgbClr val="000000"/>
              </a:solidFill>
              <a:latin typeface="Calibri" panose="020F0502020204030204" pitchFamily="34" charset="0"/>
              <a:ea typeface="Arial"/>
              <a:cs typeface="Arial"/>
            </a:defRPr>
          </a:pPr>
          <a:endParaRPr lang="en-US"/>
        </a:p>
      </c:txPr>
    </c:legend>
    <c:plotVisOnly val="1"/>
    <c:dispBlanksAs val="gap"/>
    <c:showDLblsOverMax val="0"/>
  </c:chart>
  <c:spPr>
    <a:solidFill>
      <a:srgbClr val="FFFFFF"/>
    </a:solidFill>
    <a:ln w="2373">
      <a:solidFill>
        <a:srgbClr val="000000"/>
      </a:solidFill>
      <a:prstDash val="solid"/>
    </a:ln>
  </c:spPr>
  <c:txPr>
    <a:bodyPr/>
    <a:lstStyle/>
    <a:p>
      <a:pPr>
        <a:defRPr sz="1103" b="0" i="0" u="none" strike="noStrike" baseline="0">
          <a:solidFill>
            <a:srgbClr val="000000"/>
          </a:solidFill>
          <a:latin typeface="Arial"/>
          <a:ea typeface="Arial"/>
          <a:cs typeface="Aria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98" b="1" i="0" u="none" strike="noStrike" baseline="0">
                <a:solidFill>
                  <a:srgbClr val="000000"/>
                </a:solidFill>
                <a:latin typeface="Calibri" panose="020F0502020204030204" pitchFamily="34" charset="0"/>
                <a:ea typeface="Arial"/>
                <a:cs typeface="Arial"/>
              </a:defRPr>
            </a:pPr>
            <a:r>
              <a:rPr lang="vi-VN" sz="898">
                <a:latin typeface="Calibri" panose="020F0502020204030204" pitchFamily="34" charset="0"/>
              </a:rPr>
              <a:t>Figura </a:t>
            </a:r>
            <a:r>
              <a:rPr lang="en-US" sz="898">
                <a:latin typeface="Calibri" panose="020F0502020204030204" pitchFamily="34" charset="0"/>
              </a:rPr>
              <a:t>IX</a:t>
            </a:r>
            <a:r>
              <a:rPr lang="vi-VN" sz="898">
                <a:latin typeface="Calibri" panose="020F0502020204030204" pitchFamily="34" charset="0"/>
              </a:rPr>
              <a:t>.4. Distribuţia procentuală a analizelor beta spectrometrice efectuate la SSRM Cernavodă</a:t>
            </a:r>
            <a:r>
              <a:rPr lang="en-US" sz="898">
                <a:latin typeface="Calibri" panose="020F0502020204030204" pitchFamily="34" charset="0"/>
              </a:rPr>
              <a:t> </a:t>
            </a:r>
            <a:r>
              <a:rPr lang="ro-RO" sz="898">
                <a:latin typeface="Calibri" panose="020F0502020204030204" pitchFamily="34" charset="0"/>
              </a:rPr>
              <a:t>în anul</a:t>
            </a:r>
            <a:r>
              <a:rPr lang="ro-RO" sz="898" baseline="0">
                <a:latin typeface="Calibri" panose="020F0502020204030204" pitchFamily="34" charset="0"/>
              </a:rPr>
              <a:t> 2015</a:t>
            </a:r>
            <a:endParaRPr lang="vi-VN" sz="1200">
              <a:latin typeface="Calibri" panose="020F0502020204030204" pitchFamily="34" charset="0"/>
            </a:endParaRPr>
          </a:p>
        </c:rich>
      </c:tx>
      <c:layout>
        <c:manualLayout>
          <c:xMode val="edge"/>
          <c:yMode val="edge"/>
          <c:x val="0.10987783420891722"/>
          <c:y val="1.9575697142660661E-2"/>
        </c:manualLayout>
      </c:layout>
      <c:overlay val="0"/>
      <c:spPr>
        <a:noFill/>
        <a:ln w="19016">
          <a:noFill/>
        </a:ln>
      </c:spPr>
    </c:title>
    <c:autoTitleDeleted val="0"/>
    <c:view3D>
      <c:rotX val="25"/>
      <c:hPercent val="50"/>
      <c:rotY val="230"/>
      <c:rAngAx val="0"/>
      <c:perspective val="0"/>
    </c:view3D>
    <c:floor>
      <c:thickness val="0"/>
    </c:floor>
    <c:sideWall>
      <c:thickness val="0"/>
    </c:sideWall>
    <c:backWall>
      <c:thickness val="0"/>
    </c:backWall>
    <c:plotArea>
      <c:layout>
        <c:manualLayout>
          <c:layoutTarget val="inner"/>
          <c:xMode val="edge"/>
          <c:yMode val="edge"/>
          <c:x val="6.9730586370839939E-2"/>
          <c:y val="0.22017727582032043"/>
          <c:w val="0.86845926351123703"/>
          <c:h val="0.62408936256705272"/>
        </c:manualLayout>
      </c:layout>
      <c:pie3DChart>
        <c:varyColors val="1"/>
        <c:ser>
          <c:idx val="0"/>
          <c:order val="0"/>
          <c:tx>
            <c:v>constanta</c:v>
          </c:tx>
          <c:spPr>
            <a:ln w="19016">
              <a:noFill/>
            </a:ln>
          </c:spPr>
          <c:explosion val="1"/>
          <c:dPt>
            <c:idx val="0"/>
            <c:bubble3D val="0"/>
            <c:spPr>
              <a:solidFill>
                <a:srgbClr val="9999FF"/>
              </a:solidFill>
              <a:ln w="19016">
                <a:noFill/>
              </a:ln>
            </c:spPr>
          </c:dPt>
          <c:dPt>
            <c:idx val="1"/>
            <c:bubble3D val="0"/>
            <c:explosion val="7"/>
            <c:spPr>
              <a:solidFill>
                <a:srgbClr val="993366"/>
              </a:solidFill>
              <a:ln w="19016">
                <a:noFill/>
              </a:ln>
            </c:spPr>
          </c:dPt>
          <c:dPt>
            <c:idx val="2"/>
            <c:bubble3D val="0"/>
            <c:explosion val="9"/>
            <c:spPr>
              <a:solidFill>
                <a:srgbClr val="FFFFCC"/>
              </a:solidFill>
              <a:ln w="19016">
                <a:noFill/>
              </a:ln>
            </c:spPr>
          </c:dPt>
          <c:dLbls>
            <c:dLbl>
              <c:idx val="0"/>
              <c:layout>
                <c:manualLayout>
                  <c:x val="9.6085480990791783E-2"/>
                  <c:y val="7.5231746113301898E-2"/>
                </c:manualLayout>
              </c:layout>
              <c:dLblPos val="bestFit"/>
              <c:showLegendKey val="1"/>
              <c:showVal val="0"/>
              <c:showCatName val="1"/>
              <c:showSerName val="0"/>
              <c:showPercent val="0"/>
              <c:showBubbleSize val="0"/>
            </c:dLbl>
            <c:dLbl>
              <c:idx val="1"/>
              <c:layout>
                <c:manualLayout>
                  <c:x val="0.12916896481442197"/>
                  <c:y val="7.0253188048463644E-2"/>
                </c:manualLayout>
              </c:layout>
              <c:dLblPos val="bestFit"/>
              <c:showLegendKey val="1"/>
              <c:showVal val="0"/>
              <c:showCatName val="1"/>
              <c:showSerName val="0"/>
              <c:showPercent val="0"/>
              <c:showBubbleSize val="0"/>
            </c:dLbl>
            <c:dLbl>
              <c:idx val="2"/>
              <c:layout>
                <c:manualLayout>
                  <c:x val="-2.1404844204300135E-2"/>
                  <c:y val="4.6484088478830903E-4"/>
                </c:manualLayout>
              </c:layout>
              <c:dLblPos val="bestFit"/>
              <c:showLegendKey val="1"/>
              <c:showVal val="0"/>
              <c:showCatName val="1"/>
              <c:showSerName val="0"/>
              <c:showPercent val="0"/>
              <c:showBubbleSize val="0"/>
            </c:dLbl>
            <c:dLbl>
              <c:idx val="3"/>
              <c:layout>
                <c:manualLayout>
                  <c:xMode val="edge"/>
                  <c:yMode val="edge"/>
                  <c:x val="8.6570477247502775E-2"/>
                  <c:y val="0.13866231647634583"/>
                </c:manualLayout>
              </c:layout>
              <c:dLblPos val="bestFit"/>
              <c:showLegendKey val="1"/>
              <c:showVal val="0"/>
              <c:showCatName val="1"/>
              <c:showSerName val="0"/>
              <c:showPercent val="0"/>
              <c:showBubbleSize val="0"/>
            </c:dLbl>
            <c:dLbl>
              <c:idx val="4"/>
              <c:layout>
                <c:manualLayout>
                  <c:xMode val="edge"/>
                  <c:yMode val="edge"/>
                  <c:x val="0.18756936736958935"/>
                  <c:y val="0.14845024469820556"/>
                </c:manualLayout>
              </c:layout>
              <c:dLblPos val="bestFit"/>
              <c:showLegendKey val="1"/>
              <c:showVal val="0"/>
              <c:showCatName val="1"/>
              <c:showSerName val="0"/>
              <c:showPercent val="0"/>
              <c:showBubbleSize val="0"/>
            </c:dLbl>
            <c:dLbl>
              <c:idx val="5"/>
              <c:layout>
                <c:manualLayout>
                  <c:xMode val="edge"/>
                  <c:yMode val="edge"/>
                  <c:x val="0.20976692563817981"/>
                  <c:y val="0.37030995106035891"/>
                </c:manualLayout>
              </c:layout>
              <c:dLblPos val="bestFit"/>
              <c:showLegendKey val="1"/>
              <c:showVal val="0"/>
              <c:showCatName val="1"/>
              <c:showSerName val="0"/>
              <c:showPercent val="0"/>
              <c:showBubbleSize val="0"/>
            </c:dLbl>
            <c:dLbl>
              <c:idx val="6"/>
              <c:layout>
                <c:manualLayout>
                  <c:xMode val="edge"/>
                  <c:yMode val="edge"/>
                  <c:x val="0.17536071032186459"/>
                  <c:y val="0.31158238172920066"/>
                </c:manualLayout>
              </c:layout>
              <c:dLblPos val="bestFit"/>
              <c:showLegendKey val="1"/>
              <c:showVal val="0"/>
              <c:showCatName val="1"/>
              <c:showSerName val="0"/>
              <c:showPercent val="0"/>
              <c:showBubbleSize val="0"/>
            </c:dLbl>
            <c:dLbl>
              <c:idx val="7"/>
              <c:layout>
                <c:manualLayout>
                  <c:xMode val="edge"/>
                  <c:yMode val="edge"/>
                  <c:x val="0.10654827968923418"/>
                  <c:y val="0.24959216965742251"/>
                </c:manualLayout>
              </c:layout>
              <c:dLblPos val="bestFit"/>
              <c:showLegendKey val="1"/>
              <c:showVal val="0"/>
              <c:showCatName val="1"/>
              <c:showSerName val="0"/>
              <c:showPercent val="0"/>
              <c:showBubbleSize val="0"/>
            </c:dLbl>
            <c:spPr>
              <a:solidFill>
                <a:srgbClr val="FFFFFF"/>
              </a:solidFill>
              <a:ln w="19016">
                <a:noFill/>
              </a:ln>
            </c:spPr>
            <c:txPr>
              <a:bodyPr/>
              <a:lstStyle/>
              <a:p>
                <a:pPr algn="ctr" rtl="1">
                  <a:defRPr sz="786" b="1" i="0" u="none" strike="noStrike" baseline="0">
                    <a:solidFill>
                      <a:srgbClr val="000000"/>
                    </a:solidFill>
                    <a:latin typeface="Calibri" panose="020F0502020204030204" pitchFamily="34" charset="0"/>
                    <a:ea typeface="Arial"/>
                    <a:cs typeface="Arial"/>
                  </a:defRPr>
                </a:pPr>
                <a:endParaRPr lang="en-US"/>
              </a:p>
            </c:txPr>
            <c:dLblPos val="outEnd"/>
            <c:showLegendKey val="1"/>
            <c:showVal val="0"/>
            <c:showCatName val="1"/>
            <c:showSerName val="0"/>
            <c:showPercent val="0"/>
            <c:showBubbleSize val="0"/>
            <c:showLeaderLines val="0"/>
          </c:dLbls>
          <c:cat>
            <c:strRef>
              <c:f>Foaie1!$D$3:$F$3</c:f>
              <c:strCache>
                <c:ptCount val="3"/>
                <c:pt idx="0">
                  <c:v>ape de suprafaţă</c:v>
                </c:pt>
                <c:pt idx="1">
                  <c:v>ape freatice</c:v>
                </c:pt>
                <c:pt idx="2">
                  <c:v>precipitaţii</c:v>
                </c:pt>
              </c:strCache>
            </c:strRef>
          </c:cat>
          <c:val>
            <c:numRef>
              <c:f>Foaie1!$D$4:$F$4</c:f>
              <c:numCache>
                <c:formatCode>General</c:formatCode>
                <c:ptCount val="3"/>
                <c:pt idx="0">
                  <c:v>92.3</c:v>
                </c:pt>
                <c:pt idx="1">
                  <c:v>4.5</c:v>
                </c:pt>
                <c:pt idx="2">
                  <c:v>3.2</c:v>
                </c:pt>
              </c:numCache>
            </c:numRef>
          </c:val>
        </c:ser>
        <c:dLbls>
          <c:showLegendKey val="0"/>
          <c:showVal val="0"/>
          <c:showCatName val="0"/>
          <c:showSerName val="0"/>
          <c:showPercent val="0"/>
          <c:showBubbleSize val="0"/>
          <c:showLeaderLines val="0"/>
        </c:dLbls>
      </c:pie3DChart>
      <c:spPr>
        <a:noFill/>
        <a:ln w="19016">
          <a:noFill/>
        </a:ln>
      </c:spPr>
    </c:plotArea>
    <c:plotVisOnly val="1"/>
    <c:dispBlanksAs val="zero"/>
    <c:showDLblsOverMax val="0"/>
  </c:chart>
  <c:spPr>
    <a:solidFill>
      <a:srgbClr val="FFFFFF"/>
    </a:solidFill>
    <a:ln w="6350" cap="flat" cmpd="sng" algn="ctr">
      <a:solidFill>
        <a:srgbClr val="000000"/>
      </a:solidFill>
      <a:prstDash val="solid"/>
      <a:miter lim="800000"/>
      <a:headEnd type="none" w="med" len="med"/>
      <a:tailEnd type="none" w="med" len="med"/>
    </a:ln>
  </c:spPr>
  <c:txPr>
    <a:bodyPr/>
    <a:lstStyle/>
    <a:p>
      <a:pPr>
        <a:defRPr sz="824" b="1" i="0" u="none" strike="noStrike" baseline="0">
          <a:solidFill>
            <a:srgbClr val="000000"/>
          </a:solidFill>
          <a:latin typeface="Arial"/>
          <a:ea typeface="Arial"/>
          <a:cs typeface="Arial"/>
        </a:defRPr>
      </a:pPr>
      <a:endParaRPr lang="en-US"/>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98" b="1" i="0" u="none" strike="noStrike" baseline="0">
                <a:solidFill>
                  <a:srgbClr val="000000"/>
                </a:solidFill>
                <a:latin typeface="Calibri" panose="020F0502020204030204" pitchFamily="34" charset="0"/>
                <a:ea typeface="Arial"/>
                <a:cs typeface="Arial"/>
              </a:defRPr>
            </a:pPr>
            <a:r>
              <a:rPr lang="vi-VN" sz="898">
                <a:latin typeface="Calibri" panose="020F0502020204030204" pitchFamily="34" charset="0"/>
              </a:rPr>
              <a:t>Figura</a:t>
            </a:r>
            <a:r>
              <a:rPr lang="en-US" sz="898">
                <a:latin typeface="Calibri" panose="020F0502020204030204" pitchFamily="34" charset="0"/>
              </a:rPr>
              <a:t> IX.47</a:t>
            </a:r>
            <a:r>
              <a:rPr lang="vi-VN" sz="898">
                <a:latin typeface="Calibri" panose="020F0502020204030204" pitchFamily="34" charset="0"/>
              </a:rPr>
              <a:t>. Concentraţii de Be-7 în vegetaţie spontană
- probe semestriale zona CNE Cernavodă - 201</a:t>
            </a:r>
            <a:r>
              <a:rPr lang="en-US" sz="898">
                <a:latin typeface="Calibri" panose="020F0502020204030204" pitchFamily="34" charset="0"/>
              </a:rPr>
              <a:t>5</a:t>
            </a:r>
            <a:endParaRPr lang="vi-VN" sz="1200">
              <a:latin typeface="Calibri" panose="020F0502020204030204" pitchFamily="34" charset="0"/>
            </a:endParaRPr>
          </a:p>
        </c:rich>
      </c:tx>
      <c:layout>
        <c:manualLayout>
          <c:xMode val="edge"/>
          <c:yMode val="edge"/>
          <c:x val="0.18506998444790046"/>
          <c:y val="2.083338756209193E-2"/>
        </c:manualLayout>
      </c:layout>
      <c:overlay val="0"/>
      <c:spPr>
        <a:noFill/>
        <a:ln w="19000">
          <a:noFill/>
        </a:ln>
      </c:spPr>
    </c:title>
    <c:autoTitleDeleted val="0"/>
    <c:plotArea>
      <c:layout>
        <c:manualLayout>
          <c:layoutTarget val="inner"/>
          <c:xMode val="edge"/>
          <c:yMode val="edge"/>
          <c:x val="0.10938310005184033"/>
          <c:y val="0.21666666666666667"/>
          <c:w val="0.86365992742353548"/>
          <c:h val="0.52159952978850621"/>
        </c:manualLayout>
      </c:layout>
      <c:barChart>
        <c:barDir val="col"/>
        <c:grouping val="clustered"/>
        <c:varyColors val="0"/>
        <c:ser>
          <c:idx val="0"/>
          <c:order val="0"/>
          <c:tx>
            <c:v>Seimeni</c:v>
          </c:tx>
          <c:spPr>
            <a:solidFill>
              <a:srgbClr val="9999FF"/>
            </a:solidFill>
            <a:ln w="9500">
              <a:solidFill>
                <a:srgbClr val="000000"/>
              </a:solidFill>
              <a:prstDash val="solid"/>
            </a:ln>
          </c:spPr>
          <c:invertIfNegative val="0"/>
          <c:cat>
            <c:strRef>
              <c:f>'Be-7'!$B$4:$C$4</c:f>
              <c:strCache>
                <c:ptCount val="2"/>
                <c:pt idx="0">
                  <c:v>Sem I</c:v>
                </c:pt>
                <c:pt idx="1">
                  <c:v>Sem II</c:v>
                </c:pt>
              </c:strCache>
            </c:strRef>
          </c:cat>
          <c:val>
            <c:numRef>
              <c:f>'Be-7'!$B$5:$C$5</c:f>
              <c:numCache>
                <c:formatCode>0.00</c:formatCode>
                <c:ptCount val="2"/>
                <c:pt idx="0">
                  <c:v>15.81</c:v>
                </c:pt>
                <c:pt idx="1">
                  <c:v>70.650000000000006</c:v>
                </c:pt>
              </c:numCache>
            </c:numRef>
          </c:val>
        </c:ser>
        <c:ser>
          <c:idx val="1"/>
          <c:order val="1"/>
          <c:tx>
            <c:v>Capidava</c:v>
          </c:tx>
          <c:spPr>
            <a:solidFill>
              <a:srgbClr val="993366"/>
            </a:solidFill>
            <a:ln w="9500">
              <a:solidFill>
                <a:srgbClr val="000000"/>
              </a:solidFill>
              <a:prstDash val="solid"/>
            </a:ln>
          </c:spPr>
          <c:invertIfNegative val="0"/>
          <c:cat>
            <c:strRef>
              <c:f>'Be-7'!$B$4:$C$4</c:f>
              <c:strCache>
                <c:ptCount val="2"/>
                <c:pt idx="0">
                  <c:v>Sem I</c:v>
                </c:pt>
                <c:pt idx="1">
                  <c:v>Sem II</c:v>
                </c:pt>
              </c:strCache>
            </c:strRef>
          </c:cat>
          <c:val>
            <c:numRef>
              <c:f>'Be-7'!$B$6:$C$6</c:f>
              <c:numCache>
                <c:formatCode>0.00</c:formatCode>
                <c:ptCount val="2"/>
                <c:pt idx="0">
                  <c:v>14.69</c:v>
                </c:pt>
                <c:pt idx="1">
                  <c:v>34.76</c:v>
                </c:pt>
              </c:numCache>
            </c:numRef>
          </c:val>
        </c:ser>
        <c:ser>
          <c:idx val="2"/>
          <c:order val="2"/>
          <c:tx>
            <c:v>Medgidia</c:v>
          </c:tx>
          <c:spPr>
            <a:solidFill>
              <a:srgbClr val="FFFFCC"/>
            </a:solidFill>
            <a:ln w="9500">
              <a:solidFill>
                <a:srgbClr val="000000"/>
              </a:solidFill>
              <a:prstDash val="solid"/>
            </a:ln>
          </c:spPr>
          <c:invertIfNegative val="0"/>
          <c:cat>
            <c:strRef>
              <c:f>'Be-7'!$B$4:$C$4</c:f>
              <c:strCache>
                <c:ptCount val="2"/>
                <c:pt idx="0">
                  <c:v>Sem I</c:v>
                </c:pt>
                <c:pt idx="1">
                  <c:v>Sem II</c:v>
                </c:pt>
              </c:strCache>
            </c:strRef>
          </c:cat>
          <c:val>
            <c:numRef>
              <c:f>'Be-7'!$B$7:$C$7</c:f>
              <c:numCache>
                <c:formatCode>0.00</c:formatCode>
                <c:ptCount val="2"/>
                <c:pt idx="0">
                  <c:v>58.58</c:v>
                </c:pt>
                <c:pt idx="1">
                  <c:v>60.85</c:v>
                </c:pt>
              </c:numCache>
            </c:numRef>
          </c:val>
        </c:ser>
        <c:ser>
          <c:idx val="3"/>
          <c:order val="3"/>
          <c:tx>
            <c:v>Tortomanu</c:v>
          </c:tx>
          <c:spPr>
            <a:solidFill>
              <a:srgbClr val="CCFFFF"/>
            </a:solidFill>
            <a:ln w="9500">
              <a:solidFill>
                <a:srgbClr val="000000"/>
              </a:solidFill>
              <a:prstDash val="solid"/>
            </a:ln>
          </c:spPr>
          <c:invertIfNegative val="0"/>
          <c:cat>
            <c:strRef>
              <c:f>'Be-7'!$B$4:$C$4</c:f>
              <c:strCache>
                <c:ptCount val="2"/>
                <c:pt idx="0">
                  <c:v>Sem I</c:v>
                </c:pt>
                <c:pt idx="1">
                  <c:v>Sem II</c:v>
                </c:pt>
              </c:strCache>
            </c:strRef>
          </c:cat>
          <c:val>
            <c:numRef>
              <c:f>'Be-7'!$B$8:$C$8</c:f>
              <c:numCache>
                <c:formatCode>0.00</c:formatCode>
                <c:ptCount val="2"/>
                <c:pt idx="0">
                  <c:v>78.930000000000007</c:v>
                </c:pt>
                <c:pt idx="1">
                  <c:v>87.21</c:v>
                </c:pt>
              </c:numCache>
            </c:numRef>
          </c:val>
        </c:ser>
        <c:ser>
          <c:idx val="4"/>
          <c:order val="4"/>
          <c:tx>
            <c:v>Cochirleni</c:v>
          </c:tx>
          <c:spPr>
            <a:solidFill>
              <a:srgbClr val="660066"/>
            </a:solidFill>
            <a:ln w="9500">
              <a:solidFill>
                <a:srgbClr val="000000"/>
              </a:solidFill>
              <a:prstDash val="solid"/>
            </a:ln>
          </c:spPr>
          <c:invertIfNegative val="0"/>
          <c:cat>
            <c:strRef>
              <c:f>'Be-7'!$B$4:$C$4</c:f>
              <c:strCache>
                <c:ptCount val="2"/>
                <c:pt idx="0">
                  <c:v>Sem I</c:v>
                </c:pt>
                <c:pt idx="1">
                  <c:v>Sem II</c:v>
                </c:pt>
              </c:strCache>
            </c:strRef>
          </c:cat>
          <c:val>
            <c:numRef>
              <c:f>'Be-7'!$B$9:$C$9</c:f>
              <c:numCache>
                <c:formatCode>0.00</c:formatCode>
                <c:ptCount val="2"/>
                <c:pt idx="0">
                  <c:v>40.43</c:v>
                </c:pt>
                <c:pt idx="1">
                  <c:v>74.16</c:v>
                </c:pt>
              </c:numCache>
            </c:numRef>
          </c:val>
        </c:ser>
        <c:ser>
          <c:idx val="5"/>
          <c:order val="5"/>
          <c:tx>
            <c:v>Ecluză Cernavodă</c:v>
          </c:tx>
          <c:spPr>
            <a:solidFill>
              <a:srgbClr val="FF8080"/>
            </a:solidFill>
            <a:ln w="9500">
              <a:solidFill>
                <a:srgbClr val="000000"/>
              </a:solidFill>
              <a:prstDash val="solid"/>
            </a:ln>
          </c:spPr>
          <c:invertIfNegative val="0"/>
          <c:cat>
            <c:strRef>
              <c:f>'Be-7'!$B$4:$C$4</c:f>
              <c:strCache>
                <c:ptCount val="2"/>
                <c:pt idx="0">
                  <c:v>Sem I</c:v>
                </c:pt>
                <c:pt idx="1">
                  <c:v>Sem II</c:v>
                </c:pt>
              </c:strCache>
            </c:strRef>
          </c:cat>
          <c:val>
            <c:numRef>
              <c:f>'Be-7'!$B$10:$C$10</c:f>
              <c:numCache>
                <c:formatCode>0.00</c:formatCode>
                <c:ptCount val="2"/>
                <c:pt idx="0">
                  <c:v>31.51</c:v>
                </c:pt>
                <c:pt idx="1">
                  <c:v>68.2</c:v>
                </c:pt>
              </c:numCache>
            </c:numRef>
          </c:val>
        </c:ser>
        <c:ser>
          <c:idx val="6"/>
          <c:order val="6"/>
          <c:tx>
            <c:v>Feteşti</c:v>
          </c:tx>
          <c:spPr>
            <a:solidFill>
              <a:srgbClr val="0066CC"/>
            </a:solidFill>
            <a:ln w="9500">
              <a:solidFill>
                <a:srgbClr val="000000"/>
              </a:solidFill>
              <a:prstDash val="solid"/>
            </a:ln>
          </c:spPr>
          <c:invertIfNegative val="0"/>
          <c:val>
            <c:numRef>
              <c:f>'Be-7'!$B$11:$C$11</c:f>
              <c:numCache>
                <c:formatCode>0.00</c:formatCode>
                <c:ptCount val="2"/>
                <c:pt idx="0">
                  <c:v>40.369999999999997</c:v>
                </c:pt>
                <c:pt idx="1">
                  <c:v>11.07</c:v>
                </c:pt>
              </c:numCache>
            </c:numRef>
          </c:val>
        </c:ser>
        <c:ser>
          <c:idx val="7"/>
          <c:order val="7"/>
          <c:tx>
            <c:v>Rasova</c:v>
          </c:tx>
          <c:spPr>
            <a:solidFill>
              <a:srgbClr val="CCCCFF"/>
            </a:solidFill>
            <a:ln w="9500">
              <a:solidFill>
                <a:srgbClr val="000000"/>
              </a:solidFill>
              <a:prstDash val="solid"/>
            </a:ln>
          </c:spPr>
          <c:invertIfNegative val="0"/>
          <c:val>
            <c:numRef>
              <c:f>'Be-7'!$B$12:$C$12</c:f>
              <c:numCache>
                <c:formatCode>0.00</c:formatCode>
                <c:ptCount val="2"/>
                <c:pt idx="0">
                  <c:v>17.239999999999998</c:v>
                </c:pt>
                <c:pt idx="1">
                  <c:v>48.75</c:v>
                </c:pt>
              </c:numCache>
            </c:numRef>
          </c:val>
        </c:ser>
        <c:ser>
          <c:idx val="8"/>
          <c:order val="8"/>
          <c:tx>
            <c:v>Mircea Vodă</c:v>
          </c:tx>
          <c:spPr>
            <a:solidFill>
              <a:srgbClr val="000080"/>
            </a:solidFill>
            <a:ln w="9500">
              <a:solidFill>
                <a:srgbClr val="000000"/>
              </a:solidFill>
              <a:prstDash val="solid"/>
            </a:ln>
          </c:spPr>
          <c:invertIfNegative val="0"/>
          <c:val>
            <c:numRef>
              <c:f>'Be-7'!$B$13:$C$13</c:f>
              <c:numCache>
                <c:formatCode>0.00</c:formatCode>
                <c:ptCount val="2"/>
                <c:pt idx="0">
                  <c:v>61.38</c:v>
                </c:pt>
                <c:pt idx="1">
                  <c:v>39.409999999999997</c:v>
                </c:pt>
              </c:numCache>
            </c:numRef>
          </c:val>
        </c:ser>
        <c:dLbls>
          <c:showLegendKey val="0"/>
          <c:showVal val="0"/>
          <c:showCatName val="0"/>
          <c:showSerName val="0"/>
          <c:showPercent val="0"/>
          <c:showBubbleSize val="0"/>
        </c:dLbls>
        <c:gapWidth val="150"/>
        <c:axId val="117944320"/>
        <c:axId val="117945856"/>
      </c:barChart>
      <c:catAx>
        <c:axId val="117944320"/>
        <c:scaling>
          <c:orientation val="minMax"/>
        </c:scaling>
        <c:delete val="0"/>
        <c:axPos val="b"/>
        <c:numFmt formatCode="General" sourceLinked="1"/>
        <c:majorTickMark val="out"/>
        <c:minorTickMark val="none"/>
        <c:tickLblPos val="nextTo"/>
        <c:spPr>
          <a:ln w="2375">
            <a:solidFill>
              <a:srgbClr val="000000"/>
            </a:solidFill>
            <a:prstDash val="solid"/>
          </a:ln>
        </c:spPr>
        <c:txPr>
          <a:bodyPr rot="0" vert="horz"/>
          <a:lstStyle/>
          <a:p>
            <a:pPr>
              <a:defRPr sz="673" b="0" i="0" u="none" strike="noStrike" baseline="0">
                <a:solidFill>
                  <a:srgbClr val="000000"/>
                </a:solidFill>
                <a:latin typeface="Arial"/>
                <a:ea typeface="Arial"/>
                <a:cs typeface="Arial"/>
              </a:defRPr>
            </a:pPr>
            <a:endParaRPr lang="en-US"/>
          </a:p>
        </c:txPr>
        <c:crossAx val="117945856"/>
        <c:crosses val="autoZero"/>
        <c:auto val="1"/>
        <c:lblAlgn val="ctr"/>
        <c:lblOffset val="100"/>
        <c:tickLblSkip val="1"/>
        <c:tickMarkSkip val="1"/>
        <c:noMultiLvlLbl val="0"/>
      </c:catAx>
      <c:valAx>
        <c:axId val="117945856"/>
        <c:scaling>
          <c:orientation val="minMax"/>
          <c:max val="200"/>
        </c:scaling>
        <c:delete val="0"/>
        <c:axPos val="l"/>
        <c:majorGridlines>
          <c:spPr>
            <a:ln w="2375">
              <a:solidFill>
                <a:srgbClr val="000000"/>
              </a:solidFill>
              <a:prstDash val="solid"/>
            </a:ln>
          </c:spPr>
        </c:majorGridlines>
        <c:title>
          <c:tx>
            <c:rich>
              <a:bodyPr/>
              <a:lstStyle/>
              <a:p>
                <a:pPr>
                  <a:defRPr sz="823" b="1" i="0" u="none" strike="noStrike" baseline="0">
                    <a:solidFill>
                      <a:srgbClr val="000000"/>
                    </a:solidFill>
                    <a:latin typeface="Calibri" panose="020F0502020204030204" pitchFamily="34" charset="0"/>
                    <a:ea typeface="Arial"/>
                    <a:cs typeface="Arial"/>
                  </a:defRPr>
                </a:pPr>
                <a:r>
                  <a:rPr lang="vi-VN">
                    <a:latin typeface="Calibri" panose="020F0502020204030204" pitchFamily="34" charset="0"/>
                  </a:rPr>
                  <a:t>Bq/kg m</a:t>
                </a:r>
                <a:r>
                  <a:rPr lang="en-US">
                    <a:latin typeface="Calibri" panose="020F0502020204030204" pitchFamily="34" charset="0"/>
                  </a:rPr>
                  <a:t>.v.</a:t>
                </a:r>
                <a:endParaRPr lang="vi-VN">
                  <a:latin typeface="Calibri" panose="020F0502020204030204" pitchFamily="34" charset="0"/>
                </a:endParaRPr>
              </a:p>
            </c:rich>
          </c:tx>
          <c:layout>
            <c:manualLayout>
              <c:xMode val="edge"/>
              <c:yMode val="edge"/>
              <c:x val="1.7107309486780714E-2"/>
              <c:y val="0.3171818398733216"/>
            </c:manualLayout>
          </c:layout>
          <c:overlay val="0"/>
          <c:spPr>
            <a:noFill/>
            <a:ln w="19000">
              <a:noFill/>
            </a:ln>
          </c:spPr>
        </c:title>
        <c:numFmt formatCode="0" sourceLinked="0"/>
        <c:majorTickMark val="out"/>
        <c:minorTickMark val="none"/>
        <c:tickLblPos val="nextTo"/>
        <c:spPr>
          <a:ln w="2375">
            <a:solidFill>
              <a:srgbClr val="000000"/>
            </a:solidFill>
            <a:prstDash val="solid"/>
          </a:ln>
        </c:spPr>
        <c:txPr>
          <a:bodyPr rot="0" vert="horz"/>
          <a:lstStyle/>
          <a:p>
            <a:pPr>
              <a:defRPr sz="673" b="0" i="0" u="none" strike="noStrike" baseline="0">
                <a:solidFill>
                  <a:srgbClr val="000000"/>
                </a:solidFill>
                <a:latin typeface="Arial"/>
                <a:ea typeface="Arial"/>
                <a:cs typeface="Arial"/>
              </a:defRPr>
            </a:pPr>
            <a:endParaRPr lang="en-US"/>
          </a:p>
        </c:txPr>
        <c:crossAx val="117944320"/>
        <c:crosses val="autoZero"/>
        <c:crossBetween val="between"/>
        <c:majorUnit val="100"/>
        <c:minorUnit val="0.6"/>
      </c:valAx>
      <c:spPr>
        <a:gradFill rotWithShape="0">
          <a:gsLst>
            <a:gs pos="0">
              <a:srgbClr xmlns:mc="http://schemas.openxmlformats.org/markup-compatibility/2006" xmlns:a14="http://schemas.microsoft.com/office/drawing/2010/main" val="010101" mc:Ignorable="a14" a14:legacySpreadsheetColorIndex="9">
                <a:gamma/>
                <a:shade val="66275"/>
                <a:invGamma/>
              </a:srgbClr>
            </a:gs>
            <a:gs pos="100000">
              <a:srgbClr xmlns:mc="http://schemas.openxmlformats.org/markup-compatibility/2006" xmlns:a14="http://schemas.microsoft.com/office/drawing/2010/main" val="FFFFFF" mc:Ignorable="a14" a14:legacySpreadsheetColorIndex="9"/>
            </a:gs>
          </a:gsLst>
          <a:lin ang="5400000" scaled="1"/>
        </a:gradFill>
        <a:ln w="9500">
          <a:solidFill>
            <a:srgbClr val="808080"/>
          </a:solidFill>
          <a:prstDash val="solid"/>
        </a:ln>
      </c:spPr>
    </c:plotArea>
    <c:legend>
      <c:legendPos val="r"/>
      <c:layout>
        <c:manualLayout>
          <c:xMode val="edge"/>
          <c:yMode val="edge"/>
          <c:x val="5.5099170146499961E-2"/>
          <c:y val="0.81740699767900915"/>
          <c:w val="0.90757562769661559"/>
          <c:h val="0.17842649834059998"/>
        </c:manualLayout>
      </c:layout>
      <c:overlay val="0"/>
      <c:spPr>
        <a:solidFill>
          <a:srgbClr val="FFFFFF"/>
        </a:solidFill>
        <a:ln w="19000">
          <a:noFill/>
        </a:ln>
      </c:spPr>
      <c:txPr>
        <a:bodyPr/>
        <a:lstStyle/>
        <a:p>
          <a:pPr>
            <a:defRPr sz="785" b="0" i="0" u="none" strike="noStrike" baseline="0">
              <a:solidFill>
                <a:srgbClr val="000000"/>
              </a:solidFill>
              <a:latin typeface="Calibri Light" panose="020F0302020204030204" pitchFamily="34" charset="0"/>
              <a:ea typeface="Arial"/>
              <a:cs typeface="Arial"/>
            </a:defRPr>
          </a:pPr>
          <a:endParaRPr lang="en-US"/>
        </a:p>
      </c:txPr>
    </c:legend>
    <c:plotVisOnly val="1"/>
    <c:dispBlanksAs val="gap"/>
    <c:showDLblsOverMax val="0"/>
  </c:chart>
  <c:spPr>
    <a:solidFill>
      <a:srgbClr val="FFFFFF"/>
    </a:solidFill>
    <a:ln w="2375">
      <a:solidFill>
        <a:srgbClr val="000000"/>
      </a:solidFill>
      <a:prstDash val="solid"/>
    </a:ln>
  </c:spPr>
  <c:txPr>
    <a:bodyPr/>
    <a:lstStyle/>
    <a:p>
      <a:pPr>
        <a:defRPr sz="898" b="0" i="0" u="none" strike="noStrike" baseline="0">
          <a:solidFill>
            <a:srgbClr val="000000"/>
          </a:solidFill>
          <a:latin typeface="Arial"/>
          <a:ea typeface="Arial"/>
          <a:cs typeface="Arial"/>
        </a:defRPr>
      </a:pPr>
      <a:endParaRPr lang="en-US"/>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Calibri" panose="020F0502020204030204" pitchFamily="34" charset="0"/>
                <a:ea typeface="Arial"/>
                <a:cs typeface="Arial"/>
              </a:defRPr>
            </a:pPr>
            <a:r>
              <a:rPr lang="vi-VN" sz="1200">
                <a:latin typeface="Calibri" panose="020F0502020204030204" pitchFamily="34" charset="0"/>
              </a:rPr>
              <a:t>Figura </a:t>
            </a:r>
            <a:r>
              <a:rPr lang="ro-RO" sz="1200" b="1" i="0" u="none" strike="noStrike" kern="1200" baseline="0">
                <a:solidFill>
                  <a:srgbClr val="000000"/>
                </a:solidFill>
                <a:latin typeface="Calibri" panose="020F0502020204030204" pitchFamily="34" charset="0"/>
                <a:cs typeface="Arial"/>
              </a:rPr>
              <a:t>IX</a:t>
            </a:r>
            <a:r>
              <a:rPr lang="ro-RO" sz="1200">
                <a:latin typeface="Calibri" panose="020F0502020204030204" pitchFamily="34" charset="0"/>
              </a:rPr>
              <a:t>.48</a:t>
            </a:r>
            <a:r>
              <a:rPr lang="vi-VN" sz="1200">
                <a:latin typeface="Calibri" panose="020F0502020204030204" pitchFamily="34" charset="0"/>
              </a:rPr>
              <a:t>. Concentraţii de K- 40 în probe de vegetaţie spontană</a:t>
            </a:r>
            <a:r>
              <a:rPr lang="ro-RO" sz="1200">
                <a:latin typeface="Calibri" panose="020F0502020204030204" pitchFamily="34" charset="0"/>
              </a:rPr>
              <a:t> colectate in cadrul programului</a:t>
            </a:r>
            <a:r>
              <a:rPr lang="ro-RO" sz="1200" baseline="0">
                <a:latin typeface="Calibri" panose="020F0502020204030204" pitchFamily="34" charset="0"/>
              </a:rPr>
              <a:t> special al SSRM Constanţa</a:t>
            </a:r>
            <a:endParaRPr lang="vi-VN" sz="1200">
              <a:latin typeface="Calibri" panose="020F0502020204030204" pitchFamily="34" charset="0"/>
            </a:endParaRPr>
          </a:p>
        </c:rich>
      </c:tx>
      <c:layout>
        <c:manualLayout>
          <c:xMode val="edge"/>
          <c:yMode val="edge"/>
          <c:x val="0.13251155624036981"/>
          <c:y val="0"/>
        </c:manualLayout>
      </c:layout>
      <c:overlay val="0"/>
      <c:spPr>
        <a:noFill/>
        <a:ln w="25398">
          <a:noFill/>
        </a:ln>
      </c:spPr>
    </c:title>
    <c:autoTitleDeleted val="0"/>
    <c:plotArea>
      <c:layout>
        <c:manualLayout>
          <c:layoutTarget val="inner"/>
          <c:xMode val="edge"/>
          <c:yMode val="edge"/>
          <c:x val="0.11700970610843599"/>
          <c:y val="0.17892156862745098"/>
          <c:w val="0.85900644816969962"/>
          <c:h val="0.44728539447274973"/>
        </c:manualLayout>
      </c:layout>
      <c:barChart>
        <c:barDir val="col"/>
        <c:grouping val="clustered"/>
        <c:varyColors val="0"/>
        <c:ser>
          <c:idx val="0"/>
          <c:order val="0"/>
          <c:tx>
            <c:strRef>
              <c:f>Sheet1!$A$2</c:f>
              <c:strCache>
                <c:ptCount val="1"/>
              </c:strCache>
            </c:strRef>
          </c:tx>
          <c:spPr>
            <a:solidFill>
              <a:srgbClr val="00FFFF"/>
            </a:solidFill>
            <a:ln w="12699">
              <a:solidFill>
                <a:srgbClr val="000000"/>
              </a:solidFill>
              <a:prstDash val="solid"/>
            </a:ln>
          </c:spPr>
          <c:invertIfNegative val="0"/>
          <c:cat>
            <c:strRef>
              <c:f>Sheet1!$B$1:$J$1</c:f>
              <c:strCache>
                <c:ptCount val="9"/>
                <c:pt idx="0">
                  <c:v>Mamaia Sat</c:v>
                </c:pt>
                <c:pt idx="1">
                  <c:v>Năvodari-vestul oraşului</c:v>
                </c:pt>
                <c:pt idx="2">
                  <c:v>Năvodari-sudul Combinatului</c:v>
                </c:pt>
                <c:pt idx="3">
                  <c:v>Lumina</c:v>
                </c:pt>
                <c:pt idx="4">
                  <c:v>Vadu-vestul localităţii</c:v>
                </c:pt>
                <c:pt idx="5">
                  <c:v>Vadu-nordul localităţii</c:v>
                </c:pt>
                <c:pt idx="6">
                  <c:v>Vadu-estul localităţii</c:v>
                </c:pt>
                <c:pt idx="7">
                  <c:v>Vadu-sudul localităţii</c:v>
                </c:pt>
                <c:pt idx="8">
                  <c:v>medie Constanţa</c:v>
                </c:pt>
              </c:strCache>
            </c:strRef>
          </c:cat>
          <c:val>
            <c:numRef>
              <c:f>Sheet1!$B$2:$J$2</c:f>
              <c:numCache>
                <c:formatCode>General</c:formatCode>
                <c:ptCount val="9"/>
                <c:pt idx="0">
                  <c:v>195.34100000000001</c:v>
                </c:pt>
                <c:pt idx="1">
                  <c:v>198.756</c:v>
                </c:pt>
                <c:pt idx="2">
                  <c:v>263.43200000000002</c:v>
                </c:pt>
                <c:pt idx="3">
                  <c:v>198.077</c:v>
                </c:pt>
                <c:pt idx="4">
                  <c:v>168.4</c:v>
                </c:pt>
                <c:pt idx="5">
                  <c:v>114.069</c:v>
                </c:pt>
                <c:pt idx="6">
                  <c:v>152.77600000000001</c:v>
                </c:pt>
                <c:pt idx="7">
                  <c:v>161.15</c:v>
                </c:pt>
                <c:pt idx="8">
                  <c:v>227.512</c:v>
                </c:pt>
              </c:numCache>
            </c:numRef>
          </c:val>
        </c:ser>
        <c:dLbls>
          <c:showLegendKey val="0"/>
          <c:showVal val="0"/>
          <c:showCatName val="0"/>
          <c:showSerName val="0"/>
          <c:showPercent val="0"/>
          <c:showBubbleSize val="0"/>
        </c:dLbls>
        <c:gapWidth val="410"/>
        <c:axId val="114784128"/>
        <c:axId val="114785664"/>
      </c:barChart>
      <c:catAx>
        <c:axId val="114784128"/>
        <c:scaling>
          <c:orientation val="minMax"/>
        </c:scaling>
        <c:delete val="0"/>
        <c:axPos val="b"/>
        <c:numFmt formatCode="General" sourceLinked="1"/>
        <c:majorTickMark val="out"/>
        <c:minorTickMark val="none"/>
        <c:tickLblPos val="nextTo"/>
        <c:spPr>
          <a:ln w="3175">
            <a:solidFill>
              <a:srgbClr val="000000"/>
            </a:solidFill>
            <a:prstDash val="solid"/>
          </a:ln>
        </c:spPr>
        <c:txPr>
          <a:bodyPr rot="-1500000" vert="horz"/>
          <a:lstStyle/>
          <a:p>
            <a:pPr>
              <a:defRPr sz="950" b="0" i="0" u="none" strike="noStrike" baseline="0">
                <a:solidFill>
                  <a:srgbClr val="000000"/>
                </a:solidFill>
                <a:latin typeface="Arial"/>
                <a:ea typeface="Arial"/>
                <a:cs typeface="Arial"/>
              </a:defRPr>
            </a:pPr>
            <a:endParaRPr lang="en-US"/>
          </a:p>
        </c:txPr>
        <c:crossAx val="114785664"/>
        <c:crosses val="autoZero"/>
        <c:auto val="1"/>
        <c:lblAlgn val="ctr"/>
        <c:lblOffset val="100"/>
        <c:tickLblSkip val="1"/>
        <c:tickMarkSkip val="1"/>
        <c:noMultiLvlLbl val="0"/>
      </c:catAx>
      <c:valAx>
        <c:axId val="114785664"/>
        <c:scaling>
          <c:orientation val="minMax"/>
        </c:scaling>
        <c:delete val="0"/>
        <c:axPos val="l"/>
        <c:majorGridlines>
          <c:spPr>
            <a:ln w="3175">
              <a:solidFill>
                <a:srgbClr val="000000"/>
              </a:solidFill>
              <a:prstDash val="solid"/>
            </a:ln>
          </c:spPr>
        </c:majorGridlines>
        <c:title>
          <c:tx>
            <c:rich>
              <a:bodyPr/>
              <a:lstStyle/>
              <a:p>
                <a:pPr>
                  <a:defRPr sz="1100" b="1" i="0" u="none" strike="noStrike" baseline="0">
                    <a:solidFill>
                      <a:srgbClr val="000000"/>
                    </a:solidFill>
                    <a:latin typeface="Calibri" panose="020F0502020204030204" pitchFamily="34" charset="0"/>
                    <a:ea typeface="Arial"/>
                    <a:cs typeface="Arial"/>
                  </a:defRPr>
                </a:pPr>
                <a:r>
                  <a:rPr lang="vi-VN" sz="1100">
                    <a:latin typeface="Calibri" panose="020F0502020204030204" pitchFamily="34" charset="0"/>
                  </a:rPr>
                  <a:t>Bq/kg m</a:t>
                </a:r>
                <a:r>
                  <a:rPr lang="ro-RO" sz="1100">
                    <a:latin typeface="Calibri" panose="020F0502020204030204" pitchFamily="34" charset="0"/>
                  </a:rPr>
                  <a:t>.</a:t>
                </a:r>
                <a:r>
                  <a:rPr lang="vi-VN" sz="1100">
                    <a:latin typeface="Calibri" panose="020F0502020204030204" pitchFamily="34" charset="0"/>
                  </a:rPr>
                  <a:t>v</a:t>
                </a:r>
                <a:r>
                  <a:rPr lang="ro-RO" sz="1100">
                    <a:latin typeface="Calibri" panose="020F0502020204030204" pitchFamily="34" charset="0"/>
                  </a:rPr>
                  <a:t>.</a:t>
                </a:r>
                <a:endParaRPr lang="vi-VN" sz="1100">
                  <a:latin typeface="Calibri" panose="020F0502020204030204" pitchFamily="34" charset="0"/>
                </a:endParaRPr>
              </a:p>
            </c:rich>
          </c:tx>
          <c:layout>
            <c:manualLayout>
              <c:xMode val="edge"/>
              <c:yMode val="edge"/>
              <c:x val="1.7042604120615423E-2"/>
              <c:y val="0.30560261048450027"/>
            </c:manualLayout>
          </c:layout>
          <c:overlay val="0"/>
          <c:spPr>
            <a:noFill/>
            <a:ln w="25398">
              <a:noFill/>
            </a:ln>
          </c:spPr>
        </c:title>
        <c:numFmt formatCode="General" sourceLinked="1"/>
        <c:majorTickMark val="out"/>
        <c:minorTickMark val="none"/>
        <c:tickLblPos val="nextTo"/>
        <c:spPr>
          <a:ln w="3175">
            <a:solidFill>
              <a:srgbClr val="000000"/>
            </a:solidFill>
            <a:prstDash val="solid"/>
          </a:ln>
        </c:spPr>
        <c:txPr>
          <a:bodyPr rot="0" vert="horz"/>
          <a:lstStyle/>
          <a:p>
            <a:pPr>
              <a:defRPr sz="950" b="0" i="0" u="none" strike="noStrike" baseline="0">
                <a:solidFill>
                  <a:srgbClr val="000000"/>
                </a:solidFill>
                <a:latin typeface="Arial"/>
                <a:ea typeface="Arial"/>
                <a:cs typeface="Arial"/>
              </a:defRPr>
            </a:pPr>
            <a:endParaRPr lang="en-US"/>
          </a:p>
        </c:txPr>
        <c:crossAx val="114784128"/>
        <c:crosses val="autoZero"/>
        <c:crossBetween val="between"/>
      </c:valAx>
      <c:spPr>
        <a:gradFill rotWithShape="0">
          <a:gsLst>
            <a:gs pos="0">
              <a:srgbClr xmlns:mc="http://schemas.openxmlformats.org/markup-compatibility/2006" xmlns:a14="http://schemas.microsoft.com/office/drawing/2010/main" val="000000" mc:Ignorable="a14" a14:legacySpreadsheetColorIndex="9">
                <a:gamma/>
                <a:shade val="46275"/>
                <a:invGamma/>
              </a:srgbClr>
            </a:gs>
            <a:gs pos="100000">
              <a:srgbClr xmlns:mc="http://schemas.openxmlformats.org/markup-compatibility/2006" xmlns:a14="http://schemas.microsoft.com/office/drawing/2010/main" val="FFFFFF" mc:Ignorable="a14" a14:legacySpreadsheetColorIndex="9"/>
            </a:gs>
          </a:gsLst>
          <a:lin ang="5400000" scaled="0"/>
        </a:gradFill>
        <a:ln w="12699">
          <a:solidFill>
            <a:srgbClr val="808080"/>
          </a:solidFill>
          <a:prstDash val="solid"/>
        </a:ln>
      </c:spPr>
    </c:plotArea>
    <c:plotVisOnly val="1"/>
    <c:dispBlanksAs val="gap"/>
    <c:showDLblsOverMax val="0"/>
  </c:chart>
  <c:spPr>
    <a:noFill/>
    <a:ln w="9525" cap="flat" cmpd="sng" algn="ctr">
      <a:solidFill>
        <a:sysClr val="windowText" lastClr="000000"/>
      </a:solidFill>
      <a:prstDash val="solid"/>
      <a:miter lim="800000"/>
      <a:headEnd type="none" w="med" len="med"/>
      <a:tailEnd type="none" w="med" len="med"/>
    </a:ln>
  </c:spPr>
  <c:txPr>
    <a:bodyPr/>
    <a:lstStyle/>
    <a:p>
      <a:pPr>
        <a:defRPr sz="850" b="1" i="0" u="none" strike="noStrike" baseline="0">
          <a:solidFill>
            <a:srgbClr val="000000"/>
          </a:solidFill>
          <a:latin typeface="Arial"/>
          <a:ea typeface="Arial"/>
          <a:cs typeface="Arial"/>
        </a:defRPr>
      </a:pPr>
      <a:endParaRPr lang="en-US"/>
    </a:p>
  </c:txPr>
  <c:externalData r:id="rId2">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Calibri" panose="020F0502020204030204" pitchFamily="34" charset="0"/>
                <a:ea typeface="Arial"/>
                <a:cs typeface="Arial"/>
              </a:defRPr>
            </a:pPr>
            <a:r>
              <a:rPr lang="vi-VN" sz="1200">
                <a:latin typeface="Calibri" panose="020F0502020204030204" pitchFamily="34" charset="0"/>
              </a:rPr>
              <a:t>Figura </a:t>
            </a:r>
            <a:r>
              <a:rPr lang="ro-RO" sz="1200" b="1" i="0" u="none" strike="noStrike" kern="1200" baseline="0">
                <a:solidFill>
                  <a:srgbClr val="000000"/>
                </a:solidFill>
                <a:latin typeface="Calibri" panose="020F0502020204030204" pitchFamily="34" charset="0"/>
                <a:cs typeface="Arial"/>
              </a:rPr>
              <a:t>IX</a:t>
            </a:r>
            <a:r>
              <a:rPr lang="ro-RO" sz="1200">
                <a:latin typeface="Calibri" panose="020F0502020204030204" pitchFamily="34" charset="0"/>
              </a:rPr>
              <a:t>.49</a:t>
            </a:r>
            <a:r>
              <a:rPr lang="vi-VN" sz="1200">
                <a:latin typeface="Calibri" panose="020F0502020204030204" pitchFamily="34" charset="0"/>
              </a:rPr>
              <a:t>. Concentraţii de Be - 7 în probe de vegetaţie spontană</a:t>
            </a:r>
            <a:r>
              <a:rPr lang="ro-RO" sz="1200">
                <a:latin typeface="Calibri" panose="020F0502020204030204" pitchFamily="34" charset="0"/>
              </a:rPr>
              <a:t> colectate</a:t>
            </a:r>
            <a:r>
              <a:rPr lang="ro-RO" sz="1200" baseline="0">
                <a:latin typeface="Calibri" panose="020F0502020204030204" pitchFamily="34" charset="0"/>
              </a:rPr>
              <a:t> în cadrul programului special al SSRM Constanţa</a:t>
            </a:r>
            <a:endParaRPr lang="vi-VN" sz="1200">
              <a:latin typeface="Calibri" panose="020F0502020204030204" pitchFamily="34" charset="0"/>
            </a:endParaRPr>
          </a:p>
        </c:rich>
      </c:tx>
      <c:layout>
        <c:manualLayout>
          <c:xMode val="edge"/>
          <c:yMode val="edge"/>
          <c:x val="0.12732919254658384"/>
          <c:y val="0"/>
        </c:manualLayout>
      </c:layout>
      <c:overlay val="0"/>
      <c:spPr>
        <a:noFill/>
        <a:ln w="25399">
          <a:noFill/>
        </a:ln>
      </c:spPr>
    </c:title>
    <c:autoTitleDeleted val="0"/>
    <c:plotArea>
      <c:layout>
        <c:manualLayout>
          <c:layoutTarget val="inner"/>
          <c:xMode val="edge"/>
          <c:yMode val="edge"/>
          <c:x val="0.10669524107651682"/>
          <c:y val="0.18249708110329627"/>
          <c:w val="0.85651022979925673"/>
          <c:h val="0.48712117391020071"/>
        </c:manualLayout>
      </c:layout>
      <c:barChart>
        <c:barDir val="col"/>
        <c:grouping val="clustered"/>
        <c:varyColors val="0"/>
        <c:ser>
          <c:idx val="0"/>
          <c:order val="0"/>
          <c:tx>
            <c:strRef>
              <c:f>Sheet1!$A$2</c:f>
              <c:strCache>
                <c:ptCount val="1"/>
              </c:strCache>
            </c:strRef>
          </c:tx>
          <c:spPr>
            <a:solidFill>
              <a:srgbClr val="FF6600"/>
            </a:solidFill>
            <a:ln w="12700">
              <a:solidFill>
                <a:srgbClr val="000000"/>
              </a:solidFill>
              <a:prstDash val="solid"/>
            </a:ln>
          </c:spPr>
          <c:invertIfNegative val="0"/>
          <c:cat>
            <c:strRef>
              <c:f>Sheet1!$B$1:$J$1</c:f>
              <c:strCache>
                <c:ptCount val="9"/>
                <c:pt idx="0">
                  <c:v>Mamaia Sat</c:v>
                </c:pt>
                <c:pt idx="1">
                  <c:v>Năvodari-vestul oraşului</c:v>
                </c:pt>
                <c:pt idx="2">
                  <c:v>Năvodari-sudul Combinatului</c:v>
                </c:pt>
                <c:pt idx="3">
                  <c:v>Lumina</c:v>
                </c:pt>
                <c:pt idx="4">
                  <c:v>Vadu-vestul localităţii</c:v>
                </c:pt>
                <c:pt idx="5">
                  <c:v>Vadu-nordul localităţii</c:v>
                </c:pt>
                <c:pt idx="6">
                  <c:v>Vadu-estul localităţii</c:v>
                </c:pt>
                <c:pt idx="7">
                  <c:v>Vadu-sudul localităţii</c:v>
                </c:pt>
                <c:pt idx="8">
                  <c:v>media Constanţa</c:v>
                </c:pt>
              </c:strCache>
            </c:strRef>
          </c:cat>
          <c:val>
            <c:numRef>
              <c:f>Sheet1!$B$2:$J$2</c:f>
              <c:numCache>
                <c:formatCode>General</c:formatCode>
                <c:ptCount val="9"/>
                <c:pt idx="0">
                  <c:v>41.713999999999999</c:v>
                </c:pt>
                <c:pt idx="1">
                  <c:v>43.905999999999999</c:v>
                </c:pt>
                <c:pt idx="2">
                  <c:v>30.367999999999999</c:v>
                </c:pt>
                <c:pt idx="3">
                  <c:v>38.723999999999997</c:v>
                </c:pt>
                <c:pt idx="4">
                  <c:v>27.335999999999999</c:v>
                </c:pt>
                <c:pt idx="5">
                  <c:v>17.795000000000002</c:v>
                </c:pt>
                <c:pt idx="6">
                  <c:v>46.427999999999997</c:v>
                </c:pt>
                <c:pt idx="7">
                  <c:v>32.786000000000001</c:v>
                </c:pt>
                <c:pt idx="8">
                  <c:v>45.750999999999998</c:v>
                </c:pt>
              </c:numCache>
            </c:numRef>
          </c:val>
        </c:ser>
        <c:dLbls>
          <c:showLegendKey val="0"/>
          <c:showVal val="0"/>
          <c:showCatName val="0"/>
          <c:showSerName val="0"/>
          <c:showPercent val="0"/>
          <c:showBubbleSize val="0"/>
        </c:dLbls>
        <c:gapWidth val="410"/>
        <c:axId val="114670976"/>
        <c:axId val="117871744"/>
      </c:barChart>
      <c:catAx>
        <c:axId val="114670976"/>
        <c:scaling>
          <c:orientation val="minMax"/>
        </c:scaling>
        <c:delete val="0"/>
        <c:axPos val="b"/>
        <c:numFmt formatCode="General" sourceLinked="1"/>
        <c:majorTickMark val="out"/>
        <c:minorTickMark val="none"/>
        <c:tickLblPos val="nextTo"/>
        <c:spPr>
          <a:ln w="3175">
            <a:solidFill>
              <a:srgbClr val="000000"/>
            </a:solidFill>
            <a:prstDash val="solid"/>
          </a:ln>
        </c:spPr>
        <c:txPr>
          <a:bodyPr rot="-1500000" vert="horz"/>
          <a:lstStyle/>
          <a:p>
            <a:pPr>
              <a:defRPr sz="950" b="0" i="0" u="none" strike="noStrike" baseline="0">
                <a:solidFill>
                  <a:srgbClr val="000000"/>
                </a:solidFill>
                <a:latin typeface="Arial"/>
                <a:ea typeface="Arial"/>
                <a:cs typeface="Arial"/>
              </a:defRPr>
            </a:pPr>
            <a:endParaRPr lang="en-US"/>
          </a:p>
        </c:txPr>
        <c:crossAx val="117871744"/>
        <c:crosses val="autoZero"/>
        <c:auto val="1"/>
        <c:lblAlgn val="ctr"/>
        <c:lblOffset val="100"/>
        <c:tickLblSkip val="1"/>
        <c:tickMarkSkip val="1"/>
        <c:noMultiLvlLbl val="0"/>
      </c:catAx>
      <c:valAx>
        <c:axId val="117871744"/>
        <c:scaling>
          <c:orientation val="minMax"/>
        </c:scaling>
        <c:delete val="0"/>
        <c:axPos val="l"/>
        <c:majorGridlines>
          <c:spPr>
            <a:ln w="3175">
              <a:solidFill>
                <a:srgbClr val="000000"/>
              </a:solidFill>
              <a:prstDash val="solid"/>
            </a:ln>
          </c:spPr>
        </c:majorGridlines>
        <c:title>
          <c:tx>
            <c:rich>
              <a:bodyPr/>
              <a:lstStyle/>
              <a:p>
                <a:pPr>
                  <a:defRPr sz="1100" b="1" i="0" u="none" strike="noStrike" baseline="0">
                    <a:solidFill>
                      <a:srgbClr val="000000"/>
                    </a:solidFill>
                    <a:latin typeface="Calibri" panose="020F0502020204030204" pitchFamily="34" charset="0"/>
                    <a:ea typeface="Arial"/>
                    <a:cs typeface="Arial"/>
                  </a:defRPr>
                </a:pPr>
                <a:r>
                  <a:rPr lang="vi-VN" sz="1100">
                    <a:latin typeface="Calibri" panose="020F0502020204030204" pitchFamily="34" charset="0"/>
                  </a:rPr>
                  <a:t>Bq/kg m</a:t>
                </a:r>
                <a:r>
                  <a:rPr lang="ro-RO" sz="1100">
                    <a:latin typeface="Calibri" panose="020F0502020204030204" pitchFamily="34" charset="0"/>
                  </a:rPr>
                  <a:t>.</a:t>
                </a:r>
                <a:r>
                  <a:rPr lang="vi-VN" sz="1100">
                    <a:latin typeface="Calibri" panose="020F0502020204030204" pitchFamily="34" charset="0"/>
                  </a:rPr>
                  <a:t>v</a:t>
                </a:r>
                <a:r>
                  <a:rPr lang="ro-RO" sz="1100">
                    <a:latin typeface="Calibri" panose="020F0502020204030204" pitchFamily="34" charset="0"/>
                  </a:rPr>
                  <a:t>.</a:t>
                </a:r>
                <a:endParaRPr lang="vi-VN" sz="1100">
                  <a:latin typeface="Calibri" panose="020F0502020204030204" pitchFamily="34" charset="0"/>
                </a:endParaRPr>
              </a:p>
            </c:rich>
          </c:tx>
          <c:layout>
            <c:manualLayout>
              <c:xMode val="edge"/>
              <c:yMode val="edge"/>
              <c:x val="2.484464671273889E-2"/>
              <c:y val="0.34174827131380153"/>
            </c:manualLayout>
          </c:layout>
          <c:overlay val="0"/>
          <c:spPr>
            <a:noFill/>
            <a:ln w="25399">
              <a:noFill/>
            </a:ln>
          </c:spPr>
        </c:title>
        <c:numFmt formatCode="General" sourceLinked="1"/>
        <c:majorTickMark val="out"/>
        <c:minorTickMark val="none"/>
        <c:tickLblPos val="nextTo"/>
        <c:spPr>
          <a:ln w="3175">
            <a:solidFill>
              <a:srgbClr val="000000"/>
            </a:solidFill>
            <a:prstDash val="solid"/>
          </a:ln>
        </c:spPr>
        <c:txPr>
          <a:bodyPr rot="0" vert="horz"/>
          <a:lstStyle/>
          <a:p>
            <a:pPr>
              <a:defRPr sz="950" b="0" i="0" u="none" strike="noStrike" baseline="0">
                <a:solidFill>
                  <a:srgbClr val="000000"/>
                </a:solidFill>
                <a:latin typeface="Arial"/>
                <a:ea typeface="Arial"/>
                <a:cs typeface="Arial"/>
              </a:defRPr>
            </a:pPr>
            <a:endParaRPr lang="en-US"/>
          </a:p>
        </c:txPr>
        <c:crossAx val="114670976"/>
        <c:crosses val="autoZero"/>
        <c:crossBetween val="between"/>
        <c:majorUnit val="10"/>
      </c:valAx>
      <c:spPr>
        <a:gradFill rotWithShape="0">
          <a:gsLst>
            <a:gs pos="0">
              <a:srgbClr xmlns:mc="http://schemas.openxmlformats.org/markup-compatibility/2006" xmlns:a14="http://schemas.microsoft.com/office/drawing/2010/main" val="000000" mc:Ignorable="a14" a14:legacySpreadsheetColorIndex="9">
                <a:gamma/>
                <a:shade val="46275"/>
                <a:invGamma/>
              </a:srgbClr>
            </a:gs>
            <a:gs pos="100000">
              <a:srgbClr xmlns:mc="http://schemas.openxmlformats.org/markup-compatibility/2006" xmlns:a14="http://schemas.microsoft.com/office/drawing/2010/main" val="FFFFFF" mc:Ignorable="a14" a14:legacySpreadsheetColorIndex="9"/>
            </a:gs>
          </a:gsLst>
          <a:lin ang="5400000" scaled="1"/>
        </a:gradFill>
        <a:ln w="12700">
          <a:solidFill>
            <a:srgbClr val="808080"/>
          </a:solidFill>
          <a:prstDash val="solid"/>
        </a:ln>
      </c:spPr>
    </c:plotArea>
    <c:plotVisOnly val="1"/>
    <c:dispBlanksAs val="gap"/>
    <c:showDLblsOverMax val="0"/>
  </c:chart>
  <c:spPr>
    <a:noFill/>
    <a:ln w="9525" cap="flat" cmpd="sng" algn="ctr">
      <a:solidFill>
        <a:srgbClr val="000000"/>
      </a:solidFill>
      <a:prstDash val="solid"/>
      <a:miter lim="800000"/>
      <a:headEnd type="none" w="med" len="med"/>
      <a:tailEnd type="none" w="med" len="med"/>
    </a:ln>
  </c:spPr>
  <c:txPr>
    <a:bodyPr/>
    <a:lstStyle/>
    <a:p>
      <a:pPr>
        <a:defRPr sz="825" b="1" i="0" u="none" strike="noStrike" baseline="0">
          <a:solidFill>
            <a:srgbClr val="000000"/>
          </a:solidFill>
          <a:latin typeface="Arial"/>
          <a:ea typeface="Arial"/>
          <a:cs typeface="Arial"/>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mn-lt"/>
                <a:cs typeface="Arial" panose="020B0604020202020204" pitchFamily="34" charset="0"/>
              </a:defRPr>
            </a:pPr>
            <a:r>
              <a:rPr lang="ro-RO" sz="1200">
                <a:latin typeface="+mn-lt"/>
                <a:cs typeface="Arial" panose="020B0604020202020204" pitchFamily="34" charset="0"/>
              </a:rPr>
              <a:t>Figura </a:t>
            </a:r>
            <a:r>
              <a:rPr lang="ro-RO" sz="1200" b="1" i="0" u="none" strike="noStrike" kern="1200" baseline="0">
                <a:solidFill>
                  <a:sysClr val="windowText" lastClr="000000"/>
                </a:solidFill>
                <a:latin typeface="+mn-lt"/>
                <a:ea typeface="+mn-ea"/>
                <a:cs typeface="Arial" panose="020B0604020202020204" pitchFamily="34" charset="0"/>
              </a:rPr>
              <a:t>IX</a:t>
            </a:r>
            <a:r>
              <a:rPr lang="ro-RO" sz="1200">
                <a:latin typeface="+mn-lt"/>
                <a:cs typeface="Arial" panose="020B0604020202020204" pitchFamily="34" charset="0"/>
              </a:rPr>
              <a:t>.</a:t>
            </a:r>
            <a:r>
              <a:rPr lang="en-US" sz="1200">
                <a:latin typeface="+mn-lt"/>
                <a:cs typeface="Arial" panose="020B0604020202020204" pitchFamily="34" charset="0"/>
              </a:rPr>
              <a:t>5</a:t>
            </a:r>
            <a:r>
              <a:rPr lang="ro-RO" sz="1200">
                <a:latin typeface="+mn-lt"/>
                <a:cs typeface="Arial" panose="020B0604020202020204" pitchFamily="34" charset="0"/>
              </a:rPr>
              <a:t>. Medii și maxime anuale ale debitului dozei gama în</a:t>
            </a:r>
            <a:r>
              <a:rPr lang="ro-RO" sz="1200" baseline="0">
                <a:latin typeface="+mn-lt"/>
                <a:cs typeface="Arial" panose="020B0604020202020204" pitchFamily="34" charset="0"/>
              </a:rPr>
              <a:t> </a:t>
            </a:r>
            <a:r>
              <a:rPr lang="ro-RO" sz="1200">
                <a:latin typeface="+mn-lt"/>
                <a:cs typeface="Arial" panose="020B0604020202020204" pitchFamily="34" charset="0"/>
              </a:rPr>
              <a:t>aer </a:t>
            </a:r>
            <a:endParaRPr lang="vi-VN" sz="1200">
              <a:latin typeface="+mn-lt"/>
              <a:cs typeface="Arial" panose="020B0604020202020204" pitchFamily="34" charset="0"/>
            </a:endParaRPr>
          </a:p>
        </c:rich>
      </c:tx>
      <c:layout>
        <c:manualLayout>
          <c:xMode val="edge"/>
          <c:yMode val="edge"/>
          <c:x val="0.12313760779902512"/>
          <c:y val="3.0418250950570342E-2"/>
        </c:manualLayout>
      </c:layout>
      <c:overlay val="0"/>
    </c:title>
    <c:autoTitleDeleted val="0"/>
    <c:plotArea>
      <c:layout>
        <c:manualLayout>
          <c:layoutTarget val="inner"/>
          <c:xMode val="edge"/>
          <c:yMode val="edge"/>
          <c:x val="0.10100731973720677"/>
          <c:y val="0.26210547900262465"/>
          <c:w val="0.80973688071599748"/>
          <c:h val="0.44949769209883245"/>
        </c:manualLayout>
      </c:layout>
      <c:barChart>
        <c:barDir val="col"/>
        <c:grouping val="clustered"/>
        <c:varyColors val="0"/>
        <c:ser>
          <c:idx val="0"/>
          <c:order val="0"/>
          <c:tx>
            <c:strRef>
              <c:f>Foaie1!$B$1</c:f>
              <c:strCache>
                <c:ptCount val="1"/>
                <c:pt idx="0">
                  <c:v>media Constanța</c:v>
                </c:pt>
              </c:strCache>
            </c:strRef>
          </c:tx>
          <c:invertIfNegative val="0"/>
          <c:cat>
            <c:numRef>
              <c:f>Foaie1!$A$2:$A$6</c:f>
              <c:numCache>
                <c:formatCode>General</c:formatCode>
                <c:ptCount val="5"/>
                <c:pt idx="0">
                  <c:v>2010</c:v>
                </c:pt>
                <c:pt idx="1">
                  <c:v>2011</c:v>
                </c:pt>
                <c:pt idx="2">
                  <c:v>2012</c:v>
                </c:pt>
                <c:pt idx="3">
                  <c:v>2014</c:v>
                </c:pt>
                <c:pt idx="4">
                  <c:v>2015</c:v>
                </c:pt>
              </c:numCache>
            </c:numRef>
          </c:cat>
          <c:val>
            <c:numRef>
              <c:f>Foaie1!$B$2:$B$6</c:f>
              <c:numCache>
                <c:formatCode>General</c:formatCode>
                <c:ptCount val="5"/>
                <c:pt idx="0">
                  <c:v>7.8E-2</c:v>
                </c:pt>
                <c:pt idx="1">
                  <c:v>8.7999999999999995E-2</c:v>
                </c:pt>
                <c:pt idx="2">
                  <c:v>0.105</c:v>
                </c:pt>
                <c:pt idx="3" formatCode="0.000">
                  <c:v>0.1</c:v>
                </c:pt>
                <c:pt idx="4">
                  <c:v>0.1</c:v>
                </c:pt>
              </c:numCache>
            </c:numRef>
          </c:val>
        </c:ser>
        <c:ser>
          <c:idx val="1"/>
          <c:order val="1"/>
          <c:tx>
            <c:strRef>
              <c:f>Foaie1!$C$1</c:f>
              <c:strCache>
                <c:ptCount val="1"/>
                <c:pt idx="0">
                  <c:v>media Cernavodă</c:v>
                </c:pt>
              </c:strCache>
            </c:strRef>
          </c:tx>
          <c:invertIfNegative val="0"/>
          <c:cat>
            <c:numRef>
              <c:f>Foaie1!$A$2:$A$6</c:f>
              <c:numCache>
                <c:formatCode>General</c:formatCode>
                <c:ptCount val="5"/>
                <c:pt idx="0">
                  <c:v>2010</c:v>
                </c:pt>
                <c:pt idx="1">
                  <c:v>2011</c:v>
                </c:pt>
                <c:pt idx="2">
                  <c:v>2012</c:v>
                </c:pt>
                <c:pt idx="3">
                  <c:v>2014</c:v>
                </c:pt>
                <c:pt idx="4">
                  <c:v>2015</c:v>
                </c:pt>
              </c:numCache>
            </c:numRef>
          </c:cat>
          <c:val>
            <c:numRef>
              <c:f>Foaie1!$C$2:$C$6</c:f>
              <c:numCache>
                <c:formatCode>General</c:formatCode>
                <c:ptCount val="5"/>
                <c:pt idx="0">
                  <c:v>6.3E-2</c:v>
                </c:pt>
                <c:pt idx="1">
                  <c:v>4.7E-2</c:v>
                </c:pt>
              </c:numCache>
            </c:numRef>
          </c:val>
        </c:ser>
        <c:ser>
          <c:idx val="2"/>
          <c:order val="2"/>
          <c:tx>
            <c:strRef>
              <c:f>Foaie1!$D$1</c:f>
              <c:strCache>
                <c:ptCount val="1"/>
                <c:pt idx="0">
                  <c:v>maxima Constanța</c:v>
                </c:pt>
              </c:strCache>
            </c:strRef>
          </c:tx>
          <c:invertIfNegative val="0"/>
          <c:cat>
            <c:numRef>
              <c:f>Foaie1!$A$2:$A$6</c:f>
              <c:numCache>
                <c:formatCode>General</c:formatCode>
                <c:ptCount val="5"/>
                <c:pt idx="0">
                  <c:v>2010</c:v>
                </c:pt>
                <c:pt idx="1">
                  <c:v>2011</c:v>
                </c:pt>
                <c:pt idx="2">
                  <c:v>2012</c:v>
                </c:pt>
                <c:pt idx="3">
                  <c:v>2014</c:v>
                </c:pt>
                <c:pt idx="4">
                  <c:v>2015</c:v>
                </c:pt>
              </c:numCache>
            </c:numRef>
          </c:cat>
          <c:val>
            <c:numRef>
              <c:f>Foaie1!$D$2:$D$6</c:f>
              <c:numCache>
                <c:formatCode>General</c:formatCode>
                <c:ptCount val="5"/>
                <c:pt idx="0">
                  <c:v>0.129</c:v>
                </c:pt>
                <c:pt idx="1">
                  <c:v>0.17299999999999999</c:v>
                </c:pt>
                <c:pt idx="2">
                  <c:v>0.189</c:v>
                </c:pt>
                <c:pt idx="3" formatCode="0.000">
                  <c:v>0.16</c:v>
                </c:pt>
                <c:pt idx="4">
                  <c:v>0.16</c:v>
                </c:pt>
              </c:numCache>
            </c:numRef>
          </c:val>
        </c:ser>
        <c:ser>
          <c:idx val="3"/>
          <c:order val="3"/>
          <c:tx>
            <c:strRef>
              <c:f>Foaie1!$E$1</c:f>
              <c:strCache>
                <c:ptCount val="1"/>
                <c:pt idx="0">
                  <c:v>maxima Cernavodă</c:v>
                </c:pt>
              </c:strCache>
            </c:strRef>
          </c:tx>
          <c:invertIfNegative val="0"/>
          <c:cat>
            <c:numRef>
              <c:f>Foaie1!$A$2:$A$6</c:f>
              <c:numCache>
                <c:formatCode>General</c:formatCode>
                <c:ptCount val="5"/>
                <c:pt idx="0">
                  <c:v>2010</c:v>
                </c:pt>
                <c:pt idx="1">
                  <c:v>2011</c:v>
                </c:pt>
                <c:pt idx="2">
                  <c:v>2012</c:v>
                </c:pt>
                <c:pt idx="3">
                  <c:v>2014</c:v>
                </c:pt>
                <c:pt idx="4">
                  <c:v>2015</c:v>
                </c:pt>
              </c:numCache>
            </c:numRef>
          </c:cat>
          <c:val>
            <c:numRef>
              <c:f>Foaie1!$E$2:$E$6</c:f>
              <c:numCache>
                <c:formatCode>General</c:formatCode>
                <c:ptCount val="5"/>
                <c:pt idx="0">
                  <c:v>0.1</c:v>
                </c:pt>
                <c:pt idx="1">
                  <c:v>7.8E-2</c:v>
                </c:pt>
              </c:numCache>
            </c:numRef>
          </c:val>
        </c:ser>
        <c:dLbls>
          <c:showLegendKey val="0"/>
          <c:showVal val="0"/>
          <c:showCatName val="0"/>
          <c:showSerName val="0"/>
          <c:showPercent val="0"/>
          <c:showBubbleSize val="0"/>
        </c:dLbls>
        <c:gapWidth val="150"/>
        <c:axId val="101807616"/>
        <c:axId val="101809152"/>
      </c:barChart>
      <c:catAx>
        <c:axId val="101807616"/>
        <c:scaling>
          <c:orientation val="minMax"/>
        </c:scaling>
        <c:delete val="0"/>
        <c:axPos val="b"/>
        <c:numFmt formatCode="General" sourceLinked="1"/>
        <c:majorTickMark val="none"/>
        <c:minorTickMark val="none"/>
        <c:tickLblPos val="nextTo"/>
        <c:txPr>
          <a:bodyPr rot="0" vert="horz"/>
          <a:lstStyle/>
          <a:p>
            <a:pPr>
              <a:defRPr/>
            </a:pPr>
            <a:endParaRPr lang="en-US"/>
          </a:p>
        </c:txPr>
        <c:crossAx val="101809152"/>
        <c:crosses val="autoZero"/>
        <c:auto val="1"/>
        <c:lblAlgn val="ctr"/>
        <c:lblOffset val="100"/>
        <c:noMultiLvlLbl val="0"/>
      </c:catAx>
      <c:valAx>
        <c:axId val="101809152"/>
        <c:scaling>
          <c:orientation val="minMax"/>
        </c:scaling>
        <c:delete val="0"/>
        <c:axPos val="l"/>
        <c:majorGridlines/>
        <c:title>
          <c:tx>
            <c:rich>
              <a:bodyPr rot="-5400000" vert="horz"/>
              <a:lstStyle/>
              <a:p>
                <a:pPr>
                  <a:defRPr sz="1100">
                    <a:latin typeface="+mn-lt"/>
                    <a:cs typeface="Arial" panose="020B0604020202020204" pitchFamily="34" charset="0"/>
                  </a:defRPr>
                </a:pPr>
                <a:r>
                  <a:rPr lang="ro-RO" sz="1100">
                    <a:latin typeface="+mn-lt"/>
                    <a:cs typeface="Arial" panose="020B0604020202020204" pitchFamily="34" charset="0"/>
                  </a:rPr>
                  <a:t>µSv/h</a:t>
                </a:r>
                <a:endParaRPr lang="vi-VN" sz="1100">
                  <a:latin typeface="+mn-lt"/>
                  <a:cs typeface="Arial" panose="020B0604020202020204" pitchFamily="34" charset="0"/>
                </a:endParaRPr>
              </a:p>
            </c:rich>
          </c:tx>
          <c:layout>
            <c:manualLayout>
              <c:xMode val="edge"/>
              <c:yMode val="edge"/>
              <c:x val="1.6243621721197893E-2"/>
              <c:y val="0.41592970800524931"/>
            </c:manualLayout>
          </c:layout>
          <c:overlay val="0"/>
        </c:title>
        <c:numFmt formatCode="General" sourceLinked="0"/>
        <c:majorTickMark val="none"/>
        <c:minorTickMark val="none"/>
        <c:tickLblPos val="nextTo"/>
        <c:spPr>
          <a:ln cmpd="dbl"/>
        </c:spPr>
        <c:txPr>
          <a:bodyPr rot="0" vert="horz"/>
          <a:lstStyle/>
          <a:p>
            <a:pPr>
              <a:defRPr/>
            </a:pPr>
            <a:endParaRPr lang="en-US"/>
          </a:p>
        </c:txPr>
        <c:crossAx val="101807616"/>
        <c:crosses val="autoZero"/>
        <c:crossBetween val="between"/>
      </c:valAx>
    </c:plotArea>
    <c:legend>
      <c:legendPos val="b"/>
      <c:legendEntry>
        <c:idx val="0"/>
        <c:txPr>
          <a:bodyPr/>
          <a:lstStyle/>
          <a:p>
            <a:pPr>
              <a:defRPr sz="1100">
                <a:latin typeface="Calibri" panose="020F0502020204030204" pitchFamily="34" charset="0"/>
                <a:cs typeface="Arial" panose="020B0604020202020204" pitchFamily="34" charset="0"/>
              </a:defRPr>
            </a:pPr>
            <a:endParaRPr lang="en-US"/>
          </a:p>
        </c:txPr>
      </c:legendEntry>
      <c:legendEntry>
        <c:idx val="1"/>
        <c:txPr>
          <a:bodyPr/>
          <a:lstStyle/>
          <a:p>
            <a:pPr>
              <a:defRPr sz="1000">
                <a:latin typeface="+mn-lt"/>
                <a:cs typeface="Arial" panose="020B0604020202020204" pitchFamily="34" charset="0"/>
              </a:defRPr>
            </a:pPr>
            <a:endParaRPr lang="en-US"/>
          </a:p>
        </c:txPr>
      </c:legendEntry>
      <c:legendEntry>
        <c:idx val="2"/>
        <c:txPr>
          <a:bodyPr/>
          <a:lstStyle/>
          <a:p>
            <a:pPr>
              <a:defRPr sz="1100">
                <a:latin typeface="+mn-lt"/>
                <a:cs typeface="Arial" panose="020B0604020202020204" pitchFamily="34" charset="0"/>
              </a:defRPr>
            </a:pPr>
            <a:endParaRPr lang="en-US"/>
          </a:p>
        </c:txPr>
      </c:legendEntry>
      <c:legendEntry>
        <c:idx val="3"/>
        <c:txPr>
          <a:bodyPr/>
          <a:lstStyle/>
          <a:p>
            <a:pPr>
              <a:defRPr sz="1000">
                <a:latin typeface="+mn-lt"/>
                <a:cs typeface="Arial" panose="020B0604020202020204" pitchFamily="34" charset="0"/>
              </a:defRPr>
            </a:pPr>
            <a:endParaRPr lang="en-US"/>
          </a:p>
        </c:txPr>
      </c:legendEntry>
      <c:layout>
        <c:manualLayout>
          <c:xMode val="edge"/>
          <c:yMode val="edge"/>
          <c:x val="0.21005291005291005"/>
          <c:y val="0.80148418710018665"/>
          <c:w val="0.63915660542432207"/>
          <c:h val="0.18292985239962875"/>
        </c:manualLayout>
      </c:layout>
      <c:overlay val="0"/>
      <c:txPr>
        <a:bodyPr/>
        <a:lstStyle/>
        <a:p>
          <a:pPr>
            <a:defRPr sz="1050">
              <a:latin typeface="+mn-lt"/>
              <a:cs typeface="Arial" panose="020B0604020202020204" pitchFamily="34" charset="0"/>
            </a:defRPr>
          </a:pPr>
          <a:endParaRPr lang="en-US"/>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mn-lt"/>
                <a:cs typeface="Arial" panose="020B0604020202020204" pitchFamily="34" charset="0"/>
              </a:defRPr>
            </a:pPr>
            <a:r>
              <a:rPr lang="ro-RO" sz="1200">
                <a:latin typeface="+mn-lt"/>
                <a:cs typeface="Arial" panose="020B0604020202020204" pitchFamily="34" charset="0"/>
              </a:rPr>
              <a:t>Figura </a:t>
            </a:r>
            <a:r>
              <a:rPr lang="ro-RO" sz="1200" b="1" i="0" u="none" strike="noStrike" kern="1200" baseline="0">
                <a:solidFill>
                  <a:sysClr val="windowText" lastClr="000000"/>
                </a:solidFill>
                <a:latin typeface="+mn-lt"/>
                <a:ea typeface="+mn-ea"/>
                <a:cs typeface="Arial" panose="020B0604020202020204" pitchFamily="34" charset="0"/>
              </a:rPr>
              <a:t>IX</a:t>
            </a:r>
            <a:r>
              <a:rPr lang="ro-RO" sz="1200">
                <a:latin typeface="+mn-lt"/>
                <a:cs typeface="Arial" panose="020B0604020202020204" pitchFamily="34" charset="0"/>
              </a:rPr>
              <a:t>.6. Medii lunare ale activității beta globale a aerosolilor atmosferici -</a:t>
            </a:r>
            <a:r>
              <a:rPr lang="ro-RO" sz="1200" baseline="0">
                <a:latin typeface="+mn-lt"/>
                <a:cs typeface="Arial" panose="020B0604020202020204" pitchFamily="34" charset="0"/>
              </a:rPr>
              <a:t> măsurători imediate la SSRM Constanța și Cernavodă în anul 2015</a:t>
            </a:r>
          </a:p>
        </c:rich>
      </c:tx>
      <c:overlay val="0"/>
    </c:title>
    <c:autoTitleDeleted val="0"/>
    <c:plotArea>
      <c:layout>
        <c:manualLayout>
          <c:layoutTarget val="inner"/>
          <c:xMode val="edge"/>
          <c:yMode val="edge"/>
          <c:x val="8.0395450568678931E-2"/>
          <c:y val="0.23306061489788524"/>
          <c:w val="0.89384093654959795"/>
          <c:h val="0.43569306361957283"/>
        </c:manualLayout>
      </c:layout>
      <c:barChart>
        <c:barDir val="col"/>
        <c:grouping val="clustered"/>
        <c:varyColors val="0"/>
        <c:ser>
          <c:idx val="0"/>
          <c:order val="0"/>
          <c:tx>
            <c:strRef>
              <c:f>Foaie1!$B$1</c:f>
              <c:strCache>
                <c:ptCount val="1"/>
                <c:pt idx="0">
                  <c:v>SSRM Constanţa (02-07)</c:v>
                </c:pt>
              </c:strCache>
            </c:strRef>
          </c:tx>
          <c:invertIfNegative val="0"/>
          <c:cat>
            <c:strRef>
              <c:f>Foaie1!$A$2:$A$13</c:f>
              <c:strCache>
                <c:ptCount val="12"/>
                <c:pt idx="0">
                  <c:v>ian</c:v>
                </c:pt>
                <c:pt idx="1">
                  <c:v>feb</c:v>
                </c:pt>
                <c:pt idx="2">
                  <c:v>mar</c:v>
                </c:pt>
                <c:pt idx="3">
                  <c:v>apr</c:v>
                </c:pt>
                <c:pt idx="4">
                  <c:v>mai</c:v>
                </c:pt>
                <c:pt idx="5">
                  <c:v>iun</c:v>
                </c:pt>
                <c:pt idx="6">
                  <c:v>iul</c:v>
                </c:pt>
                <c:pt idx="7">
                  <c:v>aug</c:v>
                </c:pt>
                <c:pt idx="8">
                  <c:v>sep</c:v>
                </c:pt>
                <c:pt idx="9">
                  <c:v>oct</c:v>
                </c:pt>
                <c:pt idx="10">
                  <c:v>nov</c:v>
                </c:pt>
                <c:pt idx="11">
                  <c:v>dec</c:v>
                </c:pt>
              </c:strCache>
            </c:strRef>
          </c:cat>
          <c:val>
            <c:numRef>
              <c:f>Foaie1!$B$2:$B$13</c:f>
              <c:numCache>
                <c:formatCode>General</c:formatCode>
                <c:ptCount val="12"/>
                <c:pt idx="0">
                  <c:v>1.39</c:v>
                </c:pt>
                <c:pt idx="1">
                  <c:v>1.26</c:v>
                </c:pt>
                <c:pt idx="2">
                  <c:v>1.49</c:v>
                </c:pt>
                <c:pt idx="3">
                  <c:v>1.1399999999999999</c:v>
                </c:pt>
                <c:pt idx="4">
                  <c:v>1.78</c:v>
                </c:pt>
                <c:pt idx="5">
                  <c:v>2.21</c:v>
                </c:pt>
                <c:pt idx="6">
                  <c:v>2.65</c:v>
                </c:pt>
                <c:pt idx="7">
                  <c:v>2.65</c:v>
                </c:pt>
                <c:pt idx="8">
                  <c:v>2.59</c:v>
                </c:pt>
                <c:pt idx="9">
                  <c:v>2.13</c:v>
                </c:pt>
                <c:pt idx="10">
                  <c:v>3.09</c:v>
                </c:pt>
                <c:pt idx="11">
                  <c:v>2.27</c:v>
                </c:pt>
              </c:numCache>
            </c:numRef>
          </c:val>
        </c:ser>
        <c:ser>
          <c:idx val="1"/>
          <c:order val="1"/>
          <c:tx>
            <c:strRef>
              <c:f>Foaie1!$C$1</c:f>
              <c:strCache>
                <c:ptCount val="1"/>
                <c:pt idx="0">
                  <c:v>SSRM Constanta (08-13)</c:v>
                </c:pt>
              </c:strCache>
            </c:strRef>
          </c:tx>
          <c:invertIfNegative val="0"/>
          <c:cat>
            <c:strRef>
              <c:f>Foaie1!$A$2:$A$13</c:f>
              <c:strCache>
                <c:ptCount val="12"/>
                <c:pt idx="0">
                  <c:v>ian</c:v>
                </c:pt>
                <c:pt idx="1">
                  <c:v>feb</c:v>
                </c:pt>
                <c:pt idx="2">
                  <c:v>mar</c:v>
                </c:pt>
                <c:pt idx="3">
                  <c:v>apr</c:v>
                </c:pt>
                <c:pt idx="4">
                  <c:v>mai</c:v>
                </c:pt>
                <c:pt idx="5">
                  <c:v>iun</c:v>
                </c:pt>
                <c:pt idx="6">
                  <c:v>iul</c:v>
                </c:pt>
                <c:pt idx="7">
                  <c:v>aug</c:v>
                </c:pt>
                <c:pt idx="8">
                  <c:v>sep</c:v>
                </c:pt>
                <c:pt idx="9">
                  <c:v>oct</c:v>
                </c:pt>
                <c:pt idx="10">
                  <c:v>nov</c:v>
                </c:pt>
                <c:pt idx="11">
                  <c:v>dec</c:v>
                </c:pt>
              </c:strCache>
            </c:strRef>
          </c:cat>
          <c:val>
            <c:numRef>
              <c:f>Foaie1!$C$2:$C$13</c:f>
              <c:numCache>
                <c:formatCode>General</c:formatCode>
                <c:ptCount val="12"/>
                <c:pt idx="0">
                  <c:v>1.33</c:v>
                </c:pt>
                <c:pt idx="1">
                  <c:v>0.91</c:v>
                </c:pt>
                <c:pt idx="2">
                  <c:v>1.06</c:v>
                </c:pt>
                <c:pt idx="3">
                  <c:v>0.65</c:v>
                </c:pt>
                <c:pt idx="4">
                  <c:v>0.83</c:v>
                </c:pt>
                <c:pt idx="5">
                  <c:v>0.97</c:v>
                </c:pt>
                <c:pt idx="6">
                  <c:v>1.1100000000000001</c:v>
                </c:pt>
                <c:pt idx="7">
                  <c:v>1.46</c:v>
                </c:pt>
                <c:pt idx="8">
                  <c:v>1.19</c:v>
                </c:pt>
                <c:pt idx="9">
                  <c:v>1.25</c:v>
                </c:pt>
                <c:pt idx="10">
                  <c:v>2.2200000000000002</c:v>
                </c:pt>
                <c:pt idx="11">
                  <c:v>1.66</c:v>
                </c:pt>
              </c:numCache>
            </c:numRef>
          </c:val>
        </c:ser>
        <c:ser>
          <c:idx val="2"/>
          <c:order val="2"/>
          <c:tx>
            <c:strRef>
              <c:f>Foaie1!$D$1</c:f>
              <c:strCache>
                <c:ptCount val="1"/>
                <c:pt idx="0">
                  <c:v>SSRM Constanta (14-19)</c:v>
                </c:pt>
              </c:strCache>
            </c:strRef>
          </c:tx>
          <c:invertIfNegative val="0"/>
          <c:cat>
            <c:strRef>
              <c:f>Foaie1!$A$2:$A$13</c:f>
              <c:strCache>
                <c:ptCount val="12"/>
                <c:pt idx="0">
                  <c:v>ian</c:v>
                </c:pt>
                <c:pt idx="1">
                  <c:v>feb</c:v>
                </c:pt>
                <c:pt idx="2">
                  <c:v>mar</c:v>
                </c:pt>
                <c:pt idx="3">
                  <c:v>apr</c:v>
                </c:pt>
                <c:pt idx="4">
                  <c:v>mai</c:v>
                </c:pt>
                <c:pt idx="5">
                  <c:v>iun</c:v>
                </c:pt>
                <c:pt idx="6">
                  <c:v>iul</c:v>
                </c:pt>
                <c:pt idx="7">
                  <c:v>aug</c:v>
                </c:pt>
                <c:pt idx="8">
                  <c:v>sep</c:v>
                </c:pt>
                <c:pt idx="9">
                  <c:v>oct</c:v>
                </c:pt>
                <c:pt idx="10">
                  <c:v>nov</c:v>
                </c:pt>
                <c:pt idx="11">
                  <c:v>dec</c:v>
                </c:pt>
              </c:strCache>
            </c:strRef>
          </c:cat>
          <c:val>
            <c:numRef>
              <c:f>Foaie1!$D$2:$D$13</c:f>
              <c:numCache>
                <c:formatCode>General</c:formatCode>
                <c:ptCount val="12"/>
                <c:pt idx="0">
                  <c:v>1.33</c:v>
                </c:pt>
                <c:pt idx="1">
                  <c:v>0.8</c:v>
                </c:pt>
                <c:pt idx="2">
                  <c:v>0.85</c:v>
                </c:pt>
                <c:pt idx="3">
                  <c:v>0.6</c:v>
                </c:pt>
                <c:pt idx="4">
                  <c:v>0.6</c:v>
                </c:pt>
                <c:pt idx="5">
                  <c:v>0.79</c:v>
                </c:pt>
                <c:pt idx="6">
                  <c:v>0.69</c:v>
                </c:pt>
                <c:pt idx="7">
                  <c:v>1.03</c:v>
                </c:pt>
                <c:pt idx="8">
                  <c:v>1</c:v>
                </c:pt>
                <c:pt idx="9">
                  <c:v>1.1100000000000001</c:v>
                </c:pt>
                <c:pt idx="10">
                  <c:v>2.13</c:v>
                </c:pt>
                <c:pt idx="11">
                  <c:v>1.89</c:v>
                </c:pt>
              </c:numCache>
            </c:numRef>
          </c:val>
        </c:ser>
        <c:ser>
          <c:idx val="3"/>
          <c:order val="3"/>
          <c:tx>
            <c:strRef>
              <c:f>Foaie1!$E$1</c:f>
              <c:strCache>
                <c:ptCount val="1"/>
                <c:pt idx="0">
                  <c:v>SSRM Constanta (20-01)</c:v>
                </c:pt>
              </c:strCache>
            </c:strRef>
          </c:tx>
          <c:invertIfNegative val="0"/>
          <c:cat>
            <c:strRef>
              <c:f>Foaie1!$A$2:$A$13</c:f>
              <c:strCache>
                <c:ptCount val="12"/>
                <c:pt idx="0">
                  <c:v>ian</c:v>
                </c:pt>
                <c:pt idx="1">
                  <c:v>feb</c:v>
                </c:pt>
                <c:pt idx="2">
                  <c:v>mar</c:v>
                </c:pt>
                <c:pt idx="3">
                  <c:v>apr</c:v>
                </c:pt>
                <c:pt idx="4">
                  <c:v>mai</c:v>
                </c:pt>
                <c:pt idx="5">
                  <c:v>iun</c:v>
                </c:pt>
                <c:pt idx="6">
                  <c:v>iul</c:v>
                </c:pt>
                <c:pt idx="7">
                  <c:v>aug</c:v>
                </c:pt>
                <c:pt idx="8">
                  <c:v>sep</c:v>
                </c:pt>
                <c:pt idx="9">
                  <c:v>oct</c:v>
                </c:pt>
                <c:pt idx="10">
                  <c:v>nov</c:v>
                </c:pt>
                <c:pt idx="11">
                  <c:v>dec</c:v>
                </c:pt>
              </c:strCache>
            </c:strRef>
          </c:cat>
          <c:val>
            <c:numRef>
              <c:f>Foaie1!$E$2:$E$13</c:f>
              <c:numCache>
                <c:formatCode>General</c:formatCode>
                <c:ptCount val="12"/>
                <c:pt idx="0">
                  <c:v>1.4</c:v>
                </c:pt>
                <c:pt idx="1">
                  <c:v>1.0900000000000001</c:v>
                </c:pt>
                <c:pt idx="2">
                  <c:v>1.08</c:v>
                </c:pt>
                <c:pt idx="3">
                  <c:v>1.04</c:v>
                </c:pt>
                <c:pt idx="4">
                  <c:v>1.24</c:v>
                </c:pt>
                <c:pt idx="5">
                  <c:v>1.46</c:v>
                </c:pt>
                <c:pt idx="6">
                  <c:v>1.46</c:v>
                </c:pt>
                <c:pt idx="7">
                  <c:v>1.79</c:v>
                </c:pt>
                <c:pt idx="8">
                  <c:v>1.46</c:v>
                </c:pt>
                <c:pt idx="9">
                  <c:v>1.57</c:v>
                </c:pt>
                <c:pt idx="10">
                  <c:v>2.46</c:v>
                </c:pt>
                <c:pt idx="11">
                  <c:v>2.17</c:v>
                </c:pt>
              </c:numCache>
            </c:numRef>
          </c:val>
        </c:ser>
        <c:ser>
          <c:idx val="4"/>
          <c:order val="4"/>
          <c:tx>
            <c:strRef>
              <c:f>Foaie1!$F$1</c:f>
              <c:strCache>
                <c:ptCount val="1"/>
                <c:pt idx="0">
                  <c:v>SSRM Cernavoda (02-07)</c:v>
                </c:pt>
              </c:strCache>
            </c:strRef>
          </c:tx>
          <c:invertIfNegative val="0"/>
          <c:cat>
            <c:strRef>
              <c:f>Foaie1!$A$2:$A$13</c:f>
              <c:strCache>
                <c:ptCount val="12"/>
                <c:pt idx="0">
                  <c:v>ian</c:v>
                </c:pt>
                <c:pt idx="1">
                  <c:v>feb</c:v>
                </c:pt>
                <c:pt idx="2">
                  <c:v>mar</c:v>
                </c:pt>
                <c:pt idx="3">
                  <c:v>apr</c:v>
                </c:pt>
                <c:pt idx="4">
                  <c:v>mai</c:v>
                </c:pt>
                <c:pt idx="5">
                  <c:v>iun</c:v>
                </c:pt>
                <c:pt idx="6">
                  <c:v>iul</c:v>
                </c:pt>
                <c:pt idx="7">
                  <c:v>aug</c:v>
                </c:pt>
                <c:pt idx="8">
                  <c:v>sep</c:v>
                </c:pt>
                <c:pt idx="9">
                  <c:v>oct</c:v>
                </c:pt>
                <c:pt idx="10">
                  <c:v>nov</c:v>
                </c:pt>
                <c:pt idx="11">
                  <c:v>dec</c:v>
                </c:pt>
              </c:strCache>
            </c:strRef>
          </c:cat>
          <c:val>
            <c:numRef>
              <c:f>Foaie1!$F$2:$F$13</c:f>
              <c:numCache>
                <c:formatCode>General</c:formatCode>
                <c:ptCount val="12"/>
                <c:pt idx="0">
                  <c:v>3.45</c:v>
                </c:pt>
                <c:pt idx="1">
                  <c:v>2.71</c:v>
                </c:pt>
                <c:pt idx="2">
                  <c:v>3.48</c:v>
                </c:pt>
                <c:pt idx="3">
                  <c:v>3.46</c:v>
                </c:pt>
                <c:pt idx="4">
                  <c:v>4.8600000000000003</c:v>
                </c:pt>
                <c:pt idx="5">
                  <c:v>5.19</c:v>
                </c:pt>
                <c:pt idx="6">
                  <c:v>6.58</c:v>
                </c:pt>
                <c:pt idx="7">
                  <c:v>7.14</c:v>
                </c:pt>
                <c:pt idx="8">
                  <c:v>7.65</c:v>
                </c:pt>
                <c:pt idx="9">
                  <c:v>6.81</c:v>
                </c:pt>
                <c:pt idx="10">
                  <c:v>6.96</c:v>
                </c:pt>
                <c:pt idx="11">
                  <c:v>5.41</c:v>
                </c:pt>
              </c:numCache>
            </c:numRef>
          </c:val>
        </c:ser>
        <c:ser>
          <c:idx val="5"/>
          <c:order val="5"/>
          <c:tx>
            <c:strRef>
              <c:f>Foaie1!$G$1</c:f>
              <c:strCache>
                <c:ptCount val="1"/>
                <c:pt idx="0">
                  <c:v>SSRM Cernavoda (08-13)</c:v>
                </c:pt>
              </c:strCache>
            </c:strRef>
          </c:tx>
          <c:invertIfNegative val="0"/>
          <c:cat>
            <c:strRef>
              <c:f>Foaie1!$A$2:$A$13</c:f>
              <c:strCache>
                <c:ptCount val="12"/>
                <c:pt idx="0">
                  <c:v>ian</c:v>
                </c:pt>
                <c:pt idx="1">
                  <c:v>feb</c:v>
                </c:pt>
                <c:pt idx="2">
                  <c:v>mar</c:v>
                </c:pt>
                <c:pt idx="3">
                  <c:v>apr</c:v>
                </c:pt>
                <c:pt idx="4">
                  <c:v>mai</c:v>
                </c:pt>
                <c:pt idx="5">
                  <c:v>iun</c:v>
                </c:pt>
                <c:pt idx="6">
                  <c:v>iul</c:v>
                </c:pt>
                <c:pt idx="7">
                  <c:v>aug</c:v>
                </c:pt>
                <c:pt idx="8">
                  <c:v>sep</c:v>
                </c:pt>
                <c:pt idx="9">
                  <c:v>oct</c:v>
                </c:pt>
                <c:pt idx="10">
                  <c:v>nov</c:v>
                </c:pt>
                <c:pt idx="11">
                  <c:v>dec</c:v>
                </c:pt>
              </c:strCache>
            </c:strRef>
          </c:cat>
          <c:val>
            <c:numRef>
              <c:f>Foaie1!$G$2:$G$13</c:f>
              <c:numCache>
                <c:formatCode>General</c:formatCode>
                <c:ptCount val="12"/>
                <c:pt idx="0">
                  <c:v>2.81</c:v>
                </c:pt>
                <c:pt idx="1">
                  <c:v>1.8</c:v>
                </c:pt>
                <c:pt idx="2">
                  <c:v>1.87</c:v>
                </c:pt>
                <c:pt idx="3">
                  <c:v>1.33</c:v>
                </c:pt>
                <c:pt idx="4">
                  <c:v>1.77</c:v>
                </c:pt>
                <c:pt idx="5">
                  <c:v>1.84</c:v>
                </c:pt>
                <c:pt idx="6">
                  <c:v>1.88</c:v>
                </c:pt>
                <c:pt idx="7">
                  <c:v>2.52</c:v>
                </c:pt>
                <c:pt idx="8">
                  <c:v>3.07</c:v>
                </c:pt>
                <c:pt idx="9">
                  <c:v>3.32</c:v>
                </c:pt>
                <c:pt idx="10">
                  <c:v>4.87</c:v>
                </c:pt>
                <c:pt idx="11">
                  <c:v>3.9</c:v>
                </c:pt>
              </c:numCache>
            </c:numRef>
          </c:val>
        </c:ser>
        <c:ser>
          <c:idx val="6"/>
          <c:order val="6"/>
          <c:tx>
            <c:strRef>
              <c:f>Foaie1!$H$1</c:f>
              <c:strCache>
                <c:ptCount val="1"/>
                <c:pt idx="0">
                  <c:v>SSRM Cernavoda (14-19)</c:v>
                </c:pt>
              </c:strCache>
            </c:strRef>
          </c:tx>
          <c:invertIfNegative val="0"/>
          <c:cat>
            <c:strRef>
              <c:f>Foaie1!$A$2:$A$13</c:f>
              <c:strCache>
                <c:ptCount val="12"/>
                <c:pt idx="0">
                  <c:v>ian</c:v>
                </c:pt>
                <c:pt idx="1">
                  <c:v>feb</c:v>
                </c:pt>
                <c:pt idx="2">
                  <c:v>mar</c:v>
                </c:pt>
                <c:pt idx="3">
                  <c:v>apr</c:v>
                </c:pt>
                <c:pt idx="4">
                  <c:v>mai</c:v>
                </c:pt>
                <c:pt idx="5">
                  <c:v>iun</c:v>
                </c:pt>
                <c:pt idx="6">
                  <c:v>iul</c:v>
                </c:pt>
                <c:pt idx="7">
                  <c:v>aug</c:v>
                </c:pt>
                <c:pt idx="8">
                  <c:v>sep</c:v>
                </c:pt>
                <c:pt idx="9">
                  <c:v>oct</c:v>
                </c:pt>
                <c:pt idx="10">
                  <c:v>nov</c:v>
                </c:pt>
                <c:pt idx="11">
                  <c:v>dec</c:v>
                </c:pt>
              </c:strCache>
            </c:strRef>
          </c:cat>
          <c:val>
            <c:numRef>
              <c:f>Foaie1!$H$2:$H$13</c:f>
              <c:numCache>
                <c:formatCode>General</c:formatCode>
                <c:ptCount val="12"/>
                <c:pt idx="0">
                  <c:v>2.66</c:v>
                </c:pt>
                <c:pt idx="1">
                  <c:v>1.76</c:v>
                </c:pt>
                <c:pt idx="2">
                  <c:v>1.77</c:v>
                </c:pt>
                <c:pt idx="3">
                  <c:v>1.1399999999999999</c:v>
                </c:pt>
                <c:pt idx="4">
                  <c:v>1.4</c:v>
                </c:pt>
                <c:pt idx="5">
                  <c:v>1.35</c:v>
                </c:pt>
                <c:pt idx="6">
                  <c:v>1.41</c:v>
                </c:pt>
                <c:pt idx="7">
                  <c:v>1.84</c:v>
                </c:pt>
                <c:pt idx="8">
                  <c:v>2.36</c:v>
                </c:pt>
                <c:pt idx="9">
                  <c:v>2.87</c:v>
                </c:pt>
                <c:pt idx="10">
                  <c:v>4.5999999999999996</c:v>
                </c:pt>
                <c:pt idx="11">
                  <c:v>3.7</c:v>
                </c:pt>
              </c:numCache>
            </c:numRef>
          </c:val>
        </c:ser>
        <c:ser>
          <c:idx val="7"/>
          <c:order val="7"/>
          <c:tx>
            <c:strRef>
              <c:f>Foaie1!$I$1</c:f>
              <c:strCache>
                <c:ptCount val="1"/>
                <c:pt idx="0">
                  <c:v>SSRM Cernavoda (20-01)</c:v>
                </c:pt>
              </c:strCache>
            </c:strRef>
          </c:tx>
          <c:invertIfNegative val="0"/>
          <c:cat>
            <c:strRef>
              <c:f>Foaie1!$A$2:$A$13</c:f>
              <c:strCache>
                <c:ptCount val="12"/>
                <c:pt idx="0">
                  <c:v>ian</c:v>
                </c:pt>
                <c:pt idx="1">
                  <c:v>feb</c:v>
                </c:pt>
                <c:pt idx="2">
                  <c:v>mar</c:v>
                </c:pt>
                <c:pt idx="3">
                  <c:v>apr</c:v>
                </c:pt>
                <c:pt idx="4">
                  <c:v>mai</c:v>
                </c:pt>
                <c:pt idx="5">
                  <c:v>iun</c:v>
                </c:pt>
                <c:pt idx="6">
                  <c:v>iul</c:v>
                </c:pt>
                <c:pt idx="7">
                  <c:v>aug</c:v>
                </c:pt>
                <c:pt idx="8">
                  <c:v>sep</c:v>
                </c:pt>
                <c:pt idx="9">
                  <c:v>oct</c:v>
                </c:pt>
                <c:pt idx="10">
                  <c:v>nov</c:v>
                </c:pt>
                <c:pt idx="11">
                  <c:v>dec</c:v>
                </c:pt>
              </c:strCache>
            </c:strRef>
          </c:cat>
          <c:val>
            <c:numRef>
              <c:f>Foaie1!$I$2:$I$13</c:f>
              <c:numCache>
                <c:formatCode>General</c:formatCode>
                <c:ptCount val="12"/>
                <c:pt idx="0">
                  <c:v>3.05</c:v>
                </c:pt>
                <c:pt idx="1">
                  <c:v>2.58</c:v>
                </c:pt>
                <c:pt idx="2">
                  <c:v>3.06</c:v>
                </c:pt>
                <c:pt idx="3">
                  <c:v>2.5</c:v>
                </c:pt>
                <c:pt idx="4">
                  <c:v>3.23</c:v>
                </c:pt>
                <c:pt idx="5">
                  <c:v>3.42</c:v>
                </c:pt>
                <c:pt idx="6">
                  <c:v>3.87</c:v>
                </c:pt>
                <c:pt idx="7">
                  <c:v>4.92</c:v>
                </c:pt>
                <c:pt idx="8">
                  <c:v>4.99</c:v>
                </c:pt>
                <c:pt idx="9">
                  <c:v>4.88</c:v>
                </c:pt>
                <c:pt idx="10">
                  <c:v>5.75</c:v>
                </c:pt>
                <c:pt idx="11">
                  <c:v>4.87</c:v>
                </c:pt>
              </c:numCache>
            </c:numRef>
          </c:val>
        </c:ser>
        <c:dLbls>
          <c:showLegendKey val="0"/>
          <c:showVal val="0"/>
          <c:showCatName val="0"/>
          <c:showSerName val="0"/>
          <c:showPercent val="0"/>
          <c:showBubbleSize val="0"/>
        </c:dLbls>
        <c:gapWidth val="150"/>
        <c:axId val="102541952"/>
        <c:axId val="102556032"/>
      </c:barChart>
      <c:catAx>
        <c:axId val="102541952"/>
        <c:scaling>
          <c:orientation val="minMax"/>
        </c:scaling>
        <c:delete val="0"/>
        <c:axPos val="b"/>
        <c:numFmt formatCode="General" sourceLinked="1"/>
        <c:majorTickMark val="none"/>
        <c:minorTickMark val="none"/>
        <c:tickLblPos val="nextTo"/>
        <c:txPr>
          <a:bodyPr rot="-2280000" vert="horz"/>
          <a:lstStyle/>
          <a:p>
            <a:pPr>
              <a:defRPr/>
            </a:pPr>
            <a:endParaRPr lang="en-US"/>
          </a:p>
        </c:txPr>
        <c:crossAx val="102556032"/>
        <c:crossesAt val="0"/>
        <c:auto val="1"/>
        <c:lblAlgn val="ctr"/>
        <c:lblOffset val="100"/>
        <c:noMultiLvlLbl val="0"/>
      </c:catAx>
      <c:valAx>
        <c:axId val="102556032"/>
        <c:scaling>
          <c:orientation val="minMax"/>
          <c:max val="10"/>
          <c:min val="0"/>
        </c:scaling>
        <c:delete val="0"/>
        <c:axPos val="l"/>
        <c:majorGridlines/>
        <c:title>
          <c:tx>
            <c:rich>
              <a:bodyPr rot="-5400000" vert="horz"/>
              <a:lstStyle/>
              <a:p>
                <a:pPr>
                  <a:defRPr sz="1100">
                    <a:latin typeface="+mn-lt"/>
                    <a:cs typeface="Arial" panose="020B0604020202020204" pitchFamily="34" charset="0"/>
                  </a:defRPr>
                </a:pPr>
                <a:r>
                  <a:rPr lang="ro-RO" sz="1100">
                    <a:latin typeface="+mn-lt"/>
                    <a:cs typeface="Arial" panose="020B0604020202020204" pitchFamily="34" charset="0"/>
                  </a:rPr>
                  <a:t>Bq/mc</a:t>
                </a:r>
                <a:endParaRPr lang="vi-VN" sz="1100">
                  <a:latin typeface="+mn-lt"/>
                  <a:cs typeface="Arial" panose="020B0604020202020204" pitchFamily="34" charset="0"/>
                </a:endParaRPr>
              </a:p>
            </c:rich>
          </c:tx>
          <c:overlay val="0"/>
        </c:title>
        <c:numFmt formatCode="General" sourceLinked="0"/>
        <c:majorTickMark val="none"/>
        <c:minorTickMark val="none"/>
        <c:tickLblPos val="nextTo"/>
        <c:spPr>
          <a:ln cmpd="dbl"/>
        </c:spPr>
        <c:txPr>
          <a:bodyPr rot="0" vert="horz"/>
          <a:lstStyle/>
          <a:p>
            <a:pPr>
              <a:defRPr/>
            </a:pPr>
            <a:endParaRPr lang="en-US"/>
          </a:p>
        </c:txPr>
        <c:crossAx val="102541952"/>
        <c:crosses val="autoZero"/>
        <c:crossBetween val="between"/>
      </c:valAx>
    </c:plotArea>
    <c:legend>
      <c:legendPos val="b"/>
      <c:layout>
        <c:manualLayout>
          <c:xMode val="edge"/>
          <c:yMode val="edge"/>
          <c:x val="3.0158730158730159E-2"/>
          <c:y val="0.81251997666958298"/>
          <c:w val="0.95297554472357626"/>
          <c:h val="0.16504770237053701"/>
        </c:manualLayout>
      </c:layout>
      <c:overlay val="0"/>
      <c:txPr>
        <a:bodyPr/>
        <a:lstStyle/>
        <a:p>
          <a:pPr>
            <a:defRPr sz="900">
              <a:latin typeface="+mn-lt"/>
              <a:cs typeface="Arial" panose="020B0604020202020204" pitchFamily="34" charset="0"/>
            </a:defRPr>
          </a:pPr>
          <a:endParaRPr lang="en-US"/>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mn-lt"/>
                <a:cs typeface="Arial" panose="020B0604020202020204" pitchFamily="34" charset="0"/>
              </a:defRPr>
            </a:pPr>
            <a:r>
              <a:rPr lang="ro-RO" sz="1200">
                <a:latin typeface="+mn-lt"/>
                <a:cs typeface="Arial" panose="020B0604020202020204" pitchFamily="34" charset="0"/>
              </a:rPr>
              <a:t>Figura </a:t>
            </a:r>
            <a:r>
              <a:rPr lang="ro-RO" sz="1200" b="1" i="0" u="none" strike="noStrike" kern="1200" baseline="0">
                <a:solidFill>
                  <a:sysClr val="windowText" lastClr="000000"/>
                </a:solidFill>
                <a:latin typeface="+mn-lt"/>
                <a:ea typeface="+mn-ea"/>
                <a:cs typeface="Arial" panose="020B0604020202020204" pitchFamily="34" charset="0"/>
              </a:rPr>
              <a:t>IX</a:t>
            </a:r>
            <a:r>
              <a:rPr lang="ro-RO" sz="1200">
                <a:latin typeface="+mn-lt"/>
                <a:cs typeface="Arial" panose="020B0604020202020204" pitchFamily="34" charset="0"/>
              </a:rPr>
              <a:t>.7. Medii anuale ale activității beta globale a aerosolilor atmosferici -</a:t>
            </a:r>
            <a:r>
              <a:rPr lang="ro-RO" sz="1200" baseline="0">
                <a:latin typeface="+mn-lt"/>
                <a:cs typeface="Arial" panose="020B0604020202020204" pitchFamily="34" charset="0"/>
              </a:rPr>
              <a:t> măsurători imediate la SSRM Constanța și Cernavodă</a:t>
            </a:r>
          </a:p>
        </c:rich>
      </c:tx>
      <c:overlay val="0"/>
    </c:title>
    <c:autoTitleDeleted val="0"/>
    <c:plotArea>
      <c:layout>
        <c:manualLayout>
          <c:layoutTarget val="inner"/>
          <c:xMode val="edge"/>
          <c:yMode val="edge"/>
          <c:x val="7.9981415366557437E-2"/>
          <c:y val="0.25117811493075559"/>
          <c:w val="0.91330268499046319"/>
          <c:h val="0.46968269210251157"/>
        </c:manualLayout>
      </c:layout>
      <c:lineChart>
        <c:grouping val="standard"/>
        <c:varyColors val="0"/>
        <c:ser>
          <c:idx val="0"/>
          <c:order val="0"/>
          <c:tx>
            <c:strRef>
              <c:f>Foaie1!$B$1</c:f>
              <c:strCache>
                <c:ptCount val="1"/>
                <c:pt idx="0">
                  <c:v>SSRM Constanţa </c:v>
                </c:pt>
              </c:strCache>
            </c:strRef>
          </c:tx>
          <c:cat>
            <c:numRef>
              <c:f>Foaie1!$A$2:$A$7</c:f>
              <c:numCache>
                <c:formatCode>General</c:formatCode>
                <c:ptCount val="6"/>
                <c:pt idx="0">
                  <c:v>2010</c:v>
                </c:pt>
                <c:pt idx="1">
                  <c:v>2011</c:v>
                </c:pt>
                <c:pt idx="2">
                  <c:v>2012</c:v>
                </c:pt>
                <c:pt idx="3">
                  <c:v>2013</c:v>
                </c:pt>
                <c:pt idx="4">
                  <c:v>2014</c:v>
                </c:pt>
                <c:pt idx="5">
                  <c:v>2015</c:v>
                </c:pt>
              </c:numCache>
            </c:numRef>
          </c:cat>
          <c:val>
            <c:numRef>
              <c:f>Foaie1!$B$2:$B$7</c:f>
              <c:numCache>
                <c:formatCode>General</c:formatCode>
                <c:ptCount val="6"/>
                <c:pt idx="0">
                  <c:v>1.37</c:v>
                </c:pt>
                <c:pt idx="1">
                  <c:v>1.68</c:v>
                </c:pt>
                <c:pt idx="2">
                  <c:v>1.66</c:v>
                </c:pt>
                <c:pt idx="3">
                  <c:v>1.53</c:v>
                </c:pt>
                <c:pt idx="4" formatCode="0.00">
                  <c:v>1.6</c:v>
                </c:pt>
                <c:pt idx="5" formatCode="0.00">
                  <c:v>1.4650000000000001</c:v>
                </c:pt>
              </c:numCache>
            </c:numRef>
          </c:val>
          <c:smooth val="0"/>
        </c:ser>
        <c:ser>
          <c:idx val="1"/>
          <c:order val="1"/>
          <c:tx>
            <c:strRef>
              <c:f>Foaie1!$C$1</c:f>
              <c:strCache>
                <c:ptCount val="1"/>
                <c:pt idx="0">
                  <c:v>SSRM Cernavodă</c:v>
                </c:pt>
              </c:strCache>
            </c:strRef>
          </c:tx>
          <c:cat>
            <c:numRef>
              <c:f>Foaie1!$A$2:$A$7</c:f>
              <c:numCache>
                <c:formatCode>General</c:formatCode>
                <c:ptCount val="6"/>
                <c:pt idx="0">
                  <c:v>2010</c:v>
                </c:pt>
                <c:pt idx="1">
                  <c:v>2011</c:v>
                </c:pt>
                <c:pt idx="2">
                  <c:v>2012</c:v>
                </c:pt>
                <c:pt idx="3">
                  <c:v>2013</c:v>
                </c:pt>
                <c:pt idx="4">
                  <c:v>2014</c:v>
                </c:pt>
                <c:pt idx="5">
                  <c:v>2015</c:v>
                </c:pt>
              </c:numCache>
            </c:numRef>
          </c:cat>
          <c:val>
            <c:numRef>
              <c:f>Foaie1!$C$2:$C$7</c:f>
              <c:numCache>
                <c:formatCode>0.00</c:formatCode>
                <c:ptCount val="6"/>
                <c:pt idx="0">
                  <c:v>3.21</c:v>
                </c:pt>
                <c:pt idx="1">
                  <c:v>4.0999999999999996</c:v>
                </c:pt>
                <c:pt idx="2">
                  <c:v>4.1399999999999997</c:v>
                </c:pt>
                <c:pt idx="3">
                  <c:v>3.2</c:v>
                </c:pt>
                <c:pt idx="4">
                  <c:v>3.69</c:v>
                </c:pt>
                <c:pt idx="5">
                  <c:v>3.51</c:v>
                </c:pt>
              </c:numCache>
            </c:numRef>
          </c:val>
          <c:smooth val="0"/>
        </c:ser>
        <c:dLbls>
          <c:showLegendKey val="0"/>
          <c:showVal val="0"/>
          <c:showCatName val="0"/>
          <c:showSerName val="0"/>
          <c:showPercent val="0"/>
          <c:showBubbleSize val="0"/>
        </c:dLbls>
        <c:marker val="1"/>
        <c:smooth val="0"/>
        <c:axId val="101987840"/>
        <c:axId val="101989376"/>
      </c:lineChart>
      <c:catAx>
        <c:axId val="101987840"/>
        <c:scaling>
          <c:orientation val="minMax"/>
        </c:scaling>
        <c:delete val="0"/>
        <c:axPos val="b"/>
        <c:numFmt formatCode="General" sourceLinked="1"/>
        <c:majorTickMark val="none"/>
        <c:minorTickMark val="none"/>
        <c:tickLblPos val="nextTo"/>
        <c:txPr>
          <a:bodyPr rot="0" vert="horz"/>
          <a:lstStyle/>
          <a:p>
            <a:pPr>
              <a:defRPr/>
            </a:pPr>
            <a:endParaRPr lang="en-US"/>
          </a:p>
        </c:txPr>
        <c:crossAx val="101989376"/>
        <c:crossesAt val="0"/>
        <c:auto val="1"/>
        <c:lblAlgn val="ctr"/>
        <c:lblOffset val="100"/>
        <c:noMultiLvlLbl val="0"/>
      </c:catAx>
      <c:valAx>
        <c:axId val="101989376"/>
        <c:scaling>
          <c:orientation val="minMax"/>
          <c:max val="10"/>
          <c:min val="0"/>
        </c:scaling>
        <c:delete val="0"/>
        <c:axPos val="l"/>
        <c:majorGridlines/>
        <c:title>
          <c:tx>
            <c:rich>
              <a:bodyPr rot="-5400000" vert="horz"/>
              <a:lstStyle/>
              <a:p>
                <a:pPr>
                  <a:defRPr sz="1100"/>
                </a:pPr>
                <a:r>
                  <a:rPr lang="ro-RO" sz="1100"/>
                  <a:t>Bq/mc</a:t>
                </a:r>
                <a:endParaRPr lang="vi-VN" sz="1100"/>
              </a:p>
            </c:rich>
          </c:tx>
          <c:overlay val="0"/>
        </c:title>
        <c:numFmt formatCode="General" sourceLinked="0"/>
        <c:majorTickMark val="none"/>
        <c:minorTickMark val="none"/>
        <c:tickLblPos val="nextTo"/>
        <c:spPr>
          <a:ln cmpd="dbl"/>
        </c:spPr>
        <c:txPr>
          <a:bodyPr rot="0" vert="horz"/>
          <a:lstStyle/>
          <a:p>
            <a:pPr>
              <a:defRPr/>
            </a:pPr>
            <a:endParaRPr lang="en-US"/>
          </a:p>
        </c:txPr>
        <c:crossAx val="101987840"/>
        <c:crosses val="autoZero"/>
        <c:crossBetween val="between"/>
      </c:valAx>
    </c:plotArea>
    <c:legend>
      <c:legendPos val="b"/>
      <c:layout>
        <c:manualLayout>
          <c:xMode val="edge"/>
          <c:yMode val="edge"/>
          <c:x val="0.25661375661375663"/>
          <c:y val="0.88471459759118898"/>
          <c:w val="0.47836320459942505"/>
          <c:h val="7.1971794570454814E-2"/>
        </c:manualLayout>
      </c:layout>
      <c:overlay val="0"/>
      <c:txPr>
        <a:bodyPr/>
        <a:lstStyle/>
        <a:p>
          <a:pPr>
            <a:defRPr sz="1000">
              <a:latin typeface="+mn-lt"/>
            </a:defRPr>
          </a:pPr>
          <a:endParaRPr lang="en-US"/>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Calibri" panose="020F0502020204030204" pitchFamily="34" charset="0"/>
                <a:ea typeface="Arial"/>
                <a:cs typeface="Arial"/>
              </a:defRPr>
            </a:pPr>
            <a:r>
              <a:rPr lang="vi-VN" sz="1200">
                <a:latin typeface="Calibri" panose="020F0502020204030204" pitchFamily="34" charset="0"/>
              </a:rPr>
              <a:t>Figura </a:t>
            </a:r>
            <a:r>
              <a:rPr lang="ro-RO" sz="1200" b="1" i="0" u="none" strike="noStrike" kern="1200" baseline="0">
                <a:solidFill>
                  <a:srgbClr val="000000"/>
                </a:solidFill>
                <a:latin typeface="Calibri" panose="020F0502020204030204" pitchFamily="34" charset="0"/>
                <a:cs typeface="Arial"/>
              </a:rPr>
              <a:t>IX</a:t>
            </a:r>
            <a:r>
              <a:rPr lang="vi-VN" sz="1200">
                <a:latin typeface="Calibri" panose="020F0502020204030204" pitchFamily="34" charset="0"/>
              </a:rPr>
              <a:t>.</a:t>
            </a:r>
            <a:r>
              <a:rPr lang="ro-RO" sz="1200">
                <a:latin typeface="Calibri" panose="020F0502020204030204" pitchFamily="34" charset="0"/>
              </a:rPr>
              <a:t>8.</a:t>
            </a:r>
            <a:r>
              <a:rPr lang="vi-VN" sz="1200">
                <a:latin typeface="Calibri" panose="020F0502020204030204" pitchFamily="34" charset="0"/>
              </a:rPr>
              <a:t> Variaţia </a:t>
            </a:r>
            <a:r>
              <a:rPr lang="ro-RO" sz="1200">
                <a:latin typeface="Calibri" panose="020F0502020204030204" pitchFamily="34" charset="0"/>
              </a:rPr>
              <a:t>mediei anuale a activității</a:t>
            </a:r>
            <a:r>
              <a:rPr lang="ro-RO" sz="1200" baseline="0">
                <a:latin typeface="Calibri" panose="020F0502020204030204" pitchFamily="34" charset="0"/>
              </a:rPr>
              <a:t> specifice  a</a:t>
            </a:r>
            <a:r>
              <a:rPr lang="vi-VN" sz="1200">
                <a:latin typeface="Calibri" panose="020F0502020204030204" pitchFamily="34" charset="0"/>
              </a:rPr>
              <a:t> </a:t>
            </a:r>
            <a:r>
              <a:rPr lang="ro-RO" sz="1200">
                <a:latin typeface="Calibri" panose="020F0502020204030204" pitchFamily="34" charset="0"/>
              </a:rPr>
              <a:t>descendenților </a:t>
            </a:r>
            <a:r>
              <a:rPr lang="vi-VN" sz="1200">
                <a:latin typeface="Calibri" panose="020F0502020204030204" pitchFamily="34" charset="0"/>
              </a:rPr>
              <a:t>radonului </a:t>
            </a:r>
            <a:r>
              <a:rPr lang="ro-RO" sz="1200">
                <a:latin typeface="Calibri" panose="020F0502020204030204" pitchFamily="34" charset="0"/>
              </a:rPr>
              <a:t>din</a:t>
            </a:r>
            <a:r>
              <a:rPr lang="vi-VN" sz="1200">
                <a:latin typeface="Calibri" panose="020F0502020204030204" pitchFamily="34" charset="0"/>
              </a:rPr>
              <a:t> atmosferă</a:t>
            </a:r>
            <a:r>
              <a:rPr lang="ro-RO" sz="1200">
                <a:latin typeface="Calibri" panose="020F0502020204030204" pitchFamily="34" charset="0"/>
              </a:rPr>
              <a:t> la SSRM Constanța și Cernavodă</a:t>
            </a:r>
            <a:r>
              <a:rPr lang="ro-RO" sz="1200" baseline="0">
                <a:latin typeface="Calibri" panose="020F0502020204030204" pitchFamily="34" charset="0"/>
              </a:rPr>
              <a:t> în anul 201</a:t>
            </a:r>
            <a:r>
              <a:rPr lang="en-US" sz="1200" baseline="0">
                <a:latin typeface="Calibri" panose="020F0502020204030204" pitchFamily="34" charset="0"/>
              </a:rPr>
              <a:t>5</a:t>
            </a:r>
            <a:endParaRPr lang="vi-VN" sz="1200">
              <a:latin typeface="Calibri" panose="020F0502020204030204" pitchFamily="34" charset="0"/>
            </a:endParaRPr>
          </a:p>
        </c:rich>
      </c:tx>
      <c:layout>
        <c:manualLayout>
          <c:xMode val="edge"/>
          <c:yMode val="edge"/>
          <c:x val="0.14307692307692307"/>
          <c:y val="1.9230769230769232E-2"/>
        </c:manualLayout>
      </c:layout>
      <c:overlay val="0"/>
      <c:spPr>
        <a:noFill/>
        <a:ln w="25398">
          <a:noFill/>
        </a:ln>
      </c:spPr>
    </c:title>
    <c:autoTitleDeleted val="0"/>
    <c:plotArea>
      <c:layout>
        <c:manualLayout>
          <c:layoutTarget val="inner"/>
          <c:xMode val="edge"/>
          <c:yMode val="edge"/>
          <c:x val="0.1072121419605158"/>
          <c:y val="0.21191176345675236"/>
          <c:w val="0.85272493112274006"/>
          <c:h val="0.53768502238191096"/>
        </c:manualLayout>
      </c:layout>
      <c:lineChart>
        <c:grouping val="stacked"/>
        <c:varyColors val="0"/>
        <c:ser>
          <c:idx val="1"/>
          <c:order val="0"/>
          <c:tx>
            <c:strRef>
              <c:f>Sheet1!$A$2</c:f>
              <c:strCache>
                <c:ptCount val="1"/>
                <c:pt idx="0">
                  <c:v>SSRM Constanţa</c:v>
                </c:pt>
              </c:strCache>
            </c:strRef>
          </c:tx>
          <c:spPr>
            <a:ln w="12699">
              <a:solidFill>
                <a:srgbClr val="FF00FF"/>
              </a:solidFill>
              <a:prstDash val="solid"/>
            </a:ln>
          </c:spPr>
          <c:marker>
            <c:symbol val="square"/>
            <c:size val="4"/>
            <c:spPr>
              <a:solidFill>
                <a:srgbClr val="FF00FF"/>
              </a:solidFill>
              <a:ln>
                <a:solidFill>
                  <a:srgbClr val="FF00FF"/>
                </a:solidFill>
                <a:prstDash val="solid"/>
              </a:ln>
            </c:spPr>
          </c:marker>
          <c:cat>
            <c:strRef>
              <c:f>Sheet1!$B$1:$E$1</c:f>
              <c:strCache>
                <c:ptCount val="4"/>
                <c:pt idx="0">
                  <c:v>aspiraţia 02-07</c:v>
                </c:pt>
                <c:pt idx="1">
                  <c:v>aspiraţia 08-13</c:v>
                </c:pt>
                <c:pt idx="2">
                  <c:v>aspiraţia 14-19</c:v>
                </c:pt>
                <c:pt idx="3">
                  <c:v>aspiraţia 20-01</c:v>
                </c:pt>
              </c:strCache>
            </c:strRef>
          </c:cat>
          <c:val>
            <c:numRef>
              <c:f>Sheet1!$B$2:$E$2</c:f>
              <c:numCache>
                <c:formatCode>General</c:formatCode>
                <c:ptCount val="4"/>
                <c:pt idx="0">
                  <c:v>5.4390999999999998</c:v>
                </c:pt>
                <c:pt idx="1">
                  <c:v>3.3189000000000002</c:v>
                </c:pt>
                <c:pt idx="2">
                  <c:v>3.0196999999999998</c:v>
                </c:pt>
                <c:pt idx="3">
                  <c:v>4.1327999999999996</c:v>
                </c:pt>
              </c:numCache>
            </c:numRef>
          </c:val>
          <c:smooth val="0"/>
        </c:ser>
        <c:ser>
          <c:idx val="0"/>
          <c:order val="1"/>
          <c:tx>
            <c:strRef>
              <c:f>Sheet1!$A$3</c:f>
              <c:strCache>
                <c:ptCount val="1"/>
                <c:pt idx="0">
                  <c:v>SSRM Cernavodă</c:v>
                </c:pt>
              </c:strCache>
            </c:strRef>
          </c:tx>
          <c:spPr>
            <a:ln w="12699">
              <a:solidFill>
                <a:srgbClr val="000080"/>
              </a:solidFill>
              <a:prstDash val="solid"/>
            </a:ln>
          </c:spPr>
          <c:marker>
            <c:symbol val="diamond"/>
            <c:size val="4"/>
            <c:spPr>
              <a:solidFill>
                <a:srgbClr val="000080"/>
              </a:solidFill>
              <a:ln>
                <a:solidFill>
                  <a:srgbClr val="000080"/>
                </a:solidFill>
                <a:prstDash val="solid"/>
              </a:ln>
            </c:spPr>
          </c:marker>
          <c:cat>
            <c:strRef>
              <c:f>Sheet1!$B$1:$E$1</c:f>
              <c:strCache>
                <c:ptCount val="4"/>
                <c:pt idx="0">
                  <c:v>aspiraţia 02-07</c:v>
                </c:pt>
                <c:pt idx="1">
                  <c:v>aspiraţia 08-13</c:v>
                </c:pt>
                <c:pt idx="2">
                  <c:v>aspiraţia 14-19</c:v>
                </c:pt>
                <c:pt idx="3">
                  <c:v>aspiraţia 20-01</c:v>
                </c:pt>
              </c:strCache>
            </c:strRef>
          </c:cat>
          <c:val>
            <c:numRef>
              <c:f>Sheet1!$B$3:$E$3</c:f>
              <c:numCache>
                <c:formatCode>General</c:formatCode>
                <c:ptCount val="4"/>
                <c:pt idx="0">
                  <c:v>14.013999999999999</c:v>
                </c:pt>
                <c:pt idx="1">
                  <c:v>6.867</c:v>
                </c:pt>
                <c:pt idx="2">
                  <c:v>6.2450000000000001</c:v>
                </c:pt>
                <c:pt idx="3">
                  <c:v>10.438000000000001</c:v>
                </c:pt>
              </c:numCache>
            </c:numRef>
          </c:val>
          <c:smooth val="0"/>
        </c:ser>
        <c:dLbls>
          <c:showLegendKey val="0"/>
          <c:showVal val="0"/>
          <c:showCatName val="0"/>
          <c:showSerName val="0"/>
          <c:showPercent val="0"/>
          <c:showBubbleSize val="0"/>
        </c:dLbls>
        <c:marker val="1"/>
        <c:smooth val="0"/>
        <c:axId val="107753472"/>
        <c:axId val="107755392"/>
      </c:lineChart>
      <c:catAx>
        <c:axId val="10775347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50" b="0" i="0" u="none" strike="noStrike" baseline="0">
                <a:solidFill>
                  <a:srgbClr val="000000"/>
                </a:solidFill>
                <a:latin typeface="Calibri" panose="020F0502020204030204" pitchFamily="34" charset="0"/>
                <a:ea typeface="Arial"/>
                <a:cs typeface="Arial"/>
              </a:defRPr>
            </a:pPr>
            <a:endParaRPr lang="en-US"/>
          </a:p>
        </c:txPr>
        <c:crossAx val="107755392"/>
        <c:crosses val="autoZero"/>
        <c:auto val="0"/>
        <c:lblAlgn val="ctr"/>
        <c:lblOffset val="100"/>
        <c:tickLblSkip val="1"/>
        <c:tickMarkSkip val="1"/>
        <c:noMultiLvlLbl val="0"/>
      </c:catAx>
      <c:valAx>
        <c:axId val="107755392"/>
        <c:scaling>
          <c:orientation val="minMax"/>
        </c:scaling>
        <c:delete val="0"/>
        <c:axPos val="l"/>
        <c:title>
          <c:tx>
            <c:rich>
              <a:bodyPr/>
              <a:lstStyle/>
              <a:p>
                <a:pPr>
                  <a:defRPr sz="1100" b="1" i="0" u="none" strike="noStrike" baseline="0">
                    <a:solidFill>
                      <a:srgbClr val="000000"/>
                    </a:solidFill>
                    <a:latin typeface="Calibri" panose="020F0502020204030204" pitchFamily="34" charset="0"/>
                    <a:ea typeface="Arial"/>
                    <a:cs typeface="Arial"/>
                  </a:defRPr>
                </a:pPr>
                <a:r>
                  <a:rPr lang="en-US" sz="1100">
                    <a:latin typeface="Calibri" panose="020F0502020204030204" pitchFamily="34" charset="0"/>
                  </a:rPr>
                  <a:t>Bq/mc</a:t>
                </a:r>
              </a:p>
            </c:rich>
          </c:tx>
          <c:layout>
            <c:manualLayout>
              <c:xMode val="edge"/>
              <c:yMode val="edge"/>
              <c:x val="1.8633540372670808E-2"/>
              <c:y val="0.35384620611743922"/>
            </c:manualLayout>
          </c:layout>
          <c:overlay val="0"/>
          <c:spPr>
            <a:noFill/>
            <a:ln w="25398">
              <a:noFill/>
            </a:ln>
          </c:spPr>
        </c:title>
        <c:numFmt formatCode="#,##0" sourceLinked="0"/>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107753472"/>
        <c:crosses val="autoZero"/>
        <c:crossBetween val="between"/>
      </c:valAx>
      <c:spPr>
        <a:gradFill rotWithShape="0">
          <a:gsLst>
            <a:gs pos="0">
              <a:srgbClr xmlns:mc="http://schemas.openxmlformats.org/markup-compatibility/2006" xmlns:a14="http://schemas.microsoft.com/office/drawing/2010/main" val="CCFFFF" mc:Ignorable="a14" a14:legacySpreadsheetColorIndex="27"/>
            </a:gs>
            <a:gs pos="100000">
              <a:srgbClr xmlns:mc="http://schemas.openxmlformats.org/markup-compatibility/2006" xmlns:a14="http://schemas.microsoft.com/office/drawing/2010/main" val="000000" mc:Ignorable="a14" a14:legacySpreadsheetColorIndex="27">
                <a:gamma/>
                <a:shade val="46275"/>
                <a:invGamma/>
              </a:srgbClr>
            </a:gs>
          </a:gsLst>
          <a:lin ang="5400000" scaled="1"/>
        </a:gradFill>
        <a:ln w="25398">
          <a:noFill/>
        </a:ln>
      </c:spPr>
    </c:plotArea>
    <c:legend>
      <c:legendPos val="b"/>
      <c:layout>
        <c:manualLayout>
          <c:xMode val="edge"/>
          <c:yMode val="edge"/>
          <c:x val="9.9828010629106151E-2"/>
          <c:y val="0.84975188781014022"/>
          <c:w val="0.8569230769230769"/>
          <c:h val="0.11538461538461539"/>
        </c:manualLayout>
      </c:layout>
      <c:overlay val="0"/>
      <c:spPr>
        <a:noFill/>
        <a:ln w="3175">
          <a:noFill/>
          <a:prstDash val="solid"/>
        </a:ln>
      </c:spPr>
      <c:txPr>
        <a:bodyPr/>
        <a:lstStyle/>
        <a:p>
          <a:pPr>
            <a:defRPr sz="1050" b="0" i="0" u="none" strike="noStrike" baseline="0">
              <a:solidFill>
                <a:srgbClr val="000000"/>
              </a:solidFill>
              <a:latin typeface="Calibri" panose="020F0502020204030204" pitchFamily="34" charset="0"/>
              <a:ea typeface="Arial"/>
              <a:cs typeface="Arial"/>
            </a:defRPr>
          </a:pPr>
          <a:endParaRPr lang="en-US"/>
        </a:p>
      </c:txPr>
    </c:legend>
    <c:plotVisOnly val="1"/>
    <c:dispBlanksAs val="zero"/>
    <c:showDLblsOverMax val="0"/>
  </c:chart>
  <c:spPr>
    <a:noFill/>
    <a:ln w="9525" cap="flat" cmpd="sng" algn="ctr">
      <a:solidFill>
        <a:srgbClr val="000000"/>
      </a:solidFill>
      <a:prstDash val="solid"/>
      <a:miter lim="800000"/>
      <a:headEnd type="none" w="med" len="med"/>
      <a:tailEnd type="none" w="med" len="med"/>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Calibri" panose="020F0502020204030204" pitchFamily="34" charset="0"/>
                <a:ea typeface="Arial"/>
                <a:cs typeface="Arial"/>
              </a:defRPr>
            </a:pPr>
            <a:r>
              <a:rPr lang="vi-VN" sz="1200" b="1" i="0" u="none" strike="noStrike" baseline="0">
                <a:effectLst/>
                <a:latin typeface="Calibri" panose="020F0502020204030204" pitchFamily="34" charset="0"/>
              </a:rPr>
              <a:t>Figura </a:t>
            </a:r>
            <a:r>
              <a:rPr lang="ro-RO" sz="1200" b="1" i="0" u="none" strike="noStrike" kern="1200" baseline="0">
                <a:solidFill>
                  <a:srgbClr val="000000"/>
                </a:solidFill>
                <a:effectLst/>
                <a:latin typeface="Calibri" panose="020F0502020204030204" pitchFamily="34" charset="0"/>
                <a:cs typeface="Arial"/>
              </a:rPr>
              <a:t>IX</a:t>
            </a:r>
            <a:r>
              <a:rPr lang="vi-VN" sz="1200" b="1" i="0" u="none" strike="noStrike" baseline="0">
                <a:effectLst/>
                <a:latin typeface="Calibri" panose="020F0502020204030204" pitchFamily="34" charset="0"/>
              </a:rPr>
              <a:t>.</a:t>
            </a:r>
            <a:r>
              <a:rPr lang="ro-RO" sz="1200" b="1" i="0" u="none" strike="noStrike" baseline="0">
                <a:effectLst/>
                <a:latin typeface="Calibri" panose="020F0502020204030204" pitchFamily="34" charset="0"/>
              </a:rPr>
              <a:t>9.</a:t>
            </a:r>
            <a:r>
              <a:rPr lang="vi-VN" sz="1200" b="1" i="0" u="none" strike="noStrike" baseline="0">
                <a:effectLst/>
                <a:latin typeface="Calibri" panose="020F0502020204030204" pitchFamily="34" charset="0"/>
              </a:rPr>
              <a:t> Variaţia</a:t>
            </a:r>
            <a:r>
              <a:rPr lang="ro-RO" sz="1200" b="1" i="0" u="none" strike="noStrike" baseline="0">
                <a:effectLst/>
                <a:latin typeface="Calibri" panose="020F0502020204030204" pitchFamily="34" charset="0"/>
              </a:rPr>
              <a:t> mediei anuale a</a:t>
            </a:r>
            <a:r>
              <a:rPr lang="vi-VN" sz="1200" b="1" i="0" u="none" strike="noStrike" baseline="0">
                <a:effectLst/>
                <a:latin typeface="Calibri" panose="020F0502020204030204" pitchFamily="34" charset="0"/>
              </a:rPr>
              <a:t> </a:t>
            </a:r>
            <a:r>
              <a:rPr lang="ro-RO" sz="1200" b="1" i="0" u="none" strike="noStrike" baseline="0">
                <a:effectLst/>
                <a:latin typeface="Calibri" panose="020F0502020204030204" pitchFamily="34" charset="0"/>
              </a:rPr>
              <a:t>activității specifice a descendenților</a:t>
            </a:r>
            <a:r>
              <a:rPr lang="vi-VN" sz="1200" b="1" i="0" u="none" strike="noStrike" baseline="0">
                <a:effectLst/>
                <a:latin typeface="Calibri" panose="020F0502020204030204" pitchFamily="34" charset="0"/>
              </a:rPr>
              <a:t> </a:t>
            </a:r>
            <a:r>
              <a:rPr lang="ro-RO" sz="1200" b="1" i="0" u="none" strike="noStrike" baseline="0">
                <a:effectLst/>
                <a:latin typeface="Calibri" panose="020F0502020204030204" pitchFamily="34" charset="0"/>
              </a:rPr>
              <a:t>toronului</a:t>
            </a:r>
            <a:r>
              <a:rPr lang="vi-VN" sz="1200" b="1" i="0" u="none" strike="noStrike" baseline="0">
                <a:effectLst/>
                <a:latin typeface="Calibri" panose="020F0502020204030204" pitchFamily="34" charset="0"/>
              </a:rPr>
              <a:t> </a:t>
            </a:r>
            <a:r>
              <a:rPr lang="ro-RO" sz="1200" b="1" i="0" u="none" strike="noStrike" baseline="0">
                <a:effectLst/>
                <a:latin typeface="Calibri" panose="020F0502020204030204" pitchFamily="34" charset="0"/>
              </a:rPr>
              <a:t>din</a:t>
            </a:r>
            <a:r>
              <a:rPr lang="vi-VN" sz="1200" b="1" i="0" u="none" strike="noStrike" baseline="0">
                <a:effectLst/>
                <a:latin typeface="Calibri" panose="020F0502020204030204" pitchFamily="34" charset="0"/>
              </a:rPr>
              <a:t> atmosferă</a:t>
            </a:r>
            <a:r>
              <a:rPr lang="ro-RO" sz="1200" b="1" i="0" u="none" strike="noStrike" baseline="0">
                <a:effectLst/>
                <a:latin typeface="Calibri" panose="020F0502020204030204" pitchFamily="34" charset="0"/>
              </a:rPr>
              <a:t> la SSRM Constanța și Cernavodă în anul 201</a:t>
            </a:r>
            <a:r>
              <a:rPr lang="en-US" sz="1200" b="1" i="0" u="none" strike="noStrike" baseline="0">
                <a:effectLst/>
                <a:latin typeface="Calibri" panose="020F0502020204030204" pitchFamily="34" charset="0"/>
              </a:rPr>
              <a:t>5</a:t>
            </a:r>
            <a:endParaRPr lang="vi-VN" sz="1200">
              <a:latin typeface="Calibri" panose="020F0502020204030204" pitchFamily="34" charset="0"/>
            </a:endParaRPr>
          </a:p>
        </c:rich>
      </c:tx>
      <c:layout>
        <c:manualLayout>
          <c:xMode val="edge"/>
          <c:yMode val="edge"/>
          <c:x val="0.14439324116743471"/>
          <c:y val="2.0491803278688523E-2"/>
        </c:manualLayout>
      </c:layout>
      <c:overlay val="0"/>
      <c:spPr>
        <a:noFill/>
        <a:ln w="25398">
          <a:noFill/>
        </a:ln>
      </c:spPr>
    </c:title>
    <c:autoTitleDeleted val="0"/>
    <c:plotArea>
      <c:layout>
        <c:manualLayout>
          <c:layoutTarget val="inner"/>
          <c:xMode val="edge"/>
          <c:yMode val="edge"/>
          <c:x val="0.1051417485857746"/>
          <c:y val="0.18974075014816696"/>
          <c:w val="0.85500562429696292"/>
          <c:h val="0.58075082550165114"/>
        </c:manualLayout>
      </c:layout>
      <c:lineChart>
        <c:grouping val="stacked"/>
        <c:varyColors val="0"/>
        <c:ser>
          <c:idx val="1"/>
          <c:order val="0"/>
          <c:tx>
            <c:strRef>
              <c:f>Sheet1!$A$2</c:f>
              <c:strCache>
                <c:ptCount val="1"/>
                <c:pt idx="0">
                  <c:v>SSRM Constanţa</c:v>
                </c:pt>
              </c:strCache>
            </c:strRef>
          </c:tx>
          <c:spPr>
            <a:ln w="12699">
              <a:solidFill>
                <a:srgbClr val="FF00FF"/>
              </a:solidFill>
              <a:prstDash val="solid"/>
            </a:ln>
          </c:spPr>
          <c:marker>
            <c:symbol val="square"/>
            <c:size val="4"/>
            <c:spPr>
              <a:solidFill>
                <a:srgbClr val="FF00FF"/>
              </a:solidFill>
              <a:ln>
                <a:solidFill>
                  <a:srgbClr val="FF00FF"/>
                </a:solidFill>
                <a:prstDash val="solid"/>
              </a:ln>
            </c:spPr>
          </c:marker>
          <c:cat>
            <c:strRef>
              <c:f>Sheet1!$B$1:$E$1</c:f>
              <c:strCache>
                <c:ptCount val="4"/>
                <c:pt idx="0">
                  <c:v>aspiraţia 02-07</c:v>
                </c:pt>
                <c:pt idx="1">
                  <c:v>aspiraţia 08-13</c:v>
                </c:pt>
                <c:pt idx="2">
                  <c:v>aspiraţia 14-19</c:v>
                </c:pt>
                <c:pt idx="3">
                  <c:v>aspiraţia 20-01</c:v>
                </c:pt>
              </c:strCache>
            </c:strRef>
          </c:cat>
          <c:val>
            <c:numRef>
              <c:f>Sheet1!$B$2:$E$2</c:f>
              <c:numCache>
                <c:formatCode>General</c:formatCode>
                <c:ptCount val="4"/>
                <c:pt idx="0">
                  <c:v>0.21029999999999999</c:v>
                </c:pt>
                <c:pt idx="1">
                  <c:v>0.1076</c:v>
                </c:pt>
                <c:pt idx="2">
                  <c:v>7.1300000000000002E-2</c:v>
                </c:pt>
                <c:pt idx="3">
                  <c:v>0.1356</c:v>
                </c:pt>
              </c:numCache>
            </c:numRef>
          </c:val>
          <c:smooth val="0"/>
        </c:ser>
        <c:ser>
          <c:idx val="0"/>
          <c:order val="1"/>
          <c:tx>
            <c:strRef>
              <c:f>Sheet1!$A$3</c:f>
              <c:strCache>
                <c:ptCount val="1"/>
                <c:pt idx="0">
                  <c:v>SSRM Cernavodă</c:v>
                </c:pt>
              </c:strCache>
            </c:strRef>
          </c:tx>
          <c:spPr>
            <a:ln w="12699">
              <a:solidFill>
                <a:srgbClr val="000080"/>
              </a:solidFill>
              <a:prstDash val="solid"/>
            </a:ln>
          </c:spPr>
          <c:marker>
            <c:symbol val="diamond"/>
            <c:size val="4"/>
            <c:spPr>
              <a:solidFill>
                <a:srgbClr val="000080"/>
              </a:solidFill>
              <a:ln>
                <a:solidFill>
                  <a:srgbClr val="000080"/>
                </a:solidFill>
                <a:prstDash val="solid"/>
              </a:ln>
            </c:spPr>
          </c:marker>
          <c:cat>
            <c:strRef>
              <c:f>Sheet1!$B$1:$E$1</c:f>
              <c:strCache>
                <c:ptCount val="4"/>
                <c:pt idx="0">
                  <c:v>aspiraţia 02-07</c:v>
                </c:pt>
                <c:pt idx="1">
                  <c:v>aspiraţia 08-13</c:v>
                </c:pt>
                <c:pt idx="2">
                  <c:v>aspiraţia 14-19</c:v>
                </c:pt>
                <c:pt idx="3">
                  <c:v>aspiraţia 20-01</c:v>
                </c:pt>
              </c:strCache>
            </c:strRef>
          </c:cat>
          <c:val>
            <c:numRef>
              <c:f>Sheet1!$B$3:$E$3</c:f>
              <c:numCache>
                <c:formatCode>General</c:formatCode>
                <c:ptCount val="4"/>
                <c:pt idx="0">
                  <c:v>0.56579999999999997</c:v>
                </c:pt>
                <c:pt idx="1">
                  <c:v>0.27229999999999999</c:v>
                </c:pt>
                <c:pt idx="2">
                  <c:v>0.17760000000000001</c:v>
                </c:pt>
                <c:pt idx="3">
                  <c:v>0.41639999999999999</c:v>
                </c:pt>
              </c:numCache>
            </c:numRef>
          </c:val>
          <c:smooth val="0"/>
        </c:ser>
        <c:dLbls>
          <c:showLegendKey val="0"/>
          <c:showVal val="0"/>
          <c:showCatName val="0"/>
          <c:showSerName val="0"/>
          <c:showPercent val="0"/>
          <c:showBubbleSize val="0"/>
        </c:dLbls>
        <c:marker val="1"/>
        <c:smooth val="0"/>
        <c:axId val="107780736"/>
        <c:axId val="107791104"/>
      </c:lineChart>
      <c:catAx>
        <c:axId val="10778073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50" b="0" i="0" u="none" strike="noStrike" baseline="0">
                <a:solidFill>
                  <a:srgbClr val="000000"/>
                </a:solidFill>
                <a:latin typeface="Calibri" panose="020F0502020204030204" pitchFamily="34" charset="0"/>
                <a:ea typeface="Arial"/>
                <a:cs typeface="Arial"/>
              </a:defRPr>
            </a:pPr>
            <a:endParaRPr lang="en-US"/>
          </a:p>
        </c:txPr>
        <c:crossAx val="107791104"/>
        <c:crosses val="autoZero"/>
        <c:auto val="0"/>
        <c:lblAlgn val="ctr"/>
        <c:lblOffset val="100"/>
        <c:tickLblSkip val="1"/>
        <c:tickMarkSkip val="1"/>
        <c:noMultiLvlLbl val="0"/>
      </c:catAx>
      <c:valAx>
        <c:axId val="107791104"/>
        <c:scaling>
          <c:orientation val="minMax"/>
        </c:scaling>
        <c:delete val="0"/>
        <c:axPos val="l"/>
        <c:title>
          <c:tx>
            <c:rich>
              <a:bodyPr/>
              <a:lstStyle/>
              <a:p>
                <a:pPr>
                  <a:defRPr sz="1100" b="1" i="0" u="none" strike="noStrike" baseline="0">
                    <a:solidFill>
                      <a:srgbClr val="000000"/>
                    </a:solidFill>
                    <a:latin typeface="+mn-lt"/>
                    <a:ea typeface="Arial"/>
                    <a:cs typeface="Arial"/>
                  </a:defRPr>
                </a:pPr>
                <a:r>
                  <a:rPr lang="en-US" sz="1100">
                    <a:latin typeface="+mn-lt"/>
                  </a:rPr>
                  <a:t>Bq/mc</a:t>
                </a:r>
              </a:p>
            </c:rich>
          </c:tx>
          <c:layout>
            <c:manualLayout>
              <c:xMode val="edge"/>
              <c:yMode val="edge"/>
              <c:x val="1.5360983102918587E-2"/>
              <c:y val="0.34836065573770492"/>
            </c:manualLayout>
          </c:layout>
          <c:overlay val="0"/>
          <c:spPr>
            <a:noFill/>
            <a:ln w="25398">
              <a:noFill/>
            </a:ln>
          </c:spPr>
        </c:title>
        <c:numFmt formatCode="#,##0.0" sourceLinked="0"/>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107780736"/>
        <c:crosses val="autoZero"/>
        <c:crossBetween val="between"/>
        <c:majorUnit val="0.1"/>
      </c:valAx>
      <c:spPr>
        <a:gradFill rotWithShape="0">
          <a:gsLst>
            <a:gs pos="0">
              <a:srgbClr xmlns:mc="http://schemas.openxmlformats.org/markup-compatibility/2006" xmlns:a14="http://schemas.microsoft.com/office/drawing/2010/main" val="CCFFFF" mc:Ignorable="a14" a14:legacySpreadsheetColorIndex="41"/>
            </a:gs>
            <a:gs pos="100000">
              <a:srgbClr xmlns:mc="http://schemas.openxmlformats.org/markup-compatibility/2006" xmlns:a14="http://schemas.microsoft.com/office/drawing/2010/main" val="000000" mc:Ignorable="a14" a14:legacySpreadsheetColorIndex="41">
                <a:gamma/>
                <a:shade val="46275"/>
                <a:invGamma/>
              </a:srgbClr>
            </a:gs>
          </a:gsLst>
          <a:lin ang="5400000" scaled="1"/>
        </a:gradFill>
        <a:ln w="25398">
          <a:noFill/>
        </a:ln>
      </c:spPr>
    </c:plotArea>
    <c:legend>
      <c:legendPos val="b"/>
      <c:layout>
        <c:manualLayout>
          <c:xMode val="edge"/>
          <c:yMode val="edge"/>
          <c:x val="0.13056841419784707"/>
          <c:y val="0.86714147828295651"/>
          <c:w val="0.83410138248847931"/>
          <c:h val="0.1018508170349674"/>
        </c:manualLayout>
      </c:layout>
      <c:overlay val="0"/>
      <c:spPr>
        <a:noFill/>
        <a:ln w="3175">
          <a:noFill/>
          <a:prstDash val="solid"/>
        </a:ln>
      </c:spPr>
      <c:txPr>
        <a:bodyPr/>
        <a:lstStyle/>
        <a:p>
          <a:pPr>
            <a:defRPr sz="1050" b="0" i="0" u="none" strike="noStrike" baseline="0">
              <a:solidFill>
                <a:srgbClr val="000000"/>
              </a:solidFill>
              <a:latin typeface="Calibri" panose="020F0502020204030204" pitchFamily="34" charset="0"/>
              <a:ea typeface="Arial"/>
              <a:cs typeface="Arial"/>
            </a:defRPr>
          </a:pPr>
          <a:endParaRPr lang="en-US"/>
        </a:p>
      </c:txPr>
    </c:legend>
    <c:plotVisOnly val="1"/>
    <c:dispBlanksAs val="zero"/>
    <c:showDLblsOverMax val="0"/>
  </c:chart>
  <c:spPr>
    <a:noFill/>
    <a:ln w="9525" cap="flat" cmpd="sng" algn="ctr">
      <a:solidFill>
        <a:srgbClr val="000000"/>
      </a:solidFill>
      <a:prstDash val="solid"/>
      <a:miter lim="800000"/>
      <a:headEnd type="none" w="med" len="med"/>
      <a:tailEnd type="none" w="med" len="med"/>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0.99225</cdr:x>
      <cdr:y>0.98025</cdr:y>
    </cdr:from>
    <cdr:to>
      <cdr:x>1</cdr:x>
      <cdr:y>1</cdr:y>
    </cdr:to>
    <cdr:sp macro="" textlink="">
      <cdr:nvSpPr>
        <cdr:cNvPr id="1025" name="Text Box 1"/>
        <cdr:cNvSpPr txBox="1">
          <a:spLocks xmlns:a="http://schemas.openxmlformats.org/drawingml/2006/main" noChangeArrowheads="1"/>
        </cdr:cNvSpPr>
      </cdr:nvSpPr>
      <cdr:spPr bwMode="auto">
        <a:xfrm xmlns:a="http://schemas.openxmlformats.org/drawingml/2006/main">
          <a:off x="6125909" y="2368858"/>
          <a:ext cx="47834" cy="47594"/>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endParaRPr lang="en-US" sz="950" b="1" i="0" u="none" strike="noStrike" baseline="0">
            <a:solidFill>
              <a:srgbClr val="000000"/>
            </a:solidFill>
            <a:latin typeface="Arial"/>
            <a:cs typeface="Arial"/>
          </a:endParaRPr>
        </a:p>
        <a:p xmlns:a="http://schemas.openxmlformats.org/drawingml/2006/main">
          <a:pPr algn="ctr" rtl="0">
            <a:defRPr sz="1000"/>
          </a:pPr>
          <a:endParaRPr lang="en-US" sz="950" b="1" i="0" u="none" strike="noStrike" baseline="0">
            <a:solidFill>
              <a:srgbClr val="000000"/>
            </a:solidFill>
            <a:latin typeface="Arial"/>
            <a:cs typeface="Arial"/>
          </a:endParaRPr>
        </a:p>
        <a:p xmlns:a="http://schemas.openxmlformats.org/drawingml/2006/main">
          <a:pPr algn="ctr" rtl="0">
            <a:defRPr sz="1000"/>
          </a:pPr>
          <a:endParaRPr lang="en-US" sz="1025" b="1" i="0" u="none" strike="noStrike" baseline="0">
            <a:solidFill>
              <a:srgbClr val="000000"/>
            </a:solidFill>
            <a:latin typeface="Arial"/>
            <a:cs typeface="Arial"/>
          </a:endParaRPr>
        </a:p>
        <a:p xmlns:a="http://schemas.openxmlformats.org/drawingml/2006/main">
          <a:pPr algn="ctr" rtl="0">
            <a:defRPr sz="1000"/>
          </a:pPr>
          <a:endParaRPr lang="en-US" sz="1025" b="1" i="0" u="none" strike="noStrike" baseline="0">
            <a:solidFill>
              <a:srgbClr val="000000"/>
            </a:solidFill>
            <a:latin typeface="Arial"/>
            <a:cs typeface="Arial"/>
          </a:endParaRPr>
        </a:p>
      </cdr:txBody>
    </cdr:sp>
  </cdr:relSizeAnchor>
  <cdr:relSizeAnchor xmlns:cdr="http://schemas.openxmlformats.org/drawingml/2006/chartDrawing">
    <cdr:from>
      <cdr:x>0</cdr:x>
      <cdr:y>0.97625</cdr:y>
    </cdr:from>
    <cdr:to>
      <cdr:x>0.00775</cdr:x>
      <cdr:y>1</cdr:y>
    </cdr:to>
    <cdr:sp macro="" textlink="">
      <cdr:nvSpPr>
        <cdr:cNvPr id="1026" name="Text Box 2"/>
        <cdr:cNvSpPr txBox="1">
          <a:spLocks xmlns:a="http://schemas.openxmlformats.org/drawingml/2006/main" noChangeArrowheads="1"/>
        </cdr:cNvSpPr>
      </cdr:nvSpPr>
      <cdr:spPr bwMode="auto">
        <a:xfrm xmlns:a="http://schemas.openxmlformats.org/drawingml/2006/main" flipH="1" flipV="1">
          <a:off x="0" y="2360424"/>
          <a:ext cx="47835" cy="57233"/>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0.99225</cdr:x>
      <cdr:y>0.9805</cdr:y>
    </cdr:from>
    <cdr:to>
      <cdr:x>1</cdr:x>
      <cdr:y>1</cdr:y>
    </cdr:to>
    <cdr:sp macro="" textlink="">
      <cdr:nvSpPr>
        <cdr:cNvPr id="1025" name="Text Box 1"/>
        <cdr:cNvSpPr txBox="1">
          <a:spLocks xmlns:a="http://schemas.openxmlformats.org/drawingml/2006/main" noChangeArrowheads="1"/>
        </cdr:cNvSpPr>
      </cdr:nvSpPr>
      <cdr:spPr bwMode="auto">
        <a:xfrm xmlns:a="http://schemas.openxmlformats.org/drawingml/2006/main">
          <a:off x="6077110" y="2406310"/>
          <a:ext cx="47465" cy="4773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endParaRPr lang="en-US" sz="975" b="1" i="0" u="none" strike="noStrike" baseline="0">
            <a:solidFill>
              <a:srgbClr val="000000"/>
            </a:solidFill>
            <a:latin typeface="Arial"/>
            <a:cs typeface="Arial"/>
          </a:endParaRPr>
        </a:p>
        <a:p xmlns:a="http://schemas.openxmlformats.org/drawingml/2006/main">
          <a:pPr algn="ctr" rtl="0">
            <a:defRPr sz="1000"/>
          </a:pPr>
          <a:endParaRPr lang="en-US" sz="975" b="1" i="0" u="none" strike="noStrike" baseline="0">
            <a:solidFill>
              <a:srgbClr val="000000"/>
            </a:solidFill>
            <a:latin typeface="Arial"/>
            <a:cs typeface="Arial"/>
          </a:endParaRPr>
        </a:p>
        <a:p xmlns:a="http://schemas.openxmlformats.org/drawingml/2006/main">
          <a:pPr algn="ctr" rtl="0">
            <a:defRPr sz="1000"/>
          </a:pPr>
          <a:endParaRPr lang="en-US" sz="1050" b="1" i="0" u="none" strike="noStrike" baseline="0">
            <a:solidFill>
              <a:srgbClr val="000000"/>
            </a:solidFill>
            <a:latin typeface="Arial"/>
            <a:cs typeface="Arial"/>
          </a:endParaRPr>
        </a:p>
        <a:p xmlns:a="http://schemas.openxmlformats.org/drawingml/2006/main">
          <a:pPr algn="ctr" rtl="0">
            <a:defRPr sz="1000"/>
          </a:pPr>
          <a:endParaRPr lang="en-US" sz="1050" b="1" i="0" u="none" strike="noStrike" baseline="0">
            <a:solidFill>
              <a:srgbClr val="000000"/>
            </a:solidFill>
            <a:latin typeface="Arial"/>
            <a:cs typeface="Arial"/>
          </a:endParaRPr>
        </a:p>
      </cdr:txBody>
    </cdr:sp>
  </cdr:relSizeAnchor>
  <cdr:relSizeAnchor xmlns:cdr="http://schemas.openxmlformats.org/drawingml/2006/chartDrawing">
    <cdr:from>
      <cdr:x>0</cdr:x>
      <cdr:y>0.97675</cdr:y>
    </cdr:from>
    <cdr:to>
      <cdr:x>0.00775</cdr:x>
      <cdr:y>1</cdr:y>
    </cdr:to>
    <cdr:sp macro="" textlink="">
      <cdr:nvSpPr>
        <cdr:cNvPr id="1026" name="Text Box 2"/>
        <cdr:cNvSpPr txBox="1">
          <a:spLocks xmlns:a="http://schemas.openxmlformats.org/drawingml/2006/main" noChangeArrowheads="1"/>
        </cdr:cNvSpPr>
      </cdr:nvSpPr>
      <cdr:spPr bwMode="auto">
        <a:xfrm xmlns:a="http://schemas.openxmlformats.org/drawingml/2006/main" flipH="1" flipV="1">
          <a:off x="0" y="2397743"/>
          <a:ext cx="47465" cy="56914"/>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en-US"/>
        </a:p>
      </cdr:txBody>
    </cdr:sp>
  </cdr:relSizeAnchor>
</c:userShape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114B0-3D6D-4F93-969F-A3342019C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7335</Words>
  <Characters>41811</Characters>
  <Application>Microsoft Office Word</Application>
  <DocSecurity>0</DocSecurity>
  <Lines>348</Lines>
  <Paragraphs>98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Conţinut cadru</vt:lpstr>
      <vt:lpstr>Conţinut cadru</vt:lpstr>
    </vt:vector>
  </TitlesOfParts>
  <Company/>
  <LinksUpToDate>false</LinksUpToDate>
  <CharactersWithSpaces>49048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Conţinut cadru</dc:title>
  <dc:creator>ANPM - SSC</dc:creator>
  <cp:lastModifiedBy>Monica Bucsan</cp:lastModifiedBy>
  <cp:revision>2</cp:revision>
  <cp:lastPrinted>2014-03-19T08:49:00Z</cp:lastPrinted>
  <dcterms:created xsi:type="dcterms:W3CDTF">2016-12-15T08:37:00Z</dcterms:created>
  <dcterms:modified xsi:type="dcterms:W3CDTF">2016-12-15T08:37:00Z</dcterms:modified>
</cp:coreProperties>
</file>