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C4D" w:rsidRDefault="00E54C4D" w:rsidP="007D0C90">
      <w:pPr>
        <w:rPr>
          <w:rFonts w:ascii="Arial" w:hAnsi="Arial" w:cs="Arial"/>
          <w:b/>
          <w:sz w:val="28"/>
          <w:szCs w:val="28"/>
          <w:lang w:val="ro-RO"/>
        </w:rPr>
      </w:pPr>
    </w:p>
    <w:p w:rsidR="007E20C8" w:rsidRPr="004F7E1A" w:rsidRDefault="004F7E1A" w:rsidP="007961F0">
      <w:pPr>
        <w:shd w:val="clear" w:color="auto" w:fill="B8CCE4" w:themeFill="accent1" w:themeFillTint="66"/>
        <w:rPr>
          <w:rFonts w:ascii="Arial" w:hAnsi="Arial" w:cs="Arial"/>
          <w:b/>
          <w:sz w:val="24"/>
          <w:szCs w:val="24"/>
          <w:lang w:val="ro-RO"/>
        </w:rPr>
      </w:pPr>
      <w:r w:rsidRPr="004F7E1A">
        <w:rPr>
          <w:rFonts w:ascii="Arial" w:hAnsi="Arial" w:cs="Arial"/>
          <w:b/>
          <w:sz w:val="24"/>
          <w:szCs w:val="24"/>
          <w:lang w:val="ro-RO"/>
        </w:rPr>
        <w:t xml:space="preserve">Capitolul </w:t>
      </w:r>
      <w:r w:rsidR="001D2453">
        <w:rPr>
          <w:rFonts w:ascii="Arial" w:hAnsi="Arial" w:cs="Arial"/>
          <w:b/>
          <w:sz w:val="24"/>
          <w:szCs w:val="24"/>
          <w:lang w:val="ro-RO"/>
        </w:rPr>
        <w:t>I</w:t>
      </w:r>
      <w:r w:rsidR="007E20C8" w:rsidRPr="004F7E1A">
        <w:rPr>
          <w:rFonts w:ascii="Arial" w:hAnsi="Arial" w:cs="Arial"/>
          <w:b/>
          <w:sz w:val="24"/>
          <w:szCs w:val="24"/>
          <w:lang w:val="ro-RO"/>
        </w:rPr>
        <w:t>.</w:t>
      </w:r>
      <w:r w:rsidR="00003BA3" w:rsidRPr="004F7E1A">
        <w:rPr>
          <w:rFonts w:ascii="Arial" w:hAnsi="Arial" w:cs="Arial"/>
          <w:b/>
          <w:sz w:val="24"/>
          <w:szCs w:val="24"/>
          <w:lang w:val="ro-RO"/>
        </w:rPr>
        <w:t xml:space="preserve"> </w:t>
      </w:r>
      <w:r w:rsidR="00966BE2" w:rsidRPr="004F7E1A">
        <w:rPr>
          <w:rFonts w:ascii="Arial" w:hAnsi="Arial" w:cs="Arial"/>
          <w:b/>
          <w:sz w:val="24"/>
          <w:szCs w:val="24"/>
          <w:lang w:val="ro-RO"/>
        </w:rPr>
        <w:t xml:space="preserve">CALITATEA </w:t>
      </w:r>
      <w:r w:rsidR="001E5B32">
        <w:rPr>
          <w:rFonts w:ascii="Arial" w:hAnsi="Arial" w:cs="Arial"/>
          <w:b/>
          <w:sz w:val="24"/>
          <w:szCs w:val="24"/>
          <w:lang w:val="ro-RO"/>
        </w:rPr>
        <w:t>SI POLUAREA</w:t>
      </w:r>
      <w:r w:rsidR="00966BE2" w:rsidRPr="004F7E1A">
        <w:rPr>
          <w:rFonts w:ascii="Arial" w:hAnsi="Arial" w:cs="Arial"/>
          <w:b/>
          <w:sz w:val="24"/>
          <w:szCs w:val="24"/>
          <w:lang w:val="ro-RO"/>
        </w:rPr>
        <w:t xml:space="preserve"> AERULUI</w:t>
      </w:r>
      <w:r w:rsidR="001E5B32">
        <w:rPr>
          <w:rFonts w:ascii="Arial" w:hAnsi="Arial" w:cs="Arial"/>
          <w:b/>
          <w:sz w:val="24"/>
          <w:szCs w:val="24"/>
          <w:lang w:val="ro-RO"/>
        </w:rPr>
        <w:t xml:space="preserve"> INCONJURATOR</w:t>
      </w:r>
    </w:p>
    <w:p w:rsidR="00F84678" w:rsidRDefault="00F84678" w:rsidP="006B66F0">
      <w:pPr>
        <w:tabs>
          <w:tab w:val="num" w:pos="0"/>
        </w:tabs>
        <w:jc w:val="both"/>
        <w:rPr>
          <w:rFonts w:ascii="Arial" w:hAnsi="Arial" w:cs="Arial"/>
          <w:sz w:val="24"/>
          <w:szCs w:val="24"/>
          <w:lang w:val="ro-RO"/>
        </w:rPr>
      </w:pPr>
    </w:p>
    <w:p w:rsidR="006B66F0" w:rsidRPr="00BE4AEC" w:rsidRDefault="001D2453" w:rsidP="007961F0">
      <w:pPr>
        <w:shd w:val="clear" w:color="auto" w:fill="D9D9D9" w:themeFill="background1" w:themeFillShade="D9"/>
        <w:tabs>
          <w:tab w:val="num" w:pos="0"/>
        </w:tabs>
        <w:jc w:val="both"/>
        <w:rPr>
          <w:rFonts w:ascii="Arial" w:hAnsi="Arial" w:cs="Arial"/>
          <w:sz w:val="24"/>
          <w:szCs w:val="24"/>
          <w:lang w:val="ro-RO"/>
        </w:rPr>
      </w:pPr>
      <w:r>
        <w:rPr>
          <w:rStyle w:val="Robust"/>
          <w:rFonts w:ascii="Arial" w:hAnsi="Arial" w:cs="Arial"/>
          <w:sz w:val="24"/>
          <w:szCs w:val="24"/>
          <w:lang w:val="ro-RO"/>
        </w:rPr>
        <w:t>I</w:t>
      </w:r>
      <w:r w:rsidR="006B66F0" w:rsidRPr="00BE4AEC">
        <w:rPr>
          <w:rStyle w:val="Robust"/>
          <w:rFonts w:ascii="Arial" w:hAnsi="Arial" w:cs="Arial"/>
          <w:sz w:val="24"/>
          <w:szCs w:val="24"/>
          <w:lang w:val="ro-RO"/>
        </w:rPr>
        <w:t>.</w:t>
      </w:r>
      <w:r w:rsidR="001E5B32">
        <w:rPr>
          <w:rStyle w:val="Robust"/>
          <w:rFonts w:ascii="Arial" w:hAnsi="Arial" w:cs="Arial"/>
          <w:sz w:val="24"/>
          <w:szCs w:val="24"/>
          <w:lang w:val="ro-RO"/>
        </w:rPr>
        <w:t>1</w:t>
      </w:r>
      <w:r w:rsidR="006B66F0" w:rsidRPr="00BE4AEC">
        <w:rPr>
          <w:rStyle w:val="Robust"/>
          <w:rFonts w:ascii="Arial" w:hAnsi="Arial" w:cs="Arial"/>
          <w:sz w:val="24"/>
          <w:szCs w:val="24"/>
          <w:lang w:val="ro-RO"/>
        </w:rPr>
        <w:t>. Calitatea aerului</w:t>
      </w:r>
      <w:r w:rsidR="001E5B32">
        <w:rPr>
          <w:rStyle w:val="Robust"/>
          <w:rFonts w:ascii="Arial" w:hAnsi="Arial" w:cs="Arial"/>
          <w:sz w:val="24"/>
          <w:szCs w:val="24"/>
          <w:lang w:val="ro-RO"/>
        </w:rPr>
        <w:t xml:space="preserve"> inconjurator: stare si consecinte</w:t>
      </w:r>
      <w:r w:rsidR="006B66F0" w:rsidRPr="00BE4AEC">
        <w:rPr>
          <w:rStyle w:val="Robust"/>
          <w:rFonts w:ascii="Arial" w:hAnsi="Arial" w:cs="Arial"/>
          <w:sz w:val="24"/>
          <w:szCs w:val="24"/>
          <w:lang w:val="ro-RO"/>
        </w:rPr>
        <w:t xml:space="preserve"> </w:t>
      </w:r>
    </w:p>
    <w:p w:rsidR="006B66F0" w:rsidRDefault="006B66F0" w:rsidP="006B66F0">
      <w:pPr>
        <w:tabs>
          <w:tab w:val="num" w:pos="0"/>
        </w:tabs>
        <w:jc w:val="both"/>
        <w:rPr>
          <w:rFonts w:ascii="Arial" w:hAnsi="Arial" w:cs="Arial"/>
          <w:b/>
          <w:sz w:val="24"/>
          <w:szCs w:val="24"/>
          <w:lang w:val="ro-RO"/>
        </w:rPr>
      </w:pPr>
      <w:r w:rsidRPr="00BE4AEC">
        <w:rPr>
          <w:rFonts w:ascii="Arial" w:hAnsi="Arial" w:cs="Arial"/>
          <w:b/>
          <w:sz w:val="24"/>
          <w:szCs w:val="24"/>
          <w:lang w:val="ro-RO"/>
        </w:rPr>
        <w:tab/>
      </w:r>
    </w:p>
    <w:p w:rsidR="00261130" w:rsidRPr="00C44FD4" w:rsidRDefault="00261130" w:rsidP="00261130">
      <w:pPr>
        <w:jc w:val="both"/>
        <w:rPr>
          <w:lang w:val="es-ES"/>
        </w:rPr>
      </w:pPr>
    </w:p>
    <w:p w:rsidR="00261130" w:rsidRDefault="00261130" w:rsidP="00261130">
      <w:pPr>
        <w:autoSpaceDE w:val="0"/>
        <w:autoSpaceDN w:val="0"/>
        <w:adjustRightInd w:val="0"/>
        <w:ind w:firstLine="720"/>
        <w:jc w:val="both"/>
        <w:rPr>
          <w:rFonts w:ascii="Arial" w:hAnsi="Arial" w:cs="Arial"/>
          <w:sz w:val="24"/>
          <w:szCs w:val="24"/>
          <w:lang w:val="ro-RO"/>
        </w:rPr>
      </w:pPr>
      <w:r w:rsidRPr="00261130">
        <w:rPr>
          <w:rFonts w:ascii="Arial" w:hAnsi="Arial" w:cs="Arial"/>
          <w:sz w:val="24"/>
          <w:szCs w:val="24"/>
          <w:lang w:val="ro-RO"/>
        </w:rPr>
        <w:t>În judetul Constan</w:t>
      </w:r>
      <w:r w:rsidRPr="00261130">
        <w:rPr>
          <w:rFonts w:ascii="Arial" w:hAnsi="Arial" w:cs="Arial"/>
          <w:sz w:val="24"/>
          <w:szCs w:val="24"/>
          <w:lang w:val="it-IT"/>
        </w:rPr>
        <w:t>ţ</w:t>
      </w:r>
      <w:r w:rsidRPr="00261130">
        <w:rPr>
          <w:rFonts w:ascii="Arial" w:hAnsi="Arial" w:cs="Arial"/>
          <w:sz w:val="24"/>
          <w:szCs w:val="24"/>
          <w:lang w:val="ro-RO"/>
        </w:rPr>
        <w:t xml:space="preserve">a, calitatea aerului este monitorizată prin măsurători continue în 7 staţii automate amplasate în zone reprezentative. Poluanţii monitorizaţi sunt cei prevăzuţi în legislaţia română, transpusă din cea europeană, valorile limită impuse prin </w:t>
      </w:r>
      <w:r w:rsidR="00406DCE">
        <w:rPr>
          <w:rFonts w:ascii="Arial" w:hAnsi="Arial" w:cs="Arial"/>
          <w:sz w:val="24"/>
          <w:szCs w:val="24"/>
          <w:lang w:val="ro-RO"/>
        </w:rPr>
        <w:t>Legea calitatii aerului, 104/2011</w:t>
      </w:r>
      <w:r w:rsidRPr="00261130">
        <w:rPr>
          <w:rFonts w:ascii="Arial" w:hAnsi="Arial" w:cs="Arial"/>
          <w:bCs/>
          <w:sz w:val="24"/>
          <w:szCs w:val="24"/>
          <w:lang w:val="ro-RO"/>
        </w:rPr>
        <w:t xml:space="preserve"> </w:t>
      </w:r>
      <w:r w:rsidRPr="00261130">
        <w:rPr>
          <w:rFonts w:ascii="Arial" w:hAnsi="Arial" w:cs="Arial"/>
          <w:sz w:val="24"/>
          <w:szCs w:val="24"/>
          <w:lang w:val="ro-RO"/>
        </w:rPr>
        <w:t xml:space="preserve">având scopul de a evita, preveni şi reduce efectele nocive asupra sănătăţii umane şi a mediului. </w:t>
      </w:r>
    </w:p>
    <w:p w:rsidR="00304313" w:rsidRDefault="00304313" w:rsidP="00261130">
      <w:pPr>
        <w:autoSpaceDE w:val="0"/>
        <w:autoSpaceDN w:val="0"/>
        <w:adjustRightInd w:val="0"/>
        <w:ind w:firstLine="720"/>
        <w:jc w:val="both"/>
        <w:rPr>
          <w:rFonts w:ascii="Arial" w:hAnsi="Arial" w:cs="Arial"/>
          <w:sz w:val="24"/>
          <w:szCs w:val="24"/>
          <w:lang w:val="ro-RO"/>
        </w:rPr>
      </w:pPr>
    </w:p>
    <w:tbl>
      <w:tblPr>
        <w:tblW w:w="9918" w:type="dxa"/>
        <w:tblLayout w:type="fixed"/>
        <w:tblLook w:val="04A0" w:firstRow="1" w:lastRow="0" w:firstColumn="1" w:lastColumn="0" w:noHBand="0" w:noVBand="1"/>
      </w:tblPr>
      <w:tblGrid>
        <w:gridCol w:w="5958"/>
        <w:gridCol w:w="3960"/>
      </w:tblGrid>
      <w:tr w:rsidR="00304313" w:rsidRPr="00A070CD" w:rsidTr="00F3687C">
        <w:tc>
          <w:tcPr>
            <w:tcW w:w="5958" w:type="dxa"/>
            <w:vAlign w:val="center"/>
          </w:tcPr>
          <w:p w:rsidR="00304313" w:rsidRPr="00A070CD" w:rsidRDefault="00D03272" w:rsidP="0022167F">
            <w:pPr>
              <w:jc w:val="center"/>
            </w:pPr>
            <w:r>
              <w:rPr>
                <w:noProof/>
              </w:rPr>
              <w:pict>
                <v:shapetype id="_x0000_t202" coordsize="21600,21600" o:spt="202" path="m,l,21600r21600,l21600,xe">
                  <v:stroke joinstyle="miter"/>
                  <v:path gradientshapeok="t" o:connecttype="rect"/>
                </v:shapetype>
                <v:shape id="Text Box 9" o:spid="_x0000_s1026" type="#_x0000_t202" style="position:absolute;left:0;text-align:left;margin-left:161.95pt;margin-top:114.35pt;width:18pt;height:9.6pt;z-index:251658752;visibility:visible;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" fillcolor="navy" strokecolor="navy">
                  <v:textbox inset="0,0,0,0">
                    <w:txbxContent>
                      <w:p w:rsidR="000464DA" w:rsidRPr="00C04364" w:rsidRDefault="000464DA" w:rsidP="00304313">
                        <w:pPr>
                          <w:autoSpaceDE w:val="0"/>
                          <w:autoSpaceDN w:val="0"/>
                          <w:adjustRightInd w:val="0"/>
                          <w:jc w:val="center"/>
                          <w:rPr>
                            <w:b/>
                            <w:color w:val="FF0000"/>
                            <w:sz w:val="16"/>
                            <w:szCs w:val="16"/>
                          </w:rPr>
                        </w:pPr>
                        <w:r w:rsidRPr="00C04364">
                          <w:rPr>
                            <w:b/>
                            <w:color w:val="FF0000"/>
                            <w:sz w:val="16"/>
                            <w:szCs w:val="16"/>
                          </w:rPr>
                          <w:t>C</w:t>
                        </w:r>
                        <w:r>
                          <w:rPr>
                            <w:b/>
                            <w:color w:val="FF0000"/>
                            <w:sz w:val="16"/>
                            <w:szCs w:val="16"/>
                          </w:rPr>
                          <w:t>T7</w:t>
                        </w:r>
                      </w:p>
                    </w:txbxContent>
                  </v:textbox>
                </v:shape>
              </w:pict>
            </w:r>
            <w:r>
              <w:rPr>
                <w:noProof/>
              </w:rPr>
              <w:pict>
                <v:shape id="Text Box 14" o:spid="_x0000_s1027" type="#_x0000_t202" style="position:absolute;left:0;text-align:left;margin-left:216.55pt;margin-top:95.55pt;width:18pt;height:9.95pt;z-index:251663872;visibility:visible;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" fillcolor="navy" strokecolor="navy">
                  <v:textbox style="mso-fit-shape-to-text:t" inset="0,0,0,0">
                    <w:txbxContent>
                      <w:p w:rsidR="000464DA" w:rsidRPr="00C04364" w:rsidRDefault="000464DA" w:rsidP="00304313">
                        <w:pPr>
                          <w:autoSpaceDE w:val="0"/>
                          <w:autoSpaceDN w:val="0"/>
                          <w:adjustRightInd w:val="0"/>
                          <w:jc w:val="center"/>
                          <w:rPr>
                            <w:b/>
                            <w:color w:val="FF0000"/>
                            <w:sz w:val="16"/>
                            <w:szCs w:val="16"/>
                          </w:rPr>
                        </w:pPr>
                        <w:r w:rsidRPr="00C04364">
                          <w:rPr>
                            <w:b/>
                            <w:color w:val="FF0000"/>
                            <w:sz w:val="16"/>
                            <w:szCs w:val="16"/>
                          </w:rPr>
                          <w:t>C</w:t>
                        </w:r>
                        <w:r>
                          <w:rPr>
                            <w:b/>
                            <w:color w:val="FF0000"/>
                            <w:sz w:val="16"/>
                            <w:szCs w:val="16"/>
                          </w:rPr>
                          <w:t>T6</w:t>
                        </w:r>
                      </w:p>
                    </w:txbxContent>
                  </v:textbox>
                </v:shape>
              </w:pict>
            </w:r>
            <w:r>
              <w:rPr>
                <w:noProof/>
              </w:rPr>
              <w:pict>
                <v:shape id="Text Box 12" o:spid="_x0000_s1028" type="#_x0000_t202" style="position:absolute;left:0;text-align:left;margin-left:219.8pt;margin-top:106.1pt;width:18pt;height:9.95pt;z-index:251661824;visibility:visible;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" fillcolor="navy" strokecolor="navy">
                  <v:textbox style="mso-fit-shape-to-text:t" inset="0,0,0,0">
                    <w:txbxContent>
                      <w:p w:rsidR="000464DA" w:rsidRPr="00C04364" w:rsidRDefault="000464DA" w:rsidP="00304313">
                        <w:pPr>
                          <w:autoSpaceDE w:val="0"/>
                          <w:autoSpaceDN w:val="0"/>
                          <w:adjustRightInd w:val="0"/>
                          <w:jc w:val="center"/>
                          <w:rPr>
                            <w:b/>
                            <w:color w:val="FF0000"/>
                            <w:sz w:val="16"/>
                            <w:szCs w:val="16"/>
                          </w:rPr>
                        </w:pPr>
                        <w:r w:rsidRPr="00C04364">
                          <w:rPr>
                            <w:b/>
                            <w:color w:val="FF0000"/>
                            <w:sz w:val="16"/>
                            <w:szCs w:val="16"/>
                          </w:rPr>
                          <w:t>C</w:t>
                        </w:r>
                        <w:r>
                          <w:rPr>
                            <w:b/>
                            <w:color w:val="FF0000"/>
                            <w:sz w:val="16"/>
                            <w:szCs w:val="16"/>
                          </w:rPr>
                          <w:t>T3</w:t>
                        </w:r>
                      </w:p>
                    </w:txbxContent>
                  </v:textbox>
                </v:shape>
              </w:pict>
            </w:r>
            <w:r>
              <w:rPr>
                <w:noProof/>
              </w:rPr>
              <w:pict>
                <v:shape id="Text Box 8" o:spid="_x0000_s1029" type="#_x0000_t202" style="position:absolute;left:0;text-align:left;margin-left:228.3pt;margin-top:124.1pt;width:18pt;height:9.95pt;z-index:251657728;visibility:visible;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" fillcolor="navy" strokecolor="navy">
                  <v:textbox style="mso-fit-shape-to-text:t" inset="0,0,0,0">
                    <w:txbxContent>
                      <w:p w:rsidR="000464DA" w:rsidRPr="00C04364" w:rsidRDefault="000464DA" w:rsidP="00304313">
                        <w:pPr>
                          <w:autoSpaceDE w:val="0"/>
                          <w:autoSpaceDN w:val="0"/>
                          <w:adjustRightInd w:val="0"/>
                          <w:jc w:val="center"/>
                          <w:rPr>
                            <w:b/>
                            <w:color w:val="FF0000"/>
                            <w:sz w:val="16"/>
                            <w:szCs w:val="16"/>
                          </w:rPr>
                        </w:pPr>
                        <w:r w:rsidRPr="00C04364">
                          <w:rPr>
                            <w:b/>
                            <w:color w:val="FF0000"/>
                            <w:sz w:val="16"/>
                            <w:szCs w:val="16"/>
                          </w:rPr>
                          <w:t>C</w:t>
                        </w:r>
                        <w:r>
                          <w:rPr>
                            <w:b/>
                            <w:color w:val="FF0000"/>
                            <w:sz w:val="16"/>
                            <w:szCs w:val="16"/>
                          </w:rPr>
                          <w:t>T1</w:t>
                        </w:r>
                      </w:p>
                    </w:txbxContent>
                  </v:textbox>
                </v:shape>
              </w:pict>
            </w:r>
            <w:r>
              <w:rPr>
                <w:noProof/>
              </w:rPr>
              <w:pict>
                <v:shape id="Text Box 11" o:spid="_x0000_s1030" type="#_x0000_t202" style="position:absolute;left:0;text-align:left;margin-left:237.85pt;margin-top:133.3pt;width:18pt;height:9.95pt;z-index:251660800;visibility:visible;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" fillcolor="navy" strokecolor="navy">
                  <v:textbox style="mso-fit-shape-to-text:t" inset="0,0,0,0">
                    <w:txbxContent>
                      <w:p w:rsidR="000464DA" w:rsidRPr="00C04364" w:rsidRDefault="000464DA" w:rsidP="00304313">
                        <w:pPr>
                          <w:autoSpaceDE w:val="0"/>
                          <w:autoSpaceDN w:val="0"/>
                          <w:adjustRightInd w:val="0"/>
                          <w:jc w:val="center"/>
                          <w:rPr>
                            <w:b/>
                            <w:color w:val="FF0000"/>
                            <w:sz w:val="16"/>
                            <w:szCs w:val="16"/>
                          </w:rPr>
                        </w:pPr>
                        <w:r w:rsidRPr="00C04364">
                          <w:rPr>
                            <w:b/>
                            <w:color w:val="FF0000"/>
                            <w:sz w:val="16"/>
                            <w:szCs w:val="16"/>
                          </w:rPr>
                          <w:t>C</w:t>
                        </w:r>
                        <w:r>
                          <w:rPr>
                            <w:b/>
                            <w:color w:val="FF0000"/>
                            <w:sz w:val="16"/>
                            <w:szCs w:val="16"/>
                          </w:rPr>
                          <w:t>T2</w:t>
                        </w:r>
                      </w:p>
                    </w:txbxContent>
                  </v:textbox>
                </v:shape>
              </w:pict>
            </w:r>
            <w:r>
              <w:rPr>
                <w:noProof/>
              </w:rPr>
              <w:pict>
                <v:shape id="Text Box 13" o:spid="_x0000_s1031" type="#_x0000_t202" style="position:absolute;left:0;text-align:left;margin-left:219.9pt;margin-top:133.45pt;width:18pt;height:9.95pt;z-index:251662848;visibility:visible;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" fillcolor="navy" strokecolor="navy">
                  <v:textbox style="mso-fit-shape-to-text:t" inset="0,0,0,0">
                    <w:txbxContent>
                      <w:p w:rsidR="000464DA" w:rsidRPr="00C04364" w:rsidRDefault="000464DA" w:rsidP="00304313">
                        <w:pPr>
                          <w:autoSpaceDE w:val="0"/>
                          <w:autoSpaceDN w:val="0"/>
                          <w:adjustRightInd w:val="0"/>
                          <w:jc w:val="center"/>
                          <w:rPr>
                            <w:b/>
                            <w:color w:val="FF0000"/>
                            <w:sz w:val="16"/>
                            <w:szCs w:val="16"/>
                          </w:rPr>
                        </w:pPr>
                        <w:r w:rsidRPr="00C04364">
                          <w:rPr>
                            <w:b/>
                            <w:color w:val="FF0000"/>
                            <w:sz w:val="16"/>
                            <w:szCs w:val="16"/>
                          </w:rPr>
                          <w:t>C</w:t>
                        </w:r>
                        <w:r>
                          <w:rPr>
                            <w:b/>
                            <w:color w:val="FF0000"/>
                            <w:sz w:val="16"/>
                            <w:szCs w:val="16"/>
                          </w:rPr>
                          <w:t>T5</w:t>
                        </w:r>
                      </w:p>
                    </w:txbxContent>
                  </v:textbox>
                </v:shape>
              </w:pict>
            </w:r>
            <w:r>
              <w:rPr>
                <w:noProof/>
              </w:rPr>
              <w:pict>
                <v:shape id="Text Box 10" o:spid="_x0000_s1032" type="#_x0000_t202" style="position:absolute;left:0;text-align:left;margin-left:219.95pt;margin-top:216.4pt;width:18pt;height:9.95pt;z-index:251659776;visibility:visible;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" fillcolor="navy" strokecolor="navy">
                  <v:textbox style="mso-fit-shape-to-text:t" inset="0,0,0,0">
                    <w:txbxContent>
                      <w:p w:rsidR="000464DA" w:rsidRPr="00C04364" w:rsidRDefault="000464DA" w:rsidP="00304313">
                        <w:pPr>
                          <w:autoSpaceDE w:val="0"/>
                          <w:autoSpaceDN w:val="0"/>
                          <w:adjustRightInd w:val="0"/>
                          <w:jc w:val="center"/>
                          <w:rPr>
                            <w:b/>
                            <w:color w:val="FF0000"/>
                            <w:sz w:val="16"/>
                            <w:szCs w:val="16"/>
                          </w:rPr>
                        </w:pPr>
                        <w:r w:rsidRPr="00C04364">
                          <w:rPr>
                            <w:b/>
                            <w:color w:val="FF0000"/>
                            <w:sz w:val="16"/>
                            <w:szCs w:val="16"/>
                          </w:rPr>
                          <w:t>C</w:t>
                        </w:r>
                        <w:r>
                          <w:rPr>
                            <w:b/>
                            <w:color w:val="FF0000"/>
                            <w:sz w:val="16"/>
                            <w:szCs w:val="16"/>
                          </w:rPr>
                          <w:t>T</w:t>
                        </w:r>
                        <w:r w:rsidRPr="00C04364">
                          <w:rPr>
                            <w:b/>
                            <w:color w:val="FF0000"/>
                            <w:sz w:val="16"/>
                            <w:szCs w:val="16"/>
                          </w:rPr>
                          <w:t>4</w:t>
                        </w:r>
                      </w:p>
                    </w:txbxContent>
                  </v:textbox>
                </v:shape>
              </w:pict>
            </w:r>
            <w:r w:rsidR="00FA17BB">
              <w:rPr>
                <w:noProof/>
              </w:rPr>
              <w:drawing>
                <wp:inline distT="0" distB="0" distL="0" distR="0">
                  <wp:extent cx="3531235" cy="3058795"/>
                  <wp:effectExtent l="19050" t="0" r="0" b="0"/>
                  <wp:docPr id="1" name="Picture 1" descr="consta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antY"/>
                          <pic:cNvPicPr>
                            <a:picLocks noChangeAspect="1" noChangeArrowheads="1"/>
                          </pic:cNvPicPr>
                        </pic:nvPicPr>
                        <pic:blipFill>
                          <a:blip r:embed="rId9"/>
                          <a:srcRect/>
                          <a:stretch>
                            <a:fillRect/>
                          </a:stretch>
                        </pic:blipFill>
                        <pic:spPr bwMode="auto">
                          <a:xfrm>
                            <a:off x="0" y="0"/>
                            <a:ext cx="3531235" cy="3058795"/>
                          </a:xfrm>
                          <a:prstGeom prst="rect">
                            <a:avLst/>
                          </a:prstGeom>
                          <a:noFill/>
                          <a:ln w="9525">
                            <a:noFill/>
                            <a:miter lim="800000"/>
                            <a:headEnd/>
                            <a:tailEnd/>
                          </a:ln>
                        </pic:spPr>
                      </pic:pic>
                    </a:graphicData>
                  </a:graphic>
                </wp:inline>
              </w:drawing>
            </w:r>
          </w:p>
        </w:tc>
        <w:tc>
          <w:tcPr>
            <w:tcW w:w="3960" w:type="dxa"/>
          </w:tcPr>
          <w:p w:rsidR="00304313" w:rsidRPr="00304313" w:rsidRDefault="00D03272" w:rsidP="0022167F">
            <w:pPr>
              <w:jc w:val="center"/>
              <w:rPr>
                <w:rFonts w:ascii="Arial" w:hAnsi="Arial" w:cs="Arial"/>
                <w:b/>
              </w:rPr>
            </w:pPr>
            <w:r>
              <w:rPr>
                <w:rFonts w:ascii="Arial" w:hAnsi="Arial" w:cs="Arial"/>
                <w:b/>
                <w:noProof/>
              </w:rPr>
              <w:pict>
                <v:shape id="Text Box 2" o:spid="_x0000_s1033" type="#_x0000_t202" style="position:absolute;left:0;text-align:left;margin-left:300.7pt;margin-top:75.15pt;width:25.7pt;height:13.65pt;z-index:25165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">
                  <v:textbox>
                    <w:txbxContent>
                      <w:p w:rsidR="000464DA" w:rsidRPr="00EC47DC" w:rsidRDefault="000464DA" w:rsidP="00304313">
                        <w:pPr>
                          <w:rPr>
                            <w:b/>
                            <w:color w:val="00B050"/>
                            <w:sz w:val="10"/>
                            <w:szCs w:val="10"/>
                          </w:rPr>
                        </w:pPr>
                        <w:r>
                          <w:rPr>
                            <w:b/>
                            <w:color w:val="00B050"/>
                            <w:sz w:val="10"/>
                            <w:szCs w:val="10"/>
                          </w:rPr>
                          <w:t>CJ-5</w:t>
                        </w:r>
                      </w:p>
                    </w:txbxContent>
                  </v:textbox>
                </v:shape>
              </w:pict>
            </w:r>
            <w:r>
              <w:rPr>
                <w:rFonts w:ascii="Arial" w:hAnsi="Arial" w:cs="Arial"/>
                <w:b/>
                <w:bCs/>
                <w:noProof/>
              </w:rPr>
              <w:pict>
                <v:shape id="Text Box 3" o:spid="_x0000_s1034" type="#_x0000_t202" style="position:absolute;left:0;text-align:left;margin-left:253.1pt;margin-top:173pt;width:25.7pt;height:13.65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BmLAIAAFc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">
                  <v:textbox>
                    <w:txbxContent>
                      <w:p w:rsidR="000464DA" w:rsidRPr="00EC47DC" w:rsidRDefault="000464DA" w:rsidP="00304313">
                        <w:pPr>
                          <w:rPr>
                            <w:b/>
                            <w:color w:val="00B050"/>
                            <w:sz w:val="10"/>
                            <w:szCs w:val="10"/>
                          </w:rPr>
                        </w:pPr>
                        <w:r>
                          <w:rPr>
                            <w:b/>
                            <w:color w:val="00B050"/>
                            <w:sz w:val="10"/>
                            <w:szCs w:val="10"/>
                          </w:rPr>
                          <w:t>CJ-2</w:t>
                        </w:r>
                      </w:p>
                    </w:txbxContent>
                  </v:textbox>
                </v:shape>
              </w:pict>
            </w:r>
            <w:r>
              <w:rPr>
                <w:rFonts w:ascii="Arial" w:hAnsi="Arial" w:cs="Arial"/>
                <w:b/>
                <w:noProof/>
              </w:rPr>
              <w:pict>
                <v:shape id="Text Box 5" o:spid="_x0000_s1035" type="#_x0000_t202" style="position:absolute;left:0;text-align:left;margin-left:244.1pt;margin-top:159.35pt;width:25.7pt;height:13.65pt;z-index:251654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">
                  <v:textbox>
                    <w:txbxContent>
                      <w:p w:rsidR="000464DA" w:rsidRPr="00EC47DC" w:rsidRDefault="000464DA" w:rsidP="00304313">
                        <w:pPr>
                          <w:rPr>
                            <w:b/>
                            <w:color w:val="00B050"/>
                            <w:sz w:val="10"/>
                            <w:szCs w:val="10"/>
                          </w:rPr>
                        </w:pPr>
                        <w:r>
                          <w:rPr>
                            <w:b/>
                            <w:color w:val="00B050"/>
                            <w:sz w:val="10"/>
                            <w:szCs w:val="10"/>
                          </w:rPr>
                          <w:t>CJ-4</w:t>
                        </w:r>
                      </w:p>
                    </w:txbxContent>
                  </v:textbox>
                </v:shape>
              </w:pict>
            </w:r>
            <w:r>
              <w:rPr>
                <w:rFonts w:ascii="Arial" w:hAnsi="Arial" w:cs="Arial"/>
                <w:b/>
                <w:noProof/>
              </w:rPr>
              <w:pict>
                <v:shape id="Text Box 6" o:spid="_x0000_s1036" type="#_x0000_t202" style="position:absolute;left:0;text-align:left;margin-left:235.6pt;margin-top:180.35pt;width:25.7pt;height:13.6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JPLQIAAFg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">
                  <v:textbox>
                    <w:txbxContent>
                      <w:p w:rsidR="000464DA" w:rsidRPr="00EC47DC" w:rsidRDefault="000464DA" w:rsidP="00304313">
                        <w:pPr>
                          <w:rPr>
                            <w:b/>
                            <w:color w:val="00B050"/>
                            <w:sz w:val="10"/>
                            <w:szCs w:val="10"/>
                          </w:rPr>
                        </w:pPr>
                        <w:r w:rsidRPr="00EC47DC">
                          <w:rPr>
                            <w:b/>
                            <w:color w:val="00B050"/>
                            <w:sz w:val="10"/>
                            <w:szCs w:val="10"/>
                          </w:rPr>
                          <w:t>CJ-1</w:t>
                        </w:r>
                      </w:p>
                    </w:txbxContent>
                  </v:textbox>
                </v:shape>
              </w:pict>
            </w:r>
            <w:r w:rsidR="00304313" w:rsidRPr="00304313">
              <w:rPr>
                <w:rFonts w:ascii="Arial" w:hAnsi="Arial" w:cs="Arial"/>
                <w:b/>
              </w:rPr>
              <w:t>Legendă:</w:t>
            </w:r>
          </w:p>
          <w:p w:rsidR="00304313" w:rsidRDefault="00304313" w:rsidP="0022167F">
            <w:pPr>
              <w:jc w:val="both"/>
              <w:rPr>
                <w:b/>
              </w:rPr>
            </w:pPr>
          </w:p>
          <w:p w:rsidR="00304313" w:rsidRPr="00304313" w:rsidRDefault="00304313" w:rsidP="0022167F">
            <w:pPr>
              <w:rPr>
                <w:rFonts w:ascii="Arial" w:hAnsi="Arial" w:cs="Arial"/>
              </w:rPr>
            </w:pPr>
            <w:r w:rsidRPr="00304313">
              <w:rPr>
                <w:rFonts w:ascii="Arial" w:hAnsi="Arial" w:cs="Arial"/>
              </w:rPr>
              <w:t>CT-1: Bdul 1 Decembrie 1918, Constanţa</w:t>
            </w:r>
          </w:p>
          <w:p w:rsidR="00304313" w:rsidRPr="00304313" w:rsidRDefault="00304313" w:rsidP="0022167F">
            <w:pPr>
              <w:spacing w:before="120"/>
              <w:rPr>
                <w:rFonts w:ascii="Arial" w:hAnsi="Arial" w:cs="Arial"/>
              </w:rPr>
            </w:pPr>
            <w:r w:rsidRPr="00304313">
              <w:rPr>
                <w:rFonts w:ascii="Arial" w:hAnsi="Arial" w:cs="Arial"/>
              </w:rPr>
              <w:t>CT-2: Str Mihai Viteazu, Constanţa</w:t>
            </w:r>
          </w:p>
          <w:p w:rsidR="00304313" w:rsidRPr="00304313" w:rsidRDefault="00304313" w:rsidP="0022167F">
            <w:pPr>
              <w:spacing w:before="120"/>
              <w:rPr>
                <w:rFonts w:ascii="Arial" w:hAnsi="Arial" w:cs="Arial"/>
              </w:rPr>
            </w:pPr>
            <w:r w:rsidRPr="00304313">
              <w:rPr>
                <w:rFonts w:ascii="Arial" w:hAnsi="Arial" w:cs="Arial"/>
              </w:rPr>
              <w:t>CT-3: DC-86, Tabara Victoria, Năvodari</w:t>
            </w:r>
          </w:p>
          <w:p w:rsidR="00304313" w:rsidRPr="00D129ED" w:rsidRDefault="00304313" w:rsidP="0022167F">
            <w:pPr>
              <w:spacing w:before="120"/>
              <w:rPr>
                <w:rFonts w:ascii="Arial" w:hAnsi="Arial" w:cs="Arial"/>
                <w:lang w:val="it-IT"/>
              </w:rPr>
            </w:pPr>
            <w:r w:rsidRPr="00D129ED">
              <w:rPr>
                <w:rFonts w:ascii="Arial" w:hAnsi="Arial" w:cs="Arial"/>
                <w:lang w:val="it-IT"/>
              </w:rPr>
              <w:t>CT-4: Str. Şoseaua Constanţei, Mangalia</w:t>
            </w:r>
          </w:p>
          <w:p w:rsidR="00304313" w:rsidRPr="00D129ED" w:rsidRDefault="00304313" w:rsidP="0022167F">
            <w:pPr>
              <w:spacing w:before="120"/>
              <w:rPr>
                <w:rFonts w:ascii="Arial" w:hAnsi="Arial" w:cs="Arial"/>
                <w:lang w:val="it-IT"/>
              </w:rPr>
            </w:pPr>
            <w:r w:rsidRPr="00D129ED">
              <w:rPr>
                <w:rFonts w:ascii="Arial" w:hAnsi="Arial" w:cs="Arial"/>
                <w:lang w:val="it-IT"/>
              </w:rPr>
              <w:t>CT-5: Str Prelungirea Liliacului, Constanţa</w:t>
            </w:r>
          </w:p>
          <w:p w:rsidR="00304313" w:rsidRPr="00D129ED" w:rsidRDefault="00304313" w:rsidP="0022167F">
            <w:pPr>
              <w:spacing w:before="120"/>
              <w:rPr>
                <w:rFonts w:ascii="Arial" w:hAnsi="Arial" w:cs="Arial"/>
                <w:lang w:val="it-IT"/>
              </w:rPr>
            </w:pPr>
            <w:r w:rsidRPr="00D129ED">
              <w:rPr>
                <w:rFonts w:ascii="Arial" w:hAnsi="Arial" w:cs="Arial"/>
                <w:lang w:val="it-IT"/>
              </w:rPr>
              <w:t>CT-6: Str. Sănătăţii, Năvodari</w:t>
            </w:r>
          </w:p>
          <w:p w:rsidR="00304313" w:rsidRPr="00304313" w:rsidRDefault="00304313" w:rsidP="0022167F">
            <w:pPr>
              <w:spacing w:before="120"/>
              <w:rPr>
                <w:rFonts w:ascii="Arial" w:hAnsi="Arial" w:cs="Arial"/>
              </w:rPr>
            </w:pPr>
            <w:r w:rsidRPr="00D129ED">
              <w:rPr>
                <w:rFonts w:ascii="Arial" w:hAnsi="Arial" w:cs="Arial"/>
                <w:lang w:val="it-IT"/>
              </w:rPr>
              <w:t xml:space="preserve">CT-7: Str. </w:t>
            </w:r>
            <w:r w:rsidRPr="00304313">
              <w:rPr>
                <w:rFonts w:ascii="Arial" w:hAnsi="Arial" w:cs="Arial"/>
              </w:rPr>
              <w:t>Decebal, Medgidia</w:t>
            </w:r>
          </w:p>
          <w:p w:rsidR="00304313" w:rsidRPr="00A070CD" w:rsidRDefault="00D03272" w:rsidP="0022167F">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39" type="#_x0000_t34" style="position:absolute;margin-left:43pt;margin-top:119.5pt;width:.05pt;height:.05pt;rotation:90;flip:x;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" adj="0"/>
              </w:pict>
            </w:r>
          </w:p>
        </w:tc>
      </w:tr>
    </w:tbl>
    <w:p w:rsidR="00261130" w:rsidRPr="00C44FD4" w:rsidRDefault="00261130" w:rsidP="00261130">
      <w:pPr>
        <w:autoSpaceDE w:val="0"/>
        <w:autoSpaceDN w:val="0"/>
        <w:adjustRightInd w:val="0"/>
        <w:ind w:firstLine="720"/>
        <w:jc w:val="both"/>
        <w:rPr>
          <w:lang w:val="ro-RO"/>
        </w:rPr>
      </w:pPr>
    </w:p>
    <w:p w:rsidR="006B66F0" w:rsidRDefault="006B66F0" w:rsidP="006B66F0">
      <w:pPr>
        <w:rPr>
          <w:rFonts w:ascii="Arial" w:hAnsi="Arial" w:cs="Arial"/>
          <w:bCs/>
          <w:sz w:val="24"/>
          <w:szCs w:val="24"/>
          <w:lang w:val="it-IT"/>
        </w:rPr>
      </w:pPr>
      <w:r w:rsidRPr="001C23F3">
        <w:rPr>
          <w:rFonts w:ascii="Arial" w:hAnsi="Arial" w:cs="Arial"/>
          <w:bCs/>
          <w:sz w:val="24"/>
          <w:szCs w:val="24"/>
          <w:lang w:val="it-IT"/>
        </w:rPr>
        <w:t>Componenţa reţelei</w:t>
      </w:r>
      <w:r w:rsidR="00497CE6">
        <w:rPr>
          <w:rFonts w:ascii="Arial" w:hAnsi="Arial" w:cs="Arial"/>
          <w:bCs/>
          <w:sz w:val="24"/>
          <w:szCs w:val="24"/>
          <w:lang w:val="it-IT"/>
        </w:rPr>
        <w:t xml:space="preserve"> automate de monitorizare a calitatii aerului</w:t>
      </w:r>
      <w:r w:rsidRPr="001C23F3">
        <w:rPr>
          <w:rFonts w:ascii="Arial" w:hAnsi="Arial" w:cs="Arial"/>
          <w:bCs/>
          <w:sz w:val="24"/>
          <w:szCs w:val="24"/>
          <w:lang w:val="it-IT"/>
        </w:rPr>
        <w:t>:</w:t>
      </w:r>
    </w:p>
    <w:p w:rsidR="00AC7D51" w:rsidRPr="001C23F3" w:rsidRDefault="00AC7D51" w:rsidP="006B66F0">
      <w:pPr>
        <w:rPr>
          <w:rFonts w:ascii="Arial" w:hAnsi="Arial" w:cs="Arial"/>
          <w:bCs/>
          <w:sz w:val="24"/>
          <w:szCs w:val="24"/>
          <w:lang w:val="it-IT"/>
        </w:rPr>
      </w:pPr>
    </w:p>
    <w:p w:rsidR="006B66F0" w:rsidRDefault="006B66F0" w:rsidP="006B66F0">
      <w:pPr>
        <w:rPr>
          <w:rFonts w:ascii="Arial" w:hAnsi="Arial" w:cs="Arial"/>
          <w:bCs/>
          <w:i/>
          <w:sz w:val="24"/>
          <w:szCs w:val="24"/>
          <w:lang w:val="it-IT"/>
        </w:rPr>
      </w:pPr>
      <w:r w:rsidRPr="00D572F6">
        <w:rPr>
          <w:rFonts w:ascii="Arial" w:hAnsi="Arial" w:cs="Arial"/>
          <w:bCs/>
          <w:i/>
          <w:sz w:val="24"/>
          <w:szCs w:val="24"/>
          <w:lang w:val="it-IT"/>
        </w:rPr>
        <w:tab/>
      </w:r>
      <w:r w:rsidRPr="00D572F6">
        <w:rPr>
          <w:rFonts w:ascii="Arial" w:hAnsi="Arial" w:cs="Arial"/>
          <w:bCs/>
          <w:i/>
          <w:sz w:val="24"/>
          <w:szCs w:val="24"/>
          <w:lang w:val="it-IT"/>
        </w:rPr>
        <w:tab/>
      </w:r>
      <w:r w:rsidRPr="00D572F6">
        <w:rPr>
          <w:rFonts w:ascii="Arial" w:hAnsi="Arial" w:cs="Arial"/>
          <w:bCs/>
          <w:i/>
          <w:sz w:val="24"/>
          <w:szCs w:val="24"/>
          <w:lang w:val="it-IT"/>
        </w:rPr>
        <w:tab/>
      </w:r>
      <w:r w:rsidRPr="00D572F6">
        <w:rPr>
          <w:rFonts w:ascii="Arial" w:hAnsi="Arial" w:cs="Arial"/>
          <w:bCs/>
          <w:i/>
          <w:sz w:val="24"/>
          <w:szCs w:val="24"/>
          <w:lang w:val="it-IT"/>
        </w:rPr>
        <w:tab/>
      </w:r>
      <w:r w:rsidRPr="00D572F6">
        <w:rPr>
          <w:rFonts w:ascii="Arial" w:hAnsi="Arial" w:cs="Arial"/>
          <w:bCs/>
          <w:i/>
          <w:sz w:val="24"/>
          <w:szCs w:val="24"/>
          <w:lang w:val="it-IT"/>
        </w:rPr>
        <w:tab/>
      </w:r>
      <w:r w:rsidRPr="00D572F6">
        <w:rPr>
          <w:rFonts w:ascii="Arial" w:hAnsi="Arial" w:cs="Arial"/>
          <w:bCs/>
          <w:i/>
          <w:sz w:val="24"/>
          <w:szCs w:val="24"/>
          <w:lang w:val="it-IT"/>
        </w:rPr>
        <w:tab/>
      </w:r>
      <w:r w:rsidRPr="00D572F6">
        <w:rPr>
          <w:rFonts w:ascii="Arial" w:hAnsi="Arial" w:cs="Arial"/>
          <w:bCs/>
          <w:i/>
          <w:sz w:val="24"/>
          <w:szCs w:val="24"/>
          <w:lang w:val="it-IT"/>
        </w:rPr>
        <w:tab/>
      </w:r>
      <w:r w:rsidRPr="00D572F6">
        <w:rPr>
          <w:rFonts w:ascii="Arial" w:hAnsi="Arial" w:cs="Arial"/>
          <w:bCs/>
          <w:i/>
          <w:sz w:val="24"/>
          <w:szCs w:val="24"/>
          <w:lang w:val="it-IT"/>
        </w:rPr>
        <w:tab/>
        <w:t xml:space="preserve">Tabel </w:t>
      </w:r>
      <w:r w:rsidR="00497CE6">
        <w:rPr>
          <w:rFonts w:ascii="Arial" w:hAnsi="Arial" w:cs="Arial"/>
          <w:bCs/>
          <w:i/>
          <w:sz w:val="24"/>
          <w:szCs w:val="24"/>
          <w:lang w:val="it-IT"/>
        </w:rPr>
        <w:t>1.1</w:t>
      </w:r>
      <w:r w:rsidRPr="00D572F6">
        <w:rPr>
          <w:rFonts w:ascii="Arial" w:hAnsi="Arial" w:cs="Arial"/>
          <w:bCs/>
          <w:i/>
          <w:sz w:val="24"/>
          <w:szCs w:val="24"/>
          <w:lang w:val="it-IT"/>
        </w:rPr>
        <w:t>.1</w:t>
      </w:r>
    </w:p>
    <w:p w:rsidR="00AC7D51" w:rsidRPr="00D572F6" w:rsidRDefault="00AC7D51" w:rsidP="006B66F0">
      <w:pPr>
        <w:rPr>
          <w:rFonts w:ascii="Arial" w:hAnsi="Arial" w:cs="Arial"/>
          <w:bCs/>
          <w:i/>
          <w:sz w:val="24"/>
          <w:szCs w:val="24"/>
          <w:lang w:val="it-IT"/>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933"/>
        <w:gridCol w:w="1447"/>
      </w:tblGrid>
      <w:tr w:rsidR="006B66F0" w:rsidRPr="00B31801">
        <w:trPr>
          <w:tblCellSpacing w:w="20" w:type="dxa"/>
          <w:jc w:val="center"/>
        </w:trPr>
        <w:tc>
          <w:tcPr>
            <w:tcW w:w="1873" w:type="dxa"/>
            <w:shd w:val="clear" w:color="auto" w:fill="FFFFCC"/>
          </w:tcPr>
          <w:p w:rsidR="006B66F0" w:rsidRPr="00B31801" w:rsidRDefault="006B66F0" w:rsidP="006B66F0">
            <w:pPr>
              <w:jc w:val="center"/>
              <w:rPr>
                <w:rFonts w:ascii="Arial" w:hAnsi="Arial" w:cs="Arial"/>
                <w:b/>
                <w:bCs/>
                <w:sz w:val="24"/>
                <w:szCs w:val="24"/>
                <w:lang w:val="it-IT"/>
              </w:rPr>
            </w:pPr>
            <w:r w:rsidRPr="00B31801">
              <w:rPr>
                <w:rFonts w:ascii="Arial" w:hAnsi="Arial" w:cs="Arial"/>
                <w:b/>
                <w:bCs/>
                <w:sz w:val="24"/>
                <w:szCs w:val="24"/>
                <w:lang w:val="it-IT"/>
              </w:rPr>
              <w:t>Tip staţie</w:t>
            </w:r>
          </w:p>
        </w:tc>
        <w:tc>
          <w:tcPr>
            <w:tcW w:w="1387" w:type="dxa"/>
            <w:shd w:val="clear" w:color="auto" w:fill="FFFFCC"/>
          </w:tcPr>
          <w:p w:rsidR="006B66F0" w:rsidRPr="00B31801" w:rsidRDefault="006B66F0" w:rsidP="006B66F0">
            <w:pPr>
              <w:jc w:val="center"/>
              <w:rPr>
                <w:rFonts w:ascii="Arial" w:hAnsi="Arial" w:cs="Arial"/>
                <w:b/>
                <w:bCs/>
                <w:sz w:val="24"/>
                <w:szCs w:val="24"/>
                <w:lang w:val="it-IT"/>
              </w:rPr>
            </w:pPr>
            <w:r w:rsidRPr="00B31801">
              <w:rPr>
                <w:rFonts w:ascii="Arial" w:hAnsi="Arial" w:cs="Arial"/>
                <w:b/>
                <w:bCs/>
                <w:sz w:val="24"/>
                <w:szCs w:val="24"/>
                <w:lang w:val="it-IT"/>
              </w:rPr>
              <w:t>Numar de staţii</w:t>
            </w:r>
          </w:p>
        </w:tc>
      </w:tr>
      <w:tr w:rsidR="006B66F0" w:rsidRPr="00B31801">
        <w:trPr>
          <w:tblCellSpacing w:w="20" w:type="dxa"/>
          <w:jc w:val="center"/>
        </w:trPr>
        <w:tc>
          <w:tcPr>
            <w:tcW w:w="1873" w:type="dxa"/>
            <w:shd w:val="clear" w:color="auto" w:fill="auto"/>
          </w:tcPr>
          <w:p w:rsidR="006B66F0" w:rsidRPr="00B31801" w:rsidRDefault="006B66F0" w:rsidP="006B66F0">
            <w:pPr>
              <w:jc w:val="center"/>
              <w:rPr>
                <w:rFonts w:ascii="Arial" w:hAnsi="Arial" w:cs="Arial"/>
                <w:bCs/>
                <w:sz w:val="24"/>
                <w:szCs w:val="24"/>
                <w:lang w:val="it-IT"/>
              </w:rPr>
            </w:pPr>
            <w:r w:rsidRPr="00B31801">
              <w:rPr>
                <w:rFonts w:ascii="Arial" w:hAnsi="Arial" w:cs="Arial"/>
                <w:bCs/>
                <w:sz w:val="24"/>
                <w:szCs w:val="24"/>
                <w:lang w:val="it-IT"/>
              </w:rPr>
              <w:t>Trafic</w:t>
            </w:r>
          </w:p>
        </w:tc>
        <w:tc>
          <w:tcPr>
            <w:tcW w:w="1387" w:type="dxa"/>
            <w:shd w:val="clear" w:color="auto" w:fill="auto"/>
          </w:tcPr>
          <w:p w:rsidR="006B66F0" w:rsidRPr="00B31801" w:rsidRDefault="006B66F0" w:rsidP="006B66F0">
            <w:pPr>
              <w:jc w:val="center"/>
              <w:rPr>
                <w:rFonts w:ascii="Arial" w:hAnsi="Arial" w:cs="Arial"/>
                <w:bCs/>
                <w:sz w:val="24"/>
                <w:szCs w:val="24"/>
                <w:lang w:val="it-IT"/>
              </w:rPr>
            </w:pPr>
            <w:r w:rsidRPr="00B31801">
              <w:rPr>
                <w:rFonts w:ascii="Arial" w:hAnsi="Arial" w:cs="Arial"/>
                <w:bCs/>
                <w:sz w:val="24"/>
                <w:szCs w:val="24"/>
                <w:lang w:val="it-IT"/>
              </w:rPr>
              <w:t>2</w:t>
            </w:r>
          </w:p>
        </w:tc>
      </w:tr>
      <w:tr w:rsidR="006B66F0" w:rsidRPr="00B31801">
        <w:trPr>
          <w:tblCellSpacing w:w="20" w:type="dxa"/>
          <w:jc w:val="center"/>
        </w:trPr>
        <w:tc>
          <w:tcPr>
            <w:tcW w:w="1873" w:type="dxa"/>
            <w:shd w:val="clear" w:color="auto" w:fill="auto"/>
          </w:tcPr>
          <w:p w:rsidR="006B66F0" w:rsidRPr="00B31801" w:rsidRDefault="006B66F0" w:rsidP="006B66F0">
            <w:pPr>
              <w:jc w:val="center"/>
              <w:rPr>
                <w:rFonts w:ascii="Arial" w:hAnsi="Arial" w:cs="Arial"/>
                <w:bCs/>
                <w:sz w:val="24"/>
                <w:szCs w:val="24"/>
                <w:lang w:val="it-IT"/>
              </w:rPr>
            </w:pPr>
            <w:r w:rsidRPr="00B31801">
              <w:rPr>
                <w:rFonts w:ascii="Arial" w:hAnsi="Arial" w:cs="Arial"/>
                <w:bCs/>
                <w:sz w:val="24"/>
                <w:szCs w:val="24"/>
                <w:lang w:val="it-IT"/>
              </w:rPr>
              <w:t>Industrial</w:t>
            </w:r>
          </w:p>
        </w:tc>
        <w:tc>
          <w:tcPr>
            <w:tcW w:w="1387" w:type="dxa"/>
            <w:shd w:val="clear" w:color="auto" w:fill="auto"/>
          </w:tcPr>
          <w:p w:rsidR="006B66F0" w:rsidRPr="00B31801" w:rsidRDefault="006B66F0" w:rsidP="006B66F0">
            <w:pPr>
              <w:jc w:val="center"/>
              <w:rPr>
                <w:rFonts w:ascii="Arial" w:hAnsi="Arial" w:cs="Arial"/>
                <w:bCs/>
                <w:sz w:val="24"/>
                <w:szCs w:val="24"/>
                <w:lang w:val="it-IT"/>
              </w:rPr>
            </w:pPr>
            <w:r w:rsidRPr="00B31801">
              <w:rPr>
                <w:rFonts w:ascii="Arial" w:hAnsi="Arial" w:cs="Arial"/>
                <w:bCs/>
                <w:sz w:val="24"/>
                <w:szCs w:val="24"/>
                <w:lang w:val="it-IT"/>
              </w:rPr>
              <w:t>3</w:t>
            </w:r>
          </w:p>
        </w:tc>
      </w:tr>
      <w:tr w:rsidR="006B66F0" w:rsidRPr="00B31801">
        <w:trPr>
          <w:tblCellSpacing w:w="20" w:type="dxa"/>
          <w:jc w:val="center"/>
        </w:trPr>
        <w:tc>
          <w:tcPr>
            <w:tcW w:w="1873" w:type="dxa"/>
            <w:shd w:val="clear" w:color="auto" w:fill="auto"/>
          </w:tcPr>
          <w:p w:rsidR="006B66F0" w:rsidRPr="00B31801" w:rsidRDefault="006B66F0" w:rsidP="006B66F0">
            <w:pPr>
              <w:jc w:val="center"/>
              <w:rPr>
                <w:rFonts w:ascii="Arial" w:hAnsi="Arial" w:cs="Arial"/>
                <w:bCs/>
                <w:sz w:val="24"/>
                <w:szCs w:val="24"/>
                <w:lang w:val="it-IT"/>
              </w:rPr>
            </w:pPr>
            <w:r w:rsidRPr="00B31801">
              <w:rPr>
                <w:rFonts w:ascii="Arial" w:hAnsi="Arial" w:cs="Arial"/>
                <w:bCs/>
                <w:sz w:val="24"/>
                <w:szCs w:val="24"/>
                <w:lang w:val="it-IT"/>
              </w:rPr>
              <w:t>Fond urban</w:t>
            </w:r>
          </w:p>
        </w:tc>
        <w:tc>
          <w:tcPr>
            <w:tcW w:w="1387" w:type="dxa"/>
            <w:shd w:val="clear" w:color="auto" w:fill="auto"/>
          </w:tcPr>
          <w:p w:rsidR="006B66F0" w:rsidRPr="00B31801" w:rsidRDefault="006B66F0" w:rsidP="006B66F0">
            <w:pPr>
              <w:jc w:val="center"/>
              <w:rPr>
                <w:rFonts w:ascii="Arial" w:hAnsi="Arial" w:cs="Arial"/>
                <w:bCs/>
                <w:sz w:val="24"/>
                <w:szCs w:val="24"/>
                <w:lang w:val="it-IT"/>
              </w:rPr>
            </w:pPr>
            <w:r w:rsidRPr="00B31801">
              <w:rPr>
                <w:rFonts w:ascii="Arial" w:hAnsi="Arial" w:cs="Arial"/>
                <w:bCs/>
                <w:sz w:val="24"/>
                <w:szCs w:val="24"/>
                <w:lang w:val="it-IT"/>
              </w:rPr>
              <w:t>1</w:t>
            </w:r>
          </w:p>
        </w:tc>
      </w:tr>
      <w:tr w:rsidR="006B66F0" w:rsidRPr="00B31801">
        <w:trPr>
          <w:tblCellSpacing w:w="20" w:type="dxa"/>
          <w:jc w:val="center"/>
        </w:trPr>
        <w:tc>
          <w:tcPr>
            <w:tcW w:w="1873" w:type="dxa"/>
            <w:shd w:val="clear" w:color="auto" w:fill="auto"/>
          </w:tcPr>
          <w:p w:rsidR="006B66F0" w:rsidRPr="00B31801" w:rsidRDefault="006B66F0" w:rsidP="006B66F0">
            <w:pPr>
              <w:jc w:val="center"/>
              <w:rPr>
                <w:rFonts w:ascii="Arial" w:hAnsi="Arial" w:cs="Arial"/>
                <w:bCs/>
                <w:sz w:val="24"/>
                <w:szCs w:val="24"/>
                <w:lang w:val="it-IT"/>
              </w:rPr>
            </w:pPr>
            <w:r w:rsidRPr="00B31801">
              <w:rPr>
                <w:rFonts w:ascii="Arial" w:hAnsi="Arial" w:cs="Arial"/>
                <w:bCs/>
                <w:sz w:val="24"/>
                <w:szCs w:val="24"/>
                <w:lang w:val="it-IT"/>
              </w:rPr>
              <w:t>Fond suburban</w:t>
            </w:r>
          </w:p>
        </w:tc>
        <w:tc>
          <w:tcPr>
            <w:tcW w:w="1387" w:type="dxa"/>
            <w:shd w:val="clear" w:color="auto" w:fill="auto"/>
          </w:tcPr>
          <w:p w:rsidR="006B66F0" w:rsidRPr="00B31801" w:rsidRDefault="006B66F0" w:rsidP="006B66F0">
            <w:pPr>
              <w:jc w:val="center"/>
              <w:rPr>
                <w:rFonts w:ascii="Arial" w:hAnsi="Arial" w:cs="Arial"/>
                <w:bCs/>
                <w:sz w:val="24"/>
                <w:szCs w:val="24"/>
                <w:lang w:val="it-IT"/>
              </w:rPr>
            </w:pPr>
            <w:r w:rsidRPr="00B31801">
              <w:rPr>
                <w:rFonts w:ascii="Arial" w:hAnsi="Arial" w:cs="Arial"/>
                <w:bCs/>
                <w:sz w:val="24"/>
                <w:szCs w:val="24"/>
                <w:lang w:val="it-IT"/>
              </w:rPr>
              <w:t>1</w:t>
            </w:r>
          </w:p>
        </w:tc>
      </w:tr>
    </w:tbl>
    <w:p w:rsidR="006B66F0" w:rsidRPr="001C23F3" w:rsidRDefault="006B66F0" w:rsidP="006B66F0">
      <w:pPr>
        <w:autoSpaceDE w:val="0"/>
        <w:autoSpaceDN w:val="0"/>
        <w:adjustRightInd w:val="0"/>
        <w:jc w:val="both"/>
        <w:rPr>
          <w:rFonts w:ascii="Arial" w:hAnsi="Arial" w:cs="Arial"/>
          <w:bCs/>
          <w:sz w:val="24"/>
          <w:szCs w:val="24"/>
          <w:lang w:val="ro-RO"/>
        </w:rPr>
      </w:pPr>
    </w:p>
    <w:p w:rsidR="006B66F0" w:rsidRPr="00A44D88" w:rsidRDefault="006B66F0" w:rsidP="006B66F0">
      <w:pPr>
        <w:jc w:val="both"/>
        <w:rPr>
          <w:rFonts w:ascii="Arial" w:hAnsi="Arial" w:cs="Arial"/>
          <w:sz w:val="24"/>
          <w:szCs w:val="24"/>
          <w:lang w:val="ro-RO"/>
        </w:rPr>
      </w:pPr>
      <w:r w:rsidRPr="00A44D88">
        <w:rPr>
          <w:rFonts w:ascii="Arial" w:hAnsi="Arial" w:cs="Arial"/>
          <w:sz w:val="24"/>
          <w:szCs w:val="24"/>
          <w:lang w:val="ro-RO"/>
        </w:rPr>
        <w:tab/>
        <w:t>Statiile au fost amplasate conform „</w:t>
      </w:r>
      <w:r w:rsidRPr="00A44D88">
        <w:rPr>
          <w:rFonts w:ascii="Arial" w:hAnsi="Arial" w:cs="Arial"/>
          <w:sz w:val="24"/>
          <w:szCs w:val="24"/>
          <w:lang w:val="fr-FR"/>
        </w:rPr>
        <w:t>Criteria for EUROAIRNET, 1999”, astfel:</w:t>
      </w:r>
    </w:p>
    <w:p w:rsidR="006B66F0" w:rsidRPr="00A44D88" w:rsidRDefault="006B66F0" w:rsidP="006B66F0">
      <w:pPr>
        <w:rPr>
          <w:rFonts w:ascii="Arial" w:hAnsi="Arial" w:cs="Arial"/>
          <w:sz w:val="24"/>
          <w:szCs w:val="24"/>
          <w:lang w:val="ro-RO"/>
        </w:rPr>
      </w:pPr>
    </w:p>
    <w:p w:rsidR="006B66F0" w:rsidRPr="00A44D88" w:rsidRDefault="006B66F0" w:rsidP="004F7E1A">
      <w:pPr>
        <w:jc w:val="both"/>
        <w:rPr>
          <w:rFonts w:ascii="Arial" w:hAnsi="Arial" w:cs="Arial"/>
          <w:sz w:val="24"/>
          <w:szCs w:val="24"/>
          <w:lang w:val="ro-RO"/>
        </w:rPr>
      </w:pPr>
      <w:r w:rsidRPr="00A44D88">
        <w:rPr>
          <w:rFonts w:ascii="Arial" w:hAnsi="Arial" w:cs="Arial"/>
          <w:b/>
          <w:sz w:val="24"/>
          <w:szCs w:val="24"/>
          <w:lang w:val="ro-RO"/>
        </w:rPr>
        <w:t>Staţia CT</w:t>
      </w:r>
      <w:r w:rsidR="00885C4A">
        <w:rPr>
          <w:rFonts w:ascii="Arial" w:hAnsi="Arial" w:cs="Arial"/>
          <w:b/>
          <w:sz w:val="24"/>
          <w:szCs w:val="24"/>
          <w:lang w:val="ro-RO"/>
        </w:rPr>
        <w:t xml:space="preserve"> </w:t>
      </w:r>
      <w:r w:rsidRPr="00A44D88">
        <w:rPr>
          <w:rFonts w:ascii="Arial" w:hAnsi="Arial" w:cs="Arial"/>
          <w:b/>
          <w:sz w:val="24"/>
          <w:szCs w:val="24"/>
          <w:lang w:val="ro-RO"/>
        </w:rPr>
        <w:t xml:space="preserve">1 – </w:t>
      </w:r>
      <w:r w:rsidRPr="00A44D88">
        <w:rPr>
          <w:rFonts w:ascii="Arial" w:hAnsi="Arial" w:cs="Arial"/>
          <w:sz w:val="24"/>
          <w:szCs w:val="24"/>
          <w:lang w:val="ro-RO"/>
        </w:rPr>
        <w:t>Statie de trafic, amplasată în municipiul Constanţa – zona Casa de Cultura</w:t>
      </w:r>
    </w:p>
    <w:p w:rsidR="006B66F0" w:rsidRPr="00A44D88" w:rsidRDefault="006B66F0" w:rsidP="006B66F0">
      <w:pPr>
        <w:numPr>
          <w:ilvl w:val="0"/>
          <w:numId w:val="18"/>
        </w:numPr>
        <w:jc w:val="both"/>
        <w:rPr>
          <w:rFonts w:ascii="Arial" w:hAnsi="Arial" w:cs="Arial"/>
          <w:sz w:val="24"/>
          <w:szCs w:val="24"/>
          <w:lang w:val="it-IT"/>
        </w:rPr>
      </w:pPr>
      <w:r w:rsidRPr="00A44D88">
        <w:rPr>
          <w:rFonts w:ascii="Arial" w:hAnsi="Arial" w:cs="Arial"/>
          <w:sz w:val="24"/>
          <w:szCs w:val="24"/>
          <w:lang w:val="it-IT"/>
        </w:rPr>
        <w:t>evaluează influenţa emisiilor provenite din trafic</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sz w:val="24"/>
          <w:szCs w:val="24"/>
          <w:lang w:val="ro-RO"/>
        </w:rPr>
        <w:t>monitorizează poluanţii: dioxid de sulf (SO2), oxizi de azot (NOx/NO/NO2), monoxid de carbon (CO), benzen, pulberi în suspensie (PM10)</w:t>
      </w:r>
    </w:p>
    <w:p w:rsidR="006B66F0" w:rsidRPr="00A44D88" w:rsidRDefault="006B66F0" w:rsidP="00885C4A">
      <w:pPr>
        <w:ind w:left="1800" w:hanging="1800"/>
        <w:jc w:val="both"/>
        <w:rPr>
          <w:rFonts w:ascii="Arial" w:hAnsi="Arial" w:cs="Arial"/>
          <w:sz w:val="24"/>
          <w:szCs w:val="24"/>
          <w:lang w:val="ro-RO"/>
        </w:rPr>
      </w:pPr>
      <w:r w:rsidRPr="00A44D88">
        <w:rPr>
          <w:rFonts w:ascii="Arial" w:hAnsi="Arial" w:cs="Arial"/>
          <w:b/>
          <w:sz w:val="24"/>
          <w:szCs w:val="24"/>
          <w:lang w:val="ro-RO"/>
        </w:rPr>
        <w:t>Staţia CT</w:t>
      </w:r>
      <w:r w:rsidR="00885C4A">
        <w:rPr>
          <w:rFonts w:ascii="Arial" w:hAnsi="Arial" w:cs="Arial"/>
          <w:b/>
          <w:sz w:val="24"/>
          <w:szCs w:val="24"/>
          <w:lang w:val="ro-RO"/>
        </w:rPr>
        <w:t xml:space="preserve"> </w:t>
      </w:r>
      <w:r w:rsidRPr="00A44D88">
        <w:rPr>
          <w:rFonts w:ascii="Arial" w:hAnsi="Arial" w:cs="Arial"/>
          <w:b/>
          <w:sz w:val="24"/>
          <w:szCs w:val="24"/>
          <w:lang w:val="ro-RO"/>
        </w:rPr>
        <w:t xml:space="preserve">2 - </w:t>
      </w:r>
      <w:r w:rsidRPr="00A44D88">
        <w:rPr>
          <w:rFonts w:ascii="Arial" w:hAnsi="Arial" w:cs="Arial"/>
          <w:sz w:val="24"/>
          <w:szCs w:val="24"/>
          <w:lang w:val="ro-RO"/>
        </w:rPr>
        <w:t xml:space="preserve">Staţie de fond urban, amplasată în municipiul Constanţa – zona parc Primarie </w:t>
      </w:r>
    </w:p>
    <w:p w:rsidR="006B66F0" w:rsidRPr="00A44D88" w:rsidRDefault="006B66F0" w:rsidP="006B66F0">
      <w:pPr>
        <w:numPr>
          <w:ilvl w:val="0"/>
          <w:numId w:val="18"/>
        </w:numPr>
        <w:jc w:val="both"/>
        <w:rPr>
          <w:rFonts w:ascii="Arial" w:hAnsi="Arial" w:cs="Arial"/>
          <w:sz w:val="24"/>
          <w:szCs w:val="24"/>
          <w:lang w:val="it-IT"/>
        </w:rPr>
      </w:pPr>
      <w:r w:rsidRPr="00A44D88">
        <w:rPr>
          <w:rFonts w:ascii="Arial" w:hAnsi="Arial" w:cs="Arial"/>
          <w:sz w:val="24"/>
          <w:szCs w:val="24"/>
          <w:lang w:val="it-IT"/>
        </w:rPr>
        <w:lastRenderedPageBreak/>
        <w:t>monitorizeaza nivelele medii de poluare in interiorul unei zone urbane ample, datorate unor fenomene produse in interiorul orasului, cu posibile contributii semnificative datorate unor fenomene de transport care provin din exteriorul orasului</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sz w:val="24"/>
          <w:szCs w:val="24"/>
          <w:lang w:val="it-IT"/>
        </w:rPr>
        <w:t>raza ariei de reprezentativitate este de 100 m-1 km</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sz w:val="24"/>
          <w:szCs w:val="24"/>
          <w:lang w:val="ro-RO"/>
        </w:rPr>
        <w:t>monitorizează poluanţii: dioxid de sulf (SO2), oxizi de azot (NOx/NO/NO2), monoxid de carbon (CO), ozon (O3), benzen, pulberi în suspensie (PM10) şi parametrii meteo (direcţia şi viteza vântului, presiune, temperatură, radiaţia solară, umiditate relativă, precipitaţii);</w:t>
      </w:r>
    </w:p>
    <w:p w:rsidR="006B66F0" w:rsidRPr="00A44D88" w:rsidRDefault="006B66F0" w:rsidP="004F7E1A">
      <w:pPr>
        <w:pStyle w:val="Titlu4"/>
        <w:spacing w:before="0" w:after="0"/>
        <w:jc w:val="both"/>
        <w:rPr>
          <w:rFonts w:ascii="Arial" w:hAnsi="Arial" w:cs="Arial"/>
          <w:b w:val="0"/>
          <w:sz w:val="24"/>
          <w:szCs w:val="24"/>
          <w:lang w:val="ro-RO"/>
        </w:rPr>
      </w:pPr>
      <w:r w:rsidRPr="00A44D88">
        <w:rPr>
          <w:rFonts w:ascii="Arial" w:hAnsi="Arial" w:cs="Arial"/>
          <w:sz w:val="24"/>
          <w:szCs w:val="24"/>
          <w:lang w:val="ro-RO"/>
        </w:rPr>
        <w:t>Staţia CT 3</w:t>
      </w:r>
      <w:r w:rsidRPr="00A44D88">
        <w:rPr>
          <w:rFonts w:ascii="Arial" w:hAnsi="Arial" w:cs="Arial"/>
          <w:b w:val="0"/>
          <w:sz w:val="24"/>
          <w:szCs w:val="24"/>
          <w:lang w:val="ro-RO"/>
        </w:rPr>
        <w:t xml:space="preserve"> - staţie de fond suburban este amplasată în orasul Navodari – Tabara Victoria</w:t>
      </w:r>
    </w:p>
    <w:p w:rsidR="006B66F0" w:rsidRPr="00831002" w:rsidRDefault="006B66F0" w:rsidP="006B66F0">
      <w:pPr>
        <w:numPr>
          <w:ilvl w:val="0"/>
          <w:numId w:val="18"/>
        </w:numPr>
        <w:jc w:val="both"/>
        <w:rPr>
          <w:rFonts w:ascii="Arial" w:hAnsi="Arial" w:cs="Arial"/>
          <w:b/>
          <w:sz w:val="24"/>
          <w:szCs w:val="24"/>
          <w:lang w:val="it-IT"/>
        </w:rPr>
      </w:pPr>
      <w:r w:rsidRPr="00831002">
        <w:rPr>
          <w:rFonts w:ascii="Arial" w:hAnsi="Arial" w:cs="Arial"/>
          <w:sz w:val="24"/>
          <w:szCs w:val="24"/>
          <w:lang w:val="it-IT"/>
        </w:rPr>
        <w:t xml:space="preserve">monitorizeaza nivelele medii de poluare in interiorul unei zone suburbane, datorate unor fenomene de transport care provin din exteriorul orasului si a unor fenomene produse in interiorul orasului </w:t>
      </w:r>
    </w:p>
    <w:p w:rsidR="006B66F0" w:rsidRPr="00831002" w:rsidRDefault="006B66F0" w:rsidP="006B66F0">
      <w:pPr>
        <w:numPr>
          <w:ilvl w:val="0"/>
          <w:numId w:val="18"/>
        </w:numPr>
        <w:jc w:val="both"/>
        <w:rPr>
          <w:rFonts w:ascii="Arial" w:hAnsi="Arial" w:cs="Arial"/>
          <w:sz w:val="24"/>
          <w:szCs w:val="24"/>
          <w:lang w:val="it-IT"/>
        </w:rPr>
      </w:pPr>
      <w:r w:rsidRPr="00831002">
        <w:rPr>
          <w:rFonts w:ascii="Arial" w:hAnsi="Arial" w:cs="Arial"/>
          <w:sz w:val="24"/>
          <w:szCs w:val="24"/>
          <w:lang w:val="it-IT"/>
        </w:rPr>
        <w:t>raza ariei de reprezentativitate este de 1-5 km</w:t>
      </w:r>
    </w:p>
    <w:p w:rsidR="006B66F0" w:rsidRPr="00831002" w:rsidRDefault="006B66F0" w:rsidP="006B66F0">
      <w:pPr>
        <w:numPr>
          <w:ilvl w:val="0"/>
          <w:numId w:val="18"/>
        </w:numPr>
        <w:jc w:val="both"/>
        <w:rPr>
          <w:rFonts w:ascii="Arial" w:hAnsi="Arial" w:cs="Arial"/>
          <w:b/>
          <w:sz w:val="24"/>
          <w:szCs w:val="24"/>
          <w:lang w:val="ro-RO"/>
        </w:rPr>
      </w:pPr>
      <w:r w:rsidRPr="00831002">
        <w:rPr>
          <w:rFonts w:ascii="Arial" w:hAnsi="Arial" w:cs="Arial"/>
          <w:sz w:val="24"/>
          <w:szCs w:val="24"/>
          <w:lang w:val="ro-RO"/>
        </w:rPr>
        <w:t>monitorizează poluanţii:dioxid de sulf (SO2), oxizi de azot (NOx/NO/NO2), monoxid de carbon (CO), ozon (O3), benzen, pulberi în suspensie (PM10) şi parametrii meteo (direcţia şi viteza vântului, presiune, temperatură, radiaţia solară, umiditate relativă, precipitaţii);</w:t>
      </w:r>
    </w:p>
    <w:p w:rsidR="006B66F0" w:rsidRPr="00831002" w:rsidRDefault="006B66F0" w:rsidP="006B66F0">
      <w:pPr>
        <w:jc w:val="both"/>
        <w:rPr>
          <w:rFonts w:ascii="Arial" w:hAnsi="Arial" w:cs="Arial"/>
          <w:sz w:val="24"/>
          <w:szCs w:val="24"/>
          <w:lang w:val="ro-RO"/>
        </w:rPr>
      </w:pPr>
      <w:r w:rsidRPr="00831002">
        <w:rPr>
          <w:rFonts w:ascii="Arial" w:hAnsi="Arial" w:cs="Arial"/>
          <w:b/>
          <w:sz w:val="24"/>
          <w:szCs w:val="24"/>
          <w:lang w:val="ro-RO"/>
        </w:rPr>
        <w:t>Staţia CT 4</w:t>
      </w:r>
      <w:r w:rsidRPr="00A44D88">
        <w:rPr>
          <w:b/>
          <w:lang w:val="ro-RO"/>
        </w:rPr>
        <w:t xml:space="preserve"> </w:t>
      </w:r>
      <w:r w:rsidRPr="00831002">
        <w:rPr>
          <w:rFonts w:ascii="Arial" w:hAnsi="Arial" w:cs="Arial"/>
          <w:sz w:val="24"/>
          <w:szCs w:val="24"/>
          <w:lang w:val="ro-RO"/>
        </w:rPr>
        <w:t>- Staţie de trafic, amplasată în municipiul Mangalia – zona parc arheologic</w:t>
      </w:r>
    </w:p>
    <w:p w:rsidR="006B66F0" w:rsidRPr="00A44D88" w:rsidRDefault="006B66F0" w:rsidP="006B66F0">
      <w:pPr>
        <w:numPr>
          <w:ilvl w:val="0"/>
          <w:numId w:val="18"/>
        </w:numPr>
        <w:jc w:val="both"/>
        <w:rPr>
          <w:rFonts w:ascii="Arial" w:hAnsi="Arial" w:cs="Arial"/>
          <w:sz w:val="24"/>
          <w:szCs w:val="24"/>
          <w:lang w:val="it-IT"/>
        </w:rPr>
      </w:pPr>
      <w:r w:rsidRPr="00A44D88">
        <w:rPr>
          <w:rFonts w:ascii="Arial" w:hAnsi="Arial" w:cs="Arial"/>
          <w:sz w:val="24"/>
          <w:szCs w:val="24"/>
          <w:lang w:val="it-IT"/>
        </w:rPr>
        <w:t>evaluează influenţa emisiilor provenite din trafic</w:t>
      </w:r>
    </w:p>
    <w:p w:rsidR="006B66F0" w:rsidRPr="00831002" w:rsidRDefault="006B66F0" w:rsidP="006B66F0">
      <w:pPr>
        <w:numPr>
          <w:ilvl w:val="0"/>
          <w:numId w:val="18"/>
        </w:numPr>
        <w:jc w:val="both"/>
        <w:rPr>
          <w:rFonts w:ascii="Arial" w:hAnsi="Arial" w:cs="Arial"/>
          <w:b/>
          <w:sz w:val="24"/>
          <w:szCs w:val="24"/>
          <w:lang w:val="ro-RO"/>
        </w:rPr>
      </w:pPr>
      <w:r w:rsidRPr="00831002">
        <w:rPr>
          <w:rFonts w:ascii="Arial" w:hAnsi="Arial" w:cs="Arial"/>
          <w:sz w:val="24"/>
          <w:szCs w:val="24"/>
          <w:lang w:val="ro-RO"/>
        </w:rPr>
        <w:t>monitorizează poluanţii: dioxid de sulf (SO2), oxizi de azot (NOx/NO/NO2), monoxid de carbon (CO), benzen, pulberi în suspensie (PM10).</w:t>
      </w:r>
    </w:p>
    <w:p w:rsidR="006B66F0" w:rsidRPr="00831002" w:rsidRDefault="006B66F0" w:rsidP="0011512F">
      <w:pPr>
        <w:ind w:left="1620" w:hanging="1620"/>
        <w:jc w:val="both"/>
        <w:rPr>
          <w:rFonts w:ascii="Arial" w:hAnsi="Arial" w:cs="Arial"/>
          <w:sz w:val="24"/>
          <w:szCs w:val="24"/>
          <w:lang w:val="ro-RO"/>
        </w:rPr>
      </w:pPr>
      <w:r w:rsidRPr="00831002">
        <w:rPr>
          <w:rFonts w:ascii="Arial" w:hAnsi="Arial" w:cs="Arial"/>
          <w:b/>
          <w:sz w:val="24"/>
          <w:szCs w:val="24"/>
          <w:lang w:val="ro-RO"/>
        </w:rPr>
        <w:t xml:space="preserve">Staţia CT 5 – </w:t>
      </w:r>
      <w:r w:rsidRPr="00831002">
        <w:rPr>
          <w:rFonts w:ascii="Arial" w:hAnsi="Arial" w:cs="Arial"/>
          <w:sz w:val="24"/>
          <w:szCs w:val="24"/>
          <w:lang w:val="ro-RO"/>
        </w:rPr>
        <w:t xml:space="preserve">Staţie de tip industrial, amplasata în municipiul Constanţa – str. Prelungirea Liliacului nr. 6 </w:t>
      </w:r>
    </w:p>
    <w:p w:rsidR="006B66F0" w:rsidRPr="00831002" w:rsidRDefault="006B66F0" w:rsidP="006B66F0">
      <w:pPr>
        <w:numPr>
          <w:ilvl w:val="0"/>
          <w:numId w:val="18"/>
        </w:numPr>
        <w:jc w:val="both"/>
        <w:rPr>
          <w:rFonts w:ascii="Arial" w:hAnsi="Arial" w:cs="Arial"/>
          <w:sz w:val="24"/>
          <w:szCs w:val="24"/>
          <w:lang w:val="ro-RO"/>
        </w:rPr>
      </w:pPr>
      <w:r w:rsidRPr="00831002">
        <w:rPr>
          <w:rFonts w:ascii="Arial" w:hAnsi="Arial" w:cs="Arial"/>
          <w:sz w:val="24"/>
          <w:szCs w:val="24"/>
          <w:lang w:val="ro-RO"/>
        </w:rPr>
        <w:t>evalueza influenta surselor industriale asupra calitatii aerului</w:t>
      </w:r>
    </w:p>
    <w:p w:rsidR="006B66F0" w:rsidRPr="00831002" w:rsidRDefault="006B66F0" w:rsidP="006B66F0">
      <w:pPr>
        <w:numPr>
          <w:ilvl w:val="0"/>
          <w:numId w:val="18"/>
        </w:numPr>
        <w:jc w:val="both"/>
        <w:rPr>
          <w:rFonts w:ascii="Arial" w:hAnsi="Arial" w:cs="Arial"/>
          <w:sz w:val="24"/>
          <w:szCs w:val="24"/>
          <w:lang w:val="ro-RO"/>
        </w:rPr>
      </w:pPr>
      <w:r w:rsidRPr="00831002">
        <w:rPr>
          <w:rFonts w:ascii="Arial" w:hAnsi="Arial" w:cs="Arial"/>
          <w:color w:val="000000"/>
          <w:sz w:val="24"/>
          <w:szCs w:val="24"/>
          <w:lang w:val="it-IT"/>
        </w:rPr>
        <w:t xml:space="preserve">raza ariei de reprezentativitate este de </w:t>
      </w:r>
      <w:r w:rsidRPr="00831002">
        <w:rPr>
          <w:rFonts w:ascii="Arial" w:hAnsi="Arial" w:cs="Arial"/>
          <w:sz w:val="24"/>
          <w:szCs w:val="24"/>
          <w:lang w:val="ro-RO"/>
        </w:rPr>
        <w:t xml:space="preserve">10 – 100 m </w:t>
      </w:r>
    </w:p>
    <w:p w:rsidR="006B66F0" w:rsidRPr="00A44D88" w:rsidRDefault="006B66F0" w:rsidP="006B66F0">
      <w:pPr>
        <w:numPr>
          <w:ilvl w:val="0"/>
          <w:numId w:val="18"/>
        </w:numPr>
        <w:jc w:val="both"/>
        <w:rPr>
          <w:rFonts w:ascii="Arial" w:hAnsi="Arial" w:cs="Arial"/>
          <w:sz w:val="24"/>
          <w:szCs w:val="24"/>
          <w:lang w:val="ro-RO"/>
        </w:rPr>
      </w:pPr>
      <w:r w:rsidRPr="00831002">
        <w:rPr>
          <w:rFonts w:ascii="Arial" w:hAnsi="Arial" w:cs="Arial"/>
          <w:sz w:val="24"/>
          <w:szCs w:val="24"/>
          <w:lang w:val="ro-RO"/>
        </w:rPr>
        <w:t>monitorizează poluanţii: dioxid de sulf (SO2), oxizi</w:t>
      </w:r>
      <w:r w:rsidRPr="00A44D88">
        <w:rPr>
          <w:rFonts w:ascii="Arial" w:hAnsi="Arial" w:cs="Arial"/>
          <w:sz w:val="24"/>
          <w:szCs w:val="24"/>
          <w:lang w:val="ro-RO"/>
        </w:rPr>
        <w:t xml:space="preserve"> de azot (NOx/NO/NO2), monoxid de carbon (CO), ozon (O3), pulberi în suspensie (PM10) şi parametrii meteo (direcţia şi viteza vântului, presiune, temperatură, radiaţia solară, umiditate relativă, precipitaţii) </w:t>
      </w:r>
    </w:p>
    <w:p w:rsidR="006B66F0" w:rsidRPr="00A44D88" w:rsidRDefault="006B66F0" w:rsidP="0011512F">
      <w:pPr>
        <w:pStyle w:val="Indentcorptext3"/>
        <w:ind w:left="1530" w:hanging="1530"/>
        <w:jc w:val="left"/>
        <w:rPr>
          <w:bCs w:val="0"/>
        </w:rPr>
      </w:pPr>
      <w:r w:rsidRPr="00A44D88">
        <w:rPr>
          <w:b/>
        </w:rPr>
        <w:t xml:space="preserve">Staţia CT 6 – </w:t>
      </w:r>
      <w:r w:rsidRPr="00A44D88">
        <w:t>Staţie de tip industrial</w:t>
      </w:r>
      <w:r w:rsidRPr="00A44D88">
        <w:rPr>
          <w:b/>
        </w:rPr>
        <w:t xml:space="preserve">, </w:t>
      </w:r>
      <w:r w:rsidRPr="00A44D88">
        <w:rPr>
          <w:bCs w:val="0"/>
        </w:rPr>
        <w:t xml:space="preserve">amplasată în </w:t>
      </w:r>
      <w:r w:rsidRPr="00A44D88">
        <w:t>orasul Navodari – Liceu L</w:t>
      </w:r>
      <w:r>
        <w:t>azar</w:t>
      </w:r>
      <w:r w:rsidR="0011512F">
        <w:t xml:space="preserve"> </w:t>
      </w:r>
      <w:r w:rsidRPr="00A44D88">
        <w:t>Edeleanu</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sz w:val="24"/>
          <w:szCs w:val="24"/>
          <w:lang w:val="ro-RO"/>
        </w:rPr>
        <w:t>evalueza influenta surselor industriale asupra calitatii aerului</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color w:val="000000"/>
          <w:sz w:val="24"/>
          <w:szCs w:val="24"/>
          <w:lang w:val="it-IT"/>
        </w:rPr>
        <w:t xml:space="preserve">raza ariei de reprezentativitate este de </w:t>
      </w:r>
      <w:r w:rsidRPr="00A44D88">
        <w:rPr>
          <w:rFonts w:ascii="Arial" w:hAnsi="Arial" w:cs="Arial"/>
          <w:sz w:val="24"/>
          <w:szCs w:val="24"/>
          <w:lang w:val="ro-RO"/>
        </w:rPr>
        <w:t xml:space="preserve">10 – 100 m </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sz w:val="24"/>
          <w:szCs w:val="24"/>
          <w:lang w:val="ro-RO"/>
        </w:rPr>
        <w:t>monitorizează poluanţii:dioxid de sulf (SO2), oxizi de azot (NOx/NO/NO2), monoxid de carbon (CO), ozon (O3), benzen, pulberi în suspensie (PM10) şi parametrii meteo (direcţia şi viteza vântului, presiune, temperatură, radiaţia solară, umiditate relativă, precipitaţii);</w:t>
      </w:r>
    </w:p>
    <w:p w:rsidR="006B66F0" w:rsidRPr="00A44D88" w:rsidRDefault="006B66F0" w:rsidP="004F7E1A">
      <w:pPr>
        <w:pStyle w:val="Indentcorptext3"/>
        <w:ind w:firstLine="0"/>
        <w:jc w:val="left"/>
        <w:rPr>
          <w:bCs w:val="0"/>
        </w:rPr>
      </w:pPr>
      <w:r w:rsidRPr="00A44D88">
        <w:rPr>
          <w:b/>
        </w:rPr>
        <w:t>Staţia CT 7  –</w:t>
      </w:r>
      <w:r w:rsidRPr="00A44D88">
        <w:t xml:space="preserve"> Staţie de tip industrial</w:t>
      </w:r>
      <w:r w:rsidRPr="00A44D88">
        <w:rPr>
          <w:b/>
        </w:rPr>
        <w:t xml:space="preserve"> , </w:t>
      </w:r>
      <w:r w:rsidRPr="00A44D88">
        <w:rPr>
          <w:bCs w:val="0"/>
        </w:rPr>
        <w:t>amplasată în municipiul Medgidia</w:t>
      </w:r>
      <w:r w:rsidRPr="00A44D88">
        <w:t xml:space="preserve"> – Primarie </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sz w:val="24"/>
          <w:szCs w:val="24"/>
          <w:lang w:val="ro-RO"/>
        </w:rPr>
        <w:t>evalueza influenta surselor industriale asupra calitatii aerului</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color w:val="000000"/>
          <w:sz w:val="24"/>
          <w:szCs w:val="24"/>
          <w:lang w:val="it-IT"/>
        </w:rPr>
        <w:t xml:space="preserve">raza ariei de reprezentativitate este de </w:t>
      </w:r>
      <w:r w:rsidRPr="00A44D88">
        <w:rPr>
          <w:rFonts w:ascii="Arial" w:hAnsi="Arial" w:cs="Arial"/>
          <w:sz w:val="24"/>
          <w:szCs w:val="24"/>
          <w:lang w:val="ro-RO"/>
        </w:rPr>
        <w:t xml:space="preserve">10 – 100 m </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sz w:val="24"/>
          <w:szCs w:val="24"/>
          <w:lang w:val="ro-RO"/>
        </w:rPr>
        <w:t xml:space="preserve">monitorizează poluanţii:dioxid de sulf (SO2), oxizi de azot (NOx/NO/NO2), monoxid de carbon (CO), ozon (O3), pulberi în suspensie (PM10) şi parametrii meteo (direcţia şi viteza vântului, presiune, temperatură, radiaţia solară, umiditate relativă, precipitaţii) </w:t>
      </w:r>
    </w:p>
    <w:p w:rsidR="006B66F0" w:rsidRPr="00A44D88" w:rsidRDefault="006B66F0" w:rsidP="006B66F0">
      <w:pPr>
        <w:numPr>
          <w:ilvl w:val="0"/>
          <w:numId w:val="18"/>
        </w:numPr>
        <w:jc w:val="both"/>
        <w:rPr>
          <w:rFonts w:ascii="Arial" w:hAnsi="Arial" w:cs="Arial"/>
          <w:sz w:val="24"/>
          <w:szCs w:val="24"/>
          <w:lang w:val="ro-RO"/>
        </w:rPr>
      </w:pPr>
      <w:r w:rsidRPr="00A44D88">
        <w:rPr>
          <w:rFonts w:ascii="Arial" w:hAnsi="Arial" w:cs="Arial"/>
          <w:sz w:val="24"/>
          <w:szCs w:val="24"/>
          <w:lang w:val="ro-RO"/>
        </w:rPr>
        <w:t>monitorizează poluanţii:dioxid de sulf (SO2), oxizi de azot (NOx/NO/NO2), monoxid de carbon (CO), ozon (O3), pulberi în suspensie (PM10) şi parametrii meteo (direcţia şi viteza vântului, presiune, temperatură, radiaţia solară, umiditate relativă, precipitaţii);</w:t>
      </w:r>
    </w:p>
    <w:p w:rsidR="006B66F0" w:rsidRPr="00DA283E" w:rsidRDefault="006B66F0" w:rsidP="006B66F0">
      <w:pPr>
        <w:autoSpaceDE w:val="0"/>
        <w:autoSpaceDN w:val="0"/>
        <w:adjustRightInd w:val="0"/>
        <w:ind w:firstLine="720"/>
        <w:jc w:val="both"/>
        <w:rPr>
          <w:rFonts w:ascii="Garamond" w:hAnsi="Garamond" w:cs="TimesNewRoman"/>
          <w:sz w:val="24"/>
          <w:szCs w:val="24"/>
          <w:lang w:val="ro-RO"/>
        </w:rPr>
      </w:pPr>
    </w:p>
    <w:p w:rsidR="006B66F0" w:rsidRPr="00DA283E" w:rsidRDefault="006B66F0" w:rsidP="006B66F0">
      <w:pPr>
        <w:autoSpaceDE w:val="0"/>
        <w:autoSpaceDN w:val="0"/>
        <w:adjustRightInd w:val="0"/>
        <w:ind w:firstLine="720"/>
        <w:jc w:val="both"/>
        <w:rPr>
          <w:rFonts w:ascii="Arial" w:hAnsi="Arial" w:cs="Arial"/>
          <w:sz w:val="24"/>
          <w:szCs w:val="24"/>
          <w:lang w:val="ro-RO"/>
        </w:rPr>
      </w:pPr>
      <w:r w:rsidRPr="00DA283E">
        <w:rPr>
          <w:rFonts w:ascii="Arial" w:hAnsi="Arial" w:cs="Arial"/>
          <w:sz w:val="24"/>
          <w:szCs w:val="24"/>
          <w:lang w:val="ro-RO"/>
        </w:rPr>
        <w:t>Măsurarea în puncte fixe a poluanţilor menţionaţi se face aplicând metodele de referin</w:t>
      </w:r>
      <w:r w:rsidRPr="00DA283E">
        <w:rPr>
          <w:rFonts w:ascii="Arial" w:hAnsi="Arial" w:cs="Arial"/>
          <w:bCs/>
          <w:sz w:val="24"/>
          <w:szCs w:val="24"/>
          <w:lang w:val="ro-RO"/>
        </w:rPr>
        <w:t>ţ</w:t>
      </w:r>
      <w:r w:rsidRPr="00DA283E">
        <w:rPr>
          <w:rFonts w:ascii="Arial" w:hAnsi="Arial" w:cs="Arial"/>
          <w:sz w:val="24"/>
          <w:szCs w:val="24"/>
          <w:lang w:val="ro-RO"/>
        </w:rPr>
        <w:t>ă astfel:</w:t>
      </w:r>
    </w:p>
    <w:p w:rsidR="006B66F0" w:rsidRPr="00DA283E" w:rsidRDefault="006B66F0" w:rsidP="006B66F0">
      <w:pPr>
        <w:autoSpaceDE w:val="0"/>
        <w:autoSpaceDN w:val="0"/>
        <w:adjustRightInd w:val="0"/>
        <w:ind w:firstLine="720"/>
        <w:jc w:val="both"/>
        <w:rPr>
          <w:rFonts w:ascii="Arial" w:hAnsi="Arial" w:cs="Arial"/>
          <w:sz w:val="24"/>
          <w:szCs w:val="24"/>
          <w:lang w:val="ro-RO"/>
        </w:rPr>
      </w:pPr>
      <w:r w:rsidRPr="00DA283E">
        <w:rPr>
          <w:rFonts w:ascii="Arial" w:hAnsi="Arial" w:cs="Arial"/>
          <w:sz w:val="24"/>
          <w:szCs w:val="24"/>
          <w:lang w:val="ro-RO"/>
        </w:rPr>
        <w:t xml:space="preserve">- pentru </w:t>
      </w:r>
      <w:r w:rsidRPr="00DA283E">
        <w:rPr>
          <w:rFonts w:ascii="Arial" w:hAnsi="Arial" w:cs="Arial"/>
          <w:b/>
          <w:bCs/>
          <w:sz w:val="24"/>
          <w:szCs w:val="24"/>
          <w:lang w:val="ro-RO"/>
        </w:rPr>
        <w:t xml:space="preserve">SO2 </w:t>
      </w:r>
      <w:r w:rsidRPr="00DA283E">
        <w:rPr>
          <w:rFonts w:ascii="Arial" w:hAnsi="Arial" w:cs="Arial"/>
          <w:sz w:val="24"/>
          <w:szCs w:val="24"/>
          <w:lang w:val="ro-RO"/>
        </w:rPr>
        <w:t>conform ISO/FDIS 10498 (proiect de standard) „Aer înconjurător – determinarea dioxidului de sulf ” – metoda fluorescenţei în ultraviolet;</w:t>
      </w:r>
    </w:p>
    <w:p w:rsidR="006B66F0" w:rsidRPr="006726C6" w:rsidRDefault="006B66F0" w:rsidP="006B66F0">
      <w:pPr>
        <w:autoSpaceDE w:val="0"/>
        <w:autoSpaceDN w:val="0"/>
        <w:adjustRightInd w:val="0"/>
        <w:ind w:firstLine="720"/>
        <w:jc w:val="both"/>
        <w:rPr>
          <w:rFonts w:ascii="Arial" w:hAnsi="Arial" w:cs="Arial"/>
          <w:sz w:val="24"/>
          <w:szCs w:val="24"/>
          <w:lang w:val="it-IT"/>
        </w:rPr>
      </w:pPr>
      <w:r w:rsidRPr="006726C6">
        <w:rPr>
          <w:rFonts w:ascii="Arial" w:hAnsi="Arial" w:cs="Arial"/>
          <w:sz w:val="24"/>
          <w:szCs w:val="24"/>
          <w:lang w:val="it-IT"/>
        </w:rPr>
        <w:t xml:space="preserve">- pentru </w:t>
      </w:r>
      <w:r w:rsidRPr="006726C6">
        <w:rPr>
          <w:rFonts w:ascii="Arial" w:hAnsi="Arial" w:cs="Arial"/>
          <w:b/>
          <w:bCs/>
          <w:sz w:val="24"/>
          <w:szCs w:val="24"/>
          <w:lang w:val="it-IT"/>
        </w:rPr>
        <w:t>NO2</w:t>
      </w:r>
      <w:r w:rsidRPr="006726C6">
        <w:rPr>
          <w:rFonts w:ascii="Arial" w:hAnsi="Arial" w:cs="Arial"/>
          <w:sz w:val="24"/>
          <w:szCs w:val="24"/>
          <w:lang w:val="it-IT"/>
        </w:rPr>
        <w:t>, NOx conform ISO 7996/1985 „Aer înconjurător – determinarea concentraţiei masice de oxizi de azot ” – metoda prin chemiluminiscenţă;</w:t>
      </w:r>
    </w:p>
    <w:p w:rsidR="006B66F0" w:rsidRPr="006726C6" w:rsidRDefault="006B66F0" w:rsidP="006B66F0">
      <w:pPr>
        <w:autoSpaceDE w:val="0"/>
        <w:autoSpaceDN w:val="0"/>
        <w:adjustRightInd w:val="0"/>
        <w:ind w:firstLine="720"/>
        <w:jc w:val="both"/>
        <w:rPr>
          <w:rFonts w:ascii="Arial" w:hAnsi="Arial" w:cs="Arial"/>
          <w:sz w:val="24"/>
          <w:szCs w:val="24"/>
          <w:lang w:val="it-IT"/>
        </w:rPr>
      </w:pPr>
      <w:r w:rsidRPr="006726C6">
        <w:rPr>
          <w:rFonts w:ascii="Arial" w:hAnsi="Arial" w:cs="Arial"/>
          <w:sz w:val="24"/>
          <w:szCs w:val="24"/>
          <w:lang w:val="it-IT"/>
        </w:rPr>
        <w:t xml:space="preserve">- pentru </w:t>
      </w:r>
      <w:r w:rsidRPr="006726C6">
        <w:rPr>
          <w:rFonts w:ascii="Arial" w:hAnsi="Arial" w:cs="Arial"/>
          <w:b/>
          <w:bCs/>
          <w:sz w:val="24"/>
          <w:szCs w:val="24"/>
          <w:lang w:val="it-IT"/>
        </w:rPr>
        <w:t xml:space="preserve">Pb </w:t>
      </w:r>
      <w:r w:rsidRPr="006726C6">
        <w:rPr>
          <w:rFonts w:ascii="Arial" w:hAnsi="Arial" w:cs="Arial"/>
          <w:sz w:val="24"/>
          <w:szCs w:val="24"/>
          <w:lang w:val="it-IT"/>
        </w:rPr>
        <w:t>conform ISO 9855/1993 „Aer înconjurător – determinarea conţinutului de plumb din aerosoli colectaţi pe filtre” – metoda spectroscopiei cu absorbţie atomică;</w:t>
      </w:r>
    </w:p>
    <w:p w:rsidR="006B66F0" w:rsidRPr="006726C6" w:rsidRDefault="006B66F0" w:rsidP="006B66F0">
      <w:pPr>
        <w:autoSpaceDE w:val="0"/>
        <w:autoSpaceDN w:val="0"/>
        <w:adjustRightInd w:val="0"/>
        <w:ind w:firstLine="720"/>
        <w:jc w:val="both"/>
        <w:rPr>
          <w:rFonts w:ascii="Arial" w:hAnsi="Arial" w:cs="Arial"/>
          <w:sz w:val="24"/>
          <w:szCs w:val="24"/>
          <w:lang w:val="it-IT"/>
        </w:rPr>
      </w:pPr>
      <w:r w:rsidRPr="006726C6">
        <w:rPr>
          <w:rFonts w:ascii="Arial" w:hAnsi="Arial" w:cs="Arial"/>
          <w:sz w:val="24"/>
          <w:szCs w:val="24"/>
          <w:lang w:val="it-IT"/>
        </w:rPr>
        <w:t xml:space="preserve">- pentru </w:t>
      </w:r>
      <w:r w:rsidRPr="006726C6">
        <w:rPr>
          <w:rFonts w:ascii="Arial" w:hAnsi="Arial" w:cs="Arial"/>
          <w:b/>
          <w:bCs/>
          <w:sz w:val="24"/>
          <w:szCs w:val="24"/>
          <w:lang w:val="it-IT"/>
        </w:rPr>
        <w:t xml:space="preserve">PM10 </w:t>
      </w:r>
      <w:r w:rsidRPr="006726C6">
        <w:rPr>
          <w:rFonts w:ascii="Arial" w:hAnsi="Arial" w:cs="Arial"/>
          <w:sz w:val="24"/>
          <w:szCs w:val="24"/>
          <w:lang w:val="it-IT"/>
        </w:rPr>
        <w:t>conform EN 12341 „Calitatea aerului – procedura de testare pe teren pentru a demonstra echivalenţa de referinţă a metodelor de prelevare a fracţiunii PM10 din pulberi în suspensie” – principiul de măsurare se bazează pe colectarea pe filtre a fracţiunii PM10 a pulberilor în suspensie şi determinarea masei acestora cu ajutorul metodei gravimetrice;</w:t>
      </w:r>
    </w:p>
    <w:p w:rsidR="006B66F0" w:rsidRPr="006726C6" w:rsidRDefault="006B66F0" w:rsidP="006B66F0">
      <w:pPr>
        <w:autoSpaceDE w:val="0"/>
        <w:autoSpaceDN w:val="0"/>
        <w:adjustRightInd w:val="0"/>
        <w:ind w:firstLine="720"/>
        <w:jc w:val="both"/>
        <w:rPr>
          <w:rFonts w:ascii="Arial" w:hAnsi="Arial" w:cs="Arial"/>
          <w:sz w:val="24"/>
          <w:szCs w:val="24"/>
          <w:lang w:val="it-IT"/>
        </w:rPr>
      </w:pPr>
      <w:r w:rsidRPr="006726C6">
        <w:rPr>
          <w:rFonts w:ascii="Arial" w:hAnsi="Arial" w:cs="Arial"/>
          <w:sz w:val="24"/>
          <w:szCs w:val="24"/>
          <w:lang w:val="it-IT"/>
        </w:rPr>
        <w:t xml:space="preserve">- pentru </w:t>
      </w:r>
      <w:r w:rsidR="008376BE" w:rsidRPr="008376BE">
        <w:rPr>
          <w:rFonts w:ascii="Arial" w:hAnsi="Arial" w:cs="Arial"/>
          <w:b/>
          <w:sz w:val="24"/>
          <w:szCs w:val="24"/>
          <w:lang w:val="it-IT"/>
        </w:rPr>
        <w:t>C6H6</w:t>
      </w:r>
      <w:r w:rsidRPr="006726C6">
        <w:rPr>
          <w:rFonts w:ascii="Arial" w:hAnsi="Arial" w:cs="Arial"/>
          <w:b/>
          <w:bCs/>
          <w:sz w:val="24"/>
          <w:szCs w:val="24"/>
          <w:lang w:val="it-IT"/>
        </w:rPr>
        <w:t xml:space="preserve"> </w:t>
      </w:r>
      <w:r w:rsidRPr="006726C6">
        <w:rPr>
          <w:rFonts w:ascii="Arial" w:hAnsi="Arial" w:cs="Arial"/>
          <w:sz w:val="24"/>
          <w:szCs w:val="24"/>
          <w:lang w:val="it-IT"/>
        </w:rPr>
        <w:t xml:space="preserve"> – metoda gaz-cromatografică;</w:t>
      </w:r>
    </w:p>
    <w:p w:rsidR="006B66F0" w:rsidRPr="006726C6" w:rsidRDefault="006B66F0" w:rsidP="006B66F0">
      <w:pPr>
        <w:autoSpaceDE w:val="0"/>
        <w:autoSpaceDN w:val="0"/>
        <w:adjustRightInd w:val="0"/>
        <w:ind w:firstLine="720"/>
        <w:jc w:val="both"/>
        <w:rPr>
          <w:rFonts w:ascii="Arial" w:hAnsi="Arial" w:cs="Arial"/>
          <w:sz w:val="24"/>
          <w:szCs w:val="24"/>
          <w:lang w:val="it-IT"/>
        </w:rPr>
      </w:pPr>
      <w:r w:rsidRPr="006726C6">
        <w:rPr>
          <w:rFonts w:ascii="Arial" w:hAnsi="Arial" w:cs="Arial"/>
          <w:sz w:val="24"/>
          <w:szCs w:val="24"/>
          <w:lang w:val="it-IT"/>
        </w:rPr>
        <w:t xml:space="preserve">- pentru </w:t>
      </w:r>
      <w:r w:rsidRPr="006726C6">
        <w:rPr>
          <w:rFonts w:ascii="Arial" w:hAnsi="Arial" w:cs="Arial"/>
          <w:b/>
          <w:bCs/>
          <w:sz w:val="24"/>
          <w:szCs w:val="24"/>
          <w:lang w:val="it-IT"/>
        </w:rPr>
        <w:t xml:space="preserve">CO </w:t>
      </w:r>
      <w:r w:rsidRPr="006726C6">
        <w:rPr>
          <w:rFonts w:ascii="Arial" w:hAnsi="Arial" w:cs="Arial"/>
          <w:sz w:val="24"/>
          <w:szCs w:val="24"/>
          <w:lang w:val="it-IT"/>
        </w:rPr>
        <w:t xml:space="preserve">conform ISO 4224 – metoda spectrometrică în infraroşu nedispersiv (NDIR); </w:t>
      </w:r>
    </w:p>
    <w:p w:rsidR="006B66F0" w:rsidRDefault="006B66F0" w:rsidP="006B66F0">
      <w:pPr>
        <w:autoSpaceDE w:val="0"/>
        <w:autoSpaceDN w:val="0"/>
        <w:adjustRightInd w:val="0"/>
        <w:ind w:firstLine="720"/>
        <w:jc w:val="both"/>
        <w:rPr>
          <w:rFonts w:ascii="Arial" w:hAnsi="Arial" w:cs="Arial"/>
          <w:sz w:val="24"/>
          <w:szCs w:val="24"/>
          <w:lang w:val="it-IT"/>
        </w:rPr>
      </w:pPr>
      <w:r w:rsidRPr="006726C6">
        <w:rPr>
          <w:rFonts w:ascii="Arial" w:hAnsi="Arial" w:cs="Arial"/>
          <w:sz w:val="24"/>
          <w:szCs w:val="24"/>
          <w:lang w:val="it-IT"/>
        </w:rPr>
        <w:t xml:space="preserve">- pentru </w:t>
      </w:r>
      <w:r w:rsidRPr="006726C6">
        <w:rPr>
          <w:rFonts w:ascii="Arial" w:hAnsi="Arial" w:cs="Arial"/>
          <w:b/>
          <w:bCs/>
          <w:sz w:val="24"/>
          <w:szCs w:val="24"/>
          <w:lang w:val="it-IT"/>
        </w:rPr>
        <w:t xml:space="preserve">O3 </w:t>
      </w:r>
      <w:r w:rsidRPr="006726C6">
        <w:rPr>
          <w:rFonts w:ascii="Arial" w:hAnsi="Arial" w:cs="Arial"/>
          <w:sz w:val="24"/>
          <w:szCs w:val="24"/>
          <w:lang w:val="it-IT"/>
        </w:rPr>
        <w:t>conform ISO 13964 – metoda fotometrică în UV.</w:t>
      </w:r>
    </w:p>
    <w:p w:rsidR="00AC00D5" w:rsidRDefault="00AC00D5" w:rsidP="006B66F0">
      <w:pPr>
        <w:autoSpaceDE w:val="0"/>
        <w:autoSpaceDN w:val="0"/>
        <w:adjustRightInd w:val="0"/>
        <w:ind w:firstLine="720"/>
        <w:jc w:val="both"/>
        <w:rPr>
          <w:rFonts w:ascii="Arial" w:hAnsi="Arial" w:cs="Arial"/>
          <w:sz w:val="24"/>
          <w:szCs w:val="24"/>
          <w:lang w:val="it-IT"/>
        </w:rPr>
      </w:pPr>
    </w:p>
    <w:p w:rsidR="00AC00D5" w:rsidRDefault="00AC00D5" w:rsidP="006B66F0">
      <w:pPr>
        <w:autoSpaceDE w:val="0"/>
        <w:autoSpaceDN w:val="0"/>
        <w:adjustRightInd w:val="0"/>
        <w:ind w:firstLine="720"/>
        <w:jc w:val="both"/>
        <w:rPr>
          <w:rFonts w:ascii="Arial" w:hAnsi="Arial" w:cs="Arial"/>
          <w:sz w:val="24"/>
          <w:szCs w:val="24"/>
          <w:lang w:val="it-IT"/>
        </w:rPr>
      </w:pPr>
    </w:p>
    <w:p w:rsidR="00AC00D5" w:rsidRPr="001E5B32" w:rsidRDefault="001D2453" w:rsidP="006B66F0">
      <w:pPr>
        <w:autoSpaceDE w:val="0"/>
        <w:autoSpaceDN w:val="0"/>
        <w:adjustRightInd w:val="0"/>
        <w:ind w:firstLine="720"/>
        <w:jc w:val="both"/>
        <w:rPr>
          <w:rFonts w:ascii="Arial" w:hAnsi="Arial" w:cs="Arial"/>
          <w:b/>
          <w:bCs/>
          <w:sz w:val="24"/>
          <w:szCs w:val="24"/>
          <w:lang w:val="it-IT"/>
        </w:rPr>
      </w:pPr>
      <w:r>
        <w:rPr>
          <w:rFonts w:ascii="Arial" w:hAnsi="Arial" w:cs="Arial"/>
          <w:b/>
          <w:bCs/>
          <w:sz w:val="24"/>
          <w:szCs w:val="24"/>
          <w:lang w:val="it-IT"/>
        </w:rPr>
        <w:t>I</w:t>
      </w:r>
      <w:r w:rsidR="005D02B0">
        <w:rPr>
          <w:rFonts w:ascii="Arial" w:hAnsi="Arial" w:cs="Arial"/>
          <w:b/>
          <w:bCs/>
          <w:sz w:val="24"/>
          <w:szCs w:val="24"/>
          <w:lang w:val="it-IT"/>
        </w:rPr>
        <w:t>.1.1.</w:t>
      </w:r>
      <w:r w:rsidR="001E5B32" w:rsidRPr="001E5B32">
        <w:rPr>
          <w:rFonts w:ascii="Arial" w:hAnsi="Arial" w:cs="Arial"/>
          <w:b/>
          <w:bCs/>
          <w:sz w:val="24"/>
          <w:szCs w:val="24"/>
          <w:lang w:val="it-IT"/>
        </w:rPr>
        <w:t>Starea de calitate a aerului inconjurator</w:t>
      </w:r>
    </w:p>
    <w:p w:rsidR="001E5B32" w:rsidRDefault="001E5B32" w:rsidP="006B66F0">
      <w:pPr>
        <w:autoSpaceDE w:val="0"/>
        <w:autoSpaceDN w:val="0"/>
        <w:adjustRightInd w:val="0"/>
        <w:ind w:firstLine="720"/>
        <w:jc w:val="both"/>
        <w:rPr>
          <w:rFonts w:ascii="Arial" w:hAnsi="Arial" w:cs="Arial"/>
          <w:bCs/>
          <w:sz w:val="24"/>
          <w:szCs w:val="24"/>
          <w:lang w:val="it-IT"/>
        </w:rPr>
      </w:pPr>
    </w:p>
    <w:p w:rsidR="001E5B32" w:rsidRDefault="001D2453" w:rsidP="006B66F0">
      <w:pPr>
        <w:autoSpaceDE w:val="0"/>
        <w:autoSpaceDN w:val="0"/>
        <w:adjustRightInd w:val="0"/>
        <w:ind w:firstLine="720"/>
        <w:jc w:val="both"/>
        <w:rPr>
          <w:rFonts w:ascii="Arial" w:hAnsi="Arial" w:cs="Arial"/>
          <w:b/>
          <w:bCs/>
          <w:sz w:val="24"/>
          <w:szCs w:val="24"/>
          <w:lang w:val="it-IT"/>
        </w:rPr>
      </w:pPr>
      <w:r>
        <w:rPr>
          <w:rFonts w:ascii="Arial" w:hAnsi="Arial" w:cs="Arial"/>
          <w:b/>
          <w:bCs/>
          <w:sz w:val="24"/>
          <w:szCs w:val="24"/>
          <w:lang w:val="it-IT"/>
        </w:rPr>
        <w:t>I</w:t>
      </w:r>
      <w:r w:rsidR="005D02B0">
        <w:rPr>
          <w:rFonts w:ascii="Arial" w:hAnsi="Arial" w:cs="Arial"/>
          <w:b/>
          <w:bCs/>
          <w:sz w:val="24"/>
          <w:szCs w:val="24"/>
          <w:lang w:val="it-IT"/>
        </w:rPr>
        <w:t>.1.1.1.</w:t>
      </w:r>
      <w:r w:rsidR="001E5B32" w:rsidRPr="001E5B32">
        <w:rPr>
          <w:rFonts w:ascii="Arial" w:hAnsi="Arial" w:cs="Arial"/>
          <w:b/>
          <w:bCs/>
          <w:sz w:val="24"/>
          <w:szCs w:val="24"/>
          <w:lang w:val="it-IT"/>
        </w:rPr>
        <w:t xml:space="preserve">Nivelul concentraţiilor medii anuale ale poluanţilor atmosferici în aerul înconjurător </w:t>
      </w:r>
    </w:p>
    <w:p w:rsidR="00751C23" w:rsidRDefault="00751C23" w:rsidP="006B66F0">
      <w:pPr>
        <w:autoSpaceDE w:val="0"/>
        <w:autoSpaceDN w:val="0"/>
        <w:adjustRightInd w:val="0"/>
        <w:ind w:firstLine="720"/>
        <w:jc w:val="both"/>
        <w:rPr>
          <w:rFonts w:ascii="Arial" w:hAnsi="Arial" w:cs="Arial"/>
          <w:b/>
          <w:bCs/>
          <w:sz w:val="24"/>
          <w:szCs w:val="24"/>
          <w:lang w:val="it-IT"/>
        </w:rPr>
      </w:pPr>
    </w:p>
    <w:p w:rsidR="00751C23" w:rsidRDefault="00751C23" w:rsidP="00751C23">
      <w:pPr>
        <w:numPr>
          <w:ilvl w:val="0"/>
          <w:numId w:val="39"/>
        </w:numPr>
        <w:autoSpaceDE w:val="0"/>
        <w:autoSpaceDN w:val="0"/>
        <w:adjustRightInd w:val="0"/>
        <w:jc w:val="both"/>
        <w:rPr>
          <w:rFonts w:ascii="Arial" w:hAnsi="Arial" w:cs="Arial"/>
          <w:b/>
          <w:bCs/>
          <w:sz w:val="24"/>
          <w:szCs w:val="24"/>
          <w:lang w:val="it-IT"/>
        </w:rPr>
      </w:pPr>
      <w:r>
        <w:rPr>
          <w:rFonts w:ascii="Arial" w:hAnsi="Arial" w:cs="Arial"/>
          <w:b/>
          <w:bCs/>
          <w:sz w:val="24"/>
          <w:szCs w:val="24"/>
          <w:lang w:val="it-IT"/>
        </w:rPr>
        <w:t>Indicatori specifici – nu este cazul</w:t>
      </w:r>
    </w:p>
    <w:p w:rsidR="00751C23" w:rsidRDefault="00751C23" w:rsidP="00751C23">
      <w:pPr>
        <w:numPr>
          <w:ilvl w:val="0"/>
          <w:numId w:val="39"/>
        </w:numPr>
        <w:autoSpaceDE w:val="0"/>
        <w:autoSpaceDN w:val="0"/>
        <w:adjustRightInd w:val="0"/>
        <w:jc w:val="both"/>
        <w:rPr>
          <w:rFonts w:ascii="Arial" w:hAnsi="Arial" w:cs="Arial"/>
          <w:b/>
          <w:bCs/>
          <w:sz w:val="24"/>
          <w:szCs w:val="24"/>
          <w:lang w:val="it-IT"/>
        </w:rPr>
      </w:pPr>
      <w:r>
        <w:rPr>
          <w:rFonts w:ascii="Arial" w:hAnsi="Arial" w:cs="Arial"/>
          <w:b/>
          <w:bCs/>
          <w:sz w:val="24"/>
          <w:szCs w:val="24"/>
          <w:lang w:val="it-IT"/>
        </w:rPr>
        <w:t>Date si informatii specifice</w:t>
      </w:r>
    </w:p>
    <w:p w:rsidR="00751C23" w:rsidRPr="00AC7D51" w:rsidRDefault="003C1B15" w:rsidP="00751C23">
      <w:pPr>
        <w:autoSpaceDE w:val="0"/>
        <w:autoSpaceDN w:val="0"/>
        <w:adjustRightInd w:val="0"/>
        <w:ind w:left="6480"/>
        <w:jc w:val="both"/>
        <w:rPr>
          <w:rFonts w:ascii="Arial" w:hAnsi="Arial" w:cs="Arial"/>
          <w:bCs/>
          <w:sz w:val="24"/>
          <w:szCs w:val="24"/>
          <w:lang w:val="it-IT"/>
        </w:rPr>
      </w:pPr>
      <w:r>
        <w:rPr>
          <w:rFonts w:ascii="Arial" w:hAnsi="Arial" w:cs="Arial"/>
          <w:bCs/>
          <w:sz w:val="24"/>
          <w:szCs w:val="24"/>
          <w:lang w:val="it-IT"/>
        </w:rPr>
        <w:t xml:space="preserve">                      </w:t>
      </w:r>
      <w:r w:rsidR="00751C23" w:rsidRPr="00AC7D51">
        <w:rPr>
          <w:rFonts w:ascii="Arial" w:hAnsi="Arial" w:cs="Arial"/>
          <w:bCs/>
          <w:sz w:val="24"/>
          <w:szCs w:val="24"/>
          <w:lang w:val="it-IT"/>
        </w:rPr>
        <w:t>Tabel 1.1.1.1.1</w:t>
      </w:r>
    </w:p>
    <w:tbl>
      <w:tblPr>
        <w:tblW w:w="0" w:type="auto"/>
        <w:jc w:val="center"/>
        <w:tblCellSpacing w:w="20" w:type="dxa"/>
        <w:tblInd w:w="-350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704"/>
        <w:gridCol w:w="1113"/>
        <w:gridCol w:w="1113"/>
        <w:gridCol w:w="1113"/>
        <w:gridCol w:w="1113"/>
        <w:gridCol w:w="1556"/>
        <w:gridCol w:w="1600"/>
      </w:tblGrid>
      <w:tr w:rsidR="00950BE8" w:rsidRPr="00986548" w:rsidTr="0013334C">
        <w:trPr>
          <w:trHeight w:val="657"/>
          <w:tblCellSpacing w:w="20" w:type="dxa"/>
          <w:jc w:val="center"/>
        </w:trPr>
        <w:tc>
          <w:tcPr>
            <w:tcW w:w="2644" w:type="dxa"/>
            <w:shd w:val="clear" w:color="auto" w:fill="FFFFCC"/>
            <w:vAlign w:val="center"/>
          </w:tcPr>
          <w:p w:rsidR="00950BE8" w:rsidRPr="00986548" w:rsidRDefault="00950BE8" w:rsidP="000D3AA4">
            <w:pPr>
              <w:jc w:val="center"/>
              <w:rPr>
                <w:rFonts w:ascii="Arial" w:hAnsi="Arial" w:cs="Arial"/>
                <w:b/>
                <w:sz w:val="24"/>
                <w:szCs w:val="24"/>
              </w:rPr>
            </w:pPr>
            <w:r w:rsidRPr="00986548">
              <w:rPr>
                <w:rFonts w:ascii="Arial" w:hAnsi="Arial" w:cs="Arial"/>
                <w:b/>
                <w:sz w:val="24"/>
                <w:szCs w:val="24"/>
              </w:rPr>
              <w:t>Tip statie</w:t>
            </w:r>
          </w:p>
        </w:tc>
        <w:tc>
          <w:tcPr>
            <w:tcW w:w="1073" w:type="dxa"/>
            <w:shd w:val="clear" w:color="auto" w:fill="FFFFCC"/>
          </w:tcPr>
          <w:p w:rsidR="00950BE8" w:rsidRPr="00D129ED" w:rsidRDefault="00950BE8" w:rsidP="006336D1">
            <w:pPr>
              <w:jc w:val="center"/>
              <w:rPr>
                <w:rFonts w:ascii="Arial" w:hAnsi="Arial" w:cs="Arial"/>
                <w:b/>
                <w:sz w:val="24"/>
                <w:szCs w:val="24"/>
                <w:lang w:val="it-IT"/>
              </w:rPr>
            </w:pPr>
            <w:r w:rsidRPr="00D129ED">
              <w:rPr>
                <w:rFonts w:ascii="Arial" w:hAnsi="Arial" w:cs="Arial"/>
                <w:b/>
                <w:sz w:val="24"/>
                <w:szCs w:val="24"/>
                <w:lang w:val="it-IT"/>
              </w:rPr>
              <w:t>NO2 medie anuala,</w:t>
            </w:r>
            <w:r w:rsidRPr="00D129ED">
              <w:rPr>
                <w:lang w:val="it-IT"/>
              </w:rPr>
              <w:t xml:space="preserve"> </w:t>
            </w:r>
            <w:r w:rsidRPr="006336D1">
              <w:rPr>
                <w:rFonts w:ascii="Arial" w:hAnsi="Arial" w:cs="Arial"/>
                <w:b/>
                <w:sz w:val="24"/>
                <w:szCs w:val="24"/>
              </w:rPr>
              <w:t>μ</w:t>
            </w:r>
            <w:r w:rsidRPr="00D129ED">
              <w:rPr>
                <w:rFonts w:ascii="Arial" w:hAnsi="Arial" w:cs="Arial"/>
                <w:b/>
                <w:sz w:val="24"/>
                <w:szCs w:val="24"/>
                <w:lang w:val="it-IT"/>
              </w:rPr>
              <w:t>g/mc</w:t>
            </w:r>
          </w:p>
        </w:tc>
        <w:tc>
          <w:tcPr>
            <w:tcW w:w="1073" w:type="dxa"/>
            <w:shd w:val="clear" w:color="auto" w:fill="FFFFCC"/>
          </w:tcPr>
          <w:p w:rsidR="00950BE8" w:rsidRPr="00986548" w:rsidRDefault="00950BE8" w:rsidP="006336D1">
            <w:pPr>
              <w:jc w:val="center"/>
              <w:rPr>
                <w:rFonts w:ascii="Arial" w:hAnsi="Arial" w:cs="Arial"/>
                <w:b/>
                <w:sz w:val="24"/>
                <w:szCs w:val="24"/>
              </w:rPr>
            </w:pPr>
            <w:r>
              <w:rPr>
                <w:rFonts w:ascii="Arial" w:hAnsi="Arial" w:cs="Arial"/>
                <w:b/>
                <w:sz w:val="24"/>
                <w:szCs w:val="24"/>
              </w:rPr>
              <w:t>SO2</w:t>
            </w:r>
            <w:r>
              <w:t xml:space="preserve"> </w:t>
            </w:r>
            <w:r w:rsidRPr="006336D1">
              <w:rPr>
                <w:rFonts w:ascii="Arial" w:hAnsi="Arial" w:cs="Arial"/>
                <w:b/>
                <w:sz w:val="24"/>
                <w:szCs w:val="24"/>
              </w:rPr>
              <w:t xml:space="preserve">medie anuala, μg/mc </w:t>
            </w:r>
            <w:r>
              <w:rPr>
                <w:rFonts w:ascii="Arial" w:hAnsi="Arial" w:cs="Arial"/>
                <w:b/>
                <w:sz w:val="24"/>
                <w:szCs w:val="24"/>
              </w:rPr>
              <w:t xml:space="preserve"> </w:t>
            </w:r>
          </w:p>
        </w:tc>
        <w:tc>
          <w:tcPr>
            <w:tcW w:w="1073" w:type="dxa"/>
            <w:shd w:val="clear" w:color="auto" w:fill="FFFFCC"/>
          </w:tcPr>
          <w:p w:rsidR="00950BE8" w:rsidRPr="00986548" w:rsidRDefault="00950BE8" w:rsidP="006336D1">
            <w:pPr>
              <w:jc w:val="center"/>
              <w:rPr>
                <w:rFonts w:ascii="Arial" w:hAnsi="Arial" w:cs="Arial"/>
                <w:b/>
                <w:sz w:val="24"/>
                <w:szCs w:val="24"/>
              </w:rPr>
            </w:pPr>
            <w:r>
              <w:rPr>
                <w:rFonts w:ascii="Arial" w:hAnsi="Arial" w:cs="Arial"/>
                <w:b/>
                <w:sz w:val="24"/>
                <w:szCs w:val="24"/>
              </w:rPr>
              <w:t xml:space="preserve">CO </w:t>
            </w:r>
            <w:r w:rsidRPr="006336D1">
              <w:rPr>
                <w:rFonts w:ascii="Arial" w:hAnsi="Arial" w:cs="Arial"/>
                <w:b/>
                <w:sz w:val="24"/>
                <w:szCs w:val="24"/>
              </w:rPr>
              <w:t xml:space="preserve">medie anuala, </w:t>
            </w:r>
            <w:r>
              <w:rPr>
                <w:rFonts w:ascii="Arial" w:hAnsi="Arial" w:cs="Arial"/>
                <w:b/>
                <w:sz w:val="24"/>
                <w:szCs w:val="24"/>
              </w:rPr>
              <w:t>m</w:t>
            </w:r>
            <w:r w:rsidRPr="006336D1">
              <w:rPr>
                <w:rFonts w:ascii="Arial" w:hAnsi="Arial" w:cs="Arial"/>
                <w:b/>
                <w:sz w:val="24"/>
                <w:szCs w:val="24"/>
              </w:rPr>
              <w:t>g/mc</w:t>
            </w:r>
          </w:p>
        </w:tc>
        <w:tc>
          <w:tcPr>
            <w:tcW w:w="1073" w:type="dxa"/>
            <w:shd w:val="clear" w:color="auto" w:fill="FFFFCC"/>
          </w:tcPr>
          <w:p w:rsidR="00950BE8" w:rsidRPr="00D129ED" w:rsidRDefault="00950BE8" w:rsidP="006336D1">
            <w:pPr>
              <w:jc w:val="center"/>
              <w:rPr>
                <w:rFonts w:ascii="Arial" w:hAnsi="Arial" w:cs="Arial"/>
                <w:b/>
                <w:sz w:val="24"/>
                <w:szCs w:val="24"/>
                <w:lang w:val="it-IT"/>
              </w:rPr>
            </w:pPr>
            <w:r w:rsidRPr="00D129ED">
              <w:rPr>
                <w:rFonts w:ascii="Arial" w:hAnsi="Arial" w:cs="Arial"/>
                <w:b/>
                <w:sz w:val="24"/>
                <w:szCs w:val="24"/>
                <w:lang w:val="it-IT"/>
              </w:rPr>
              <w:t>O3</w:t>
            </w:r>
            <w:r w:rsidRPr="00D129ED">
              <w:rPr>
                <w:lang w:val="it-IT"/>
              </w:rPr>
              <w:t xml:space="preserve"> </w:t>
            </w:r>
            <w:r w:rsidRPr="00D129ED">
              <w:rPr>
                <w:rFonts w:ascii="Arial" w:hAnsi="Arial" w:cs="Arial"/>
                <w:b/>
                <w:sz w:val="24"/>
                <w:szCs w:val="24"/>
                <w:lang w:val="it-IT"/>
              </w:rPr>
              <w:t xml:space="preserve">medie anuala, </w:t>
            </w:r>
            <w:r w:rsidRPr="006336D1">
              <w:rPr>
                <w:rFonts w:ascii="Arial" w:hAnsi="Arial" w:cs="Arial"/>
                <w:b/>
                <w:sz w:val="24"/>
                <w:szCs w:val="24"/>
              </w:rPr>
              <w:t>μ</w:t>
            </w:r>
            <w:r w:rsidRPr="00D129ED">
              <w:rPr>
                <w:rFonts w:ascii="Arial" w:hAnsi="Arial" w:cs="Arial"/>
                <w:b/>
                <w:sz w:val="24"/>
                <w:szCs w:val="24"/>
                <w:lang w:val="it-IT"/>
              </w:rPr>
              <w:t xml:space="preserve">g/mc </w:t>
            </w:r>
          </w:p>
        </w:tc>
        <w:tc>
          <w:tcPr>
            <w:tcW w:w="1516" w:type="dxa"/>
            <w:shd w:val="clear" w:color="auto" w:fill="FFFFCC"/>
          </w:tcPr>
          <w:p w:rsidR="00950BE8" w:rsidRPr="00D129ED" w:rsidRDefault="00950BE8" w:rsidP="006336D1">
            <w:pPr>
              <w:jc w:val="center"/>
              <w:rPr>
                <w:rFonts w:ascii="Arial" w:hAnsi="Arial" w:cs="Arial"/>
                <w:b/>
                <w:sz w:val="24"/>
                <w:szCs w:val="24"/>
                <w:lang w:val="it-IT"/>
              </w:rPr>
            </w:pPr>
            <w:r w:rsidRPr="00D129ED">
              <w:rPr>
                <w:rFonts w:ascii="Arial" w:hAnsi="Arial" w:cs="Arial"/>
                <w:b/>
                <w:sz w:val="24"/>
                <w:szCs w:val="24"/>
                <w:lang w:val="it-IT"/>
              </w:rPr>
              <w:t>Benzen</w:t>
            </w:r>
            <w:r w:rsidRPr="00D129ED">
              <w:rPr>
                <w:lang w:val="it-IT"/>
              </w:rPr>
              <w:t xml:space="preserve"> </w:t>
            </w:r>
            <w:r w:rsidRPr="00D129ED">
              <w:rPr>
                <w:rFonts w:ascii="Arial" w:hAnsi="Arial" w:cs="Arial"/>
                <w:b/>
                <w:sz w:val="24"/>
                <w:szCs w:val="24"/>
                <w:lang w:val="it-IT"/>
              </w:rPr>
              <w:t xml:space="preserve">medie anuala, </w:t>
            </w:r>
            <w:r w:rsidRPr="006336D1">
              <w:rPr>
                <w:rFonts w:ascii="Arial" w:hAnsi="Arial" w:cs="Arial"/>
                <w:b/>
                <w:sz w:val="24"/>
                <w:szCs w:val="24"/>
              </w:rPr>
              <w:t>μ</w:t>
            </w:r>
            <w:r w:rsidRPr="00D129ED">
              <w:rPr>
                <w:rFonts w:ascii="Arial" w:hAnsi="Arial" w:cs="Arial"/>
                <w:b/>
                <w:sz w:val="24"/>
                <w:szCs w:val="24"/>
                <w:lang w:val="it-IT"/>
              </w:rPr>
              <w:t xml:space="preserve">g/mc </w:t>
            </w:r>
          </w:p>
        </w:tc>
        <w:tc>
          <w:tcPr>
            <w:tcW w:w="1540" w:type="dxa"/>
            <w:shd w:val="clear" w:color="auto" w:fill="FFFFCC"/>
            <w:vAlign w:val="center"/>
          </w:tcPr>
          <w:p w:rsidR="00950BE8" w:rsidRDefault="00950BE8" w:rsidP="0013334C">
            <w:pPr>
              <w:jc w:val="center"/>
              <w:rPr>
                <w:rFonts w:ascii="Arial" w:hAnsi="Arial" w:cs="Arial"/>
                <w:b/>
                <w:sz w:val="24"/>
                <w:szCs w:val="24"/>
              </w:rPr>
            </w:pPr>
            <w:r>
              <w:rPr>
                <w:rFonts w:ascii="Arial" w:hAnsi="Arial" w:cs="Arial"/>
                <w:b/>
                <w:sz w:val="24"/>
                <w:szCs w:val="24"/>
              </w:rPr>
              <w:t>PM10 gravimetric</w:t>
            </w:r>
          </w:p>
        </w:tc>
      </w:tr>
      <w:tr w:rsidR="004312ED" w:rsidRPr="00986548" w:rsidTr="009F1A23">
        <w:trPr>
          <w:tblCellSpacing w:w="20" w:type="dxa"/>
          <w:jc w:val="center"/>
        </w:trPr>
        <w:tc>
          <w:tcPr>
            <w:tcW w:w="2644" w:type="dxa"/>
            <w:shd w:val="clear" w:color="auto" w:fill="auto"/>
          </w:tcPr>
          <w:p w:rsidR="004312ED" w:rsidRPr="00986548" w:rsidRDefault="004312ED" w:rsidP="000D3AA4">
            <w:pPr>
              <w:jc w:val="center"/>
              <w:rPr>
                <w:rFonts w:ascii="Arial" w:hAnsi="Arial" w:cs="Arial"/>
                <w:sz w:val="24"/>
                <w:szCs w:val="24"/>
              </w:rPr>
            </w:pPr>
            <w:r w:rsidRPr="00986548">
              <w:rPr>
                <w:rFonts w:ascii="Arial" w:hAnsi="Arial" w:cs="Arial"/>
                <w:sz w:val="24"/>
                <w:szCs w:val="24"/>
              </w:rPr>
              <w:t>CT1-Trafic</w:t>
            </w:r>
          </w:p>
        </w:tc>
        <w:tc>
          <w:tcPr>
            <w:tcW w:w="1073" w:type="dxa"/>
            <w:vAlign w:val="center"/>
          </w:tcPr>
          <w:p w:rsidR="004312ED" w:rsidRPr="00701038" w:rsidRDefault="00C82AEF" w:rsidP="00793895">
            <w:pPr>
              <w:jc w:val="center"/>
              <w:rPr>
                <w:rFonts w:ascii="Arial" w:hAnsi="Arial" w:cs="Arial"/>
                <w:sz w:val="24"/>
                <w:szCs w:val="24"/>
              </w:rPr>
            </w:pPr>
            <w:r w:rsidRPr="00701038">
              <w:rPr>
                <w:rFonts w:ascii="Arial" w:hAnsi="Arial" w:cs="Arial"/>
                <w:sz w:val="24"/>
                <w:szCs w:val="24"/>
              </w:rPr>
              <w:t>3</w:t>
            </w:r>
            <w:r w:rsidR="00793895">
              <w:rPr>
                <w:rFonts w:ascii="Arial" w:hAnsi="Arial" w:cs="Arial"/>
                <w:sz w:val="24"/>
                <w:szCs w:val="24"/>
              </w:rPr>
              <w:t>8</w:t>
            </w:r>
            <w:r w:rsidRPr="00701038">
              <w:rPr>
                <w:rFonts w:ascii="Arial" w:hAnsi="Arial" w:cs="Arial"/>
                <w:sz w:val="24"/>
                <w:szCs w:val="24"/>
              </w:rPr>
              <w:t>,</w:t>
            </w:r>
            <w:r w:rsidR="00793895">
              <w:rPr>
                <w:rFonts w:ascii="Arial" w:hAnsi="Arial" w:cs="Arial"/>
                <w:sz w:val="24"/>
                <w:szCs w:val="24"/>
              </w:rPr>
              <w:t>59</w:t>
            </w:r>
          </w:p>
        </w:tc>
        <w:tc>
          <w:tcPr>
            <w:tcW w:w="1073" w:type="dxa"/>
            <w:vAlign w:val="center"/>
          </w:tcPr>
          <w:p w:rsidR="004312ED" w:rsidRPr="00701038" w:rsidRDefault="00793895" w:rsidP="005678DC">
            <w:pPr>
              <w:jc w:val="center"/>
              <w:rPr>
                <w:rFonts w:ascii="Arial" w:hAnsi="Arial" w:cs="Arial"/>
                <w:sz w:val="24"/>
                <w:szCs w:val="24"/>
              </w:rPr>
            </w:pPr>
            <w:r>
              <w:rPr>
                <w:rFonts w:ascii="Arial" w:hAnsi="Arial" w:cs="Arial"/>
                <w:sz w:val="24"/>
                <w:szCs w:val="24"/>
              </w:rPr>
              <w:t>5,8</w:t>
            </w:r>
          </w:p>
        </w:tc>
        <w:tc>
          <w:tcPr>
            <w:tcW w:w="1073" w:type="dxa"/>
            <w:vAlign w:val="center"/>
          </w:tcPr>
          <w:p w:rsidR="004312ED" w:rsidRPr="00701038" w:rsidRDefault="00793895" w:rsidP="00793895">
            <w:pPr>
              <w:jc w:val="center"/>
              <w:rPr>
                <w:rFonts w:ascii="Arial" w:hAnsi="Arial" w:cs="Arial"/>
                <w:sz w:val="24"/>
                <w:szCs w:val="24"/>
              </w:rPr>
            </w:pPr>
            <w:r>
              <w:rPr>
                <w:rFonts w:ascii="Arial" w:hAnsi="Arial" w:cs="Arial"/>
                <w:sz w:val="24"/>
                <w:szCs w:val="24"/>
              </w:rPr>
              <w:t>0,14</w:t>
            </w:r>
          </w:p>
        </w:tc>
        <w:tc>
          <w:tcPr>
            <w:tcW w:w="1073" w:type="dxa"/>
            <w:vAlign w:val="center"/>
          </w:tcPr>
          <w:p w:rsidR="004312ED" w:rsidRPr="00701038" w:rsidRDefault="009F1A23" w:rsidP="00701038">
            <w:pPr>
              <w:jc w:val="center"/>
              <w:rPr>
                <w:rFonts w:ascii="Arial" w:hAnsi="Arial" w:cs="Arial"/>
                <w:sz w:val="24"/>
                <w:szCs w:val="24"/>
              </w:rPr>
            </w:pPr>
            <w:r w:rsidRPr="00701038">
              <w:rPr>
                <w:rFonts w:ascii="Arial" w:hAnsi="Arial" w:cs="Arial"/>
                <w:bCs/>
                <w:sz w:val="24"/>
                <w:szCs w:val="24"/>
                <w:lang w:val="it-IT"/>
              </w:rPr>
              <w:t>*</w:t>
            </w:r>
          </w:p>
        </w:tc>
        <w:tc>
          <w:tcPr>
            <w:tcW w:w="1516"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1,88</w:t>
            </w:r>
          </w:p>
        </w:tc>
        <w:tc>
          <w:tcPr>
            <w:tcW w:w="1540"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28,84</w:t>
            </w:r>
          </w:p>
        </w:tc>
      </w:tr>
      <w:tr w:rsidR="004312ED" w:rsidRPr="00986548" w:rsidTr="009F1A23">
        <w:trPr>
          <w:tblCellSpacing w:w="20" w:type="dxa"/>
          <w:jc w:val="center"/>
        </w:trPr>
        <w:tc>
          <w:tcPr>
            <w:tcW w:w="2644" w:type="dxa"/>
            <w:shd w:val="clear" w:color="auto" w:fill="auto"/>
          </w:tcPr>
          <w:p w:rsidR="004312ED" w:rsidRPr="00986548" w:rsidRDefault="004312ED" w:rsidP="000D3AA4">
            <w:pPr>
              <w:jc w:val="center"/>
              <w:rPr>
                <w:rFonts w:ascii="Arial" w:hAnsi="Arial" w:cs="Arial"/>
                <w:sz w:val="24"/>
                <w:szCs w:val="24"/>
              </w:rPr>
            </w:pPr>
            <w:r w:rsidRPr="00986548">
              <w:rPr>
                <w:rFonts w:ascii="Arial" w:hAnsi="Arial" w:cs="Arial"/>
                <w:sz w:val="24"/>
                <w:szCs w:val="24"/>
              </w:rPr>
              <w:t>CT2-Fond urban</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23,11</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6,86</w:t>
            </w:r>
          </w:p>
        </w:tc>
        <w:tc>
          <w:tcPr>
            <w:tcW w:w="1073" w:type="dxa"/>
            <w:vAlign w:val="center"/>
          </w:tcPr>
          <w:p w:rsidR="004312ED" w:rsidRPr="00701038" w:rsidRDefault="00793895" w:rsidP="00793895">
            <w:pPr>
              <w:jc w:val="center"/>
              <w:rPr>
                <w:rFonts w:ascii="Arial" w:hAnsi="Arial" w:cs="Arial"/>
                <w:sz w:val="24"/>
                <w:szCs w:val="24"/>
              </w:rPr>
            </w:pPr>
            <w:r>
              <w:rPr>
                <w:rFonts w:ascii="Arial" w:hAnsi="Arial" w:cs="Arial"/>
                <w:sz w:val="24"/>
                <w:szCs w:val="24"/>
              </w:rPr>
              <w:t>0,1</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50,53</w:t>
            </w:r>
          </w:p>
        </w:tc>
        <w:tc>
          <w:tcPr>
            <w:tcW w:w="1516"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1,93</w:t>
            </w:r>
          </w:p>
        </w:tc>
        <w:tc>
          <w:tcPr>
            <w:tcW w:w="1540" w:type="dxa"/>
            <w:vAlign w:val="center"/>
          </w:tcPr>
          <w:p w:rsidR="004312ED" w:rsidRPr="00701038" w:rsidRDefault="009F1A23" w:rsidP="00701038">
            <w:pPr>
              <w:jc w:val="center"/>
              <w:rPr>
                <w:rFonts w:ascii="Arial" w:hAnsi="Arial" w:cs="Arial"/>
                <w:sz w:val="24"/>
                <w:szCs w:val="24"/>
              </w:rPr>
            </w:pPr>
            <w:r w:rsidRPr="00701038">
              <w:rPr>
                <w:rFonts w:ascii="Arial" w:hAnsi="Arial" w:cs="Arial"/>
                <w:bCs/>
                <w:sz w:val="24"/>
                <w:szCs w:val="24"/>
                <w:lang w:val="it-IT"/>
              </w:rPr>
              <w:t>*</w:t>
            </w:r>
          </w:p>
        </w:tc>
      </w:tr>
      <w:tr w:rsidR="004312ED" w:rsidRPr="00986548" w:rsidTr="00793895">
        <w:trPr>
          <w:trHeight w:val="181"/>
          <w:tblCellSpacing w:w="20" w:type="dxa"/>
          <w:jc w:val="center"/>
        </w:trPr>
        <w:tc>
          <w:tcPr>
            <w:tcW w:w="2644" w:type="dxa"/>
            <w:shd w:val="clear" w:color="auto" w:fill="auto"/>
          </w:tcPr>
          <w:p w:rsidR="004312ED" w:rsidRPr="00986548" w:rsidRDefault="004312ED" w:rsidP="000D3AA4">
            <w:pPr>
              <w:jc w:val="center"/>
              <w:rPr>
                <w:rFonts w:ascii="Arial" w:hAnsi="Arial" w:cs="Arial"/>
                <w:sz w:val="24"/>
                <w:szCs w:val="24"/>
              </w:rPr>
            </w:pPr>
            <w:r w:rsidRPr="00986548">
              <w:rPr>
                <w:rFonts w:ascii="Arial" w:hAnsi="Arial" w:cs="Arial"/>
                <w:sz w:val="24"/>
                <w:szCs w:val="24"/>
              </w:rPr>
              <w:t>CT3-Fond suburban</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15,77</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6,32</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0,05</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56</w:t>
            </w:r>
          </w:p>
        </w:tc>
        <w:tc>
          <w:tcPr>
            <w:tcW w:w="1516"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3,09</w:t>
            </w:r>
          </w:p>
        </w:tc>
        <w:tc>
          <w:tcPr>
            <w:tcW w:w="1540"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23,4</w:t>
            </w:r>
          </w:p>
        </w:tc>
      </w:tr>
      <w:tr w:rsidR="004312ED" w:rsidRPr="00986548" w:rsidTr="009F1A23">
        <w:trPr>
          <w:tblCellSpacing w:w="20" w:type="dxa"/>
          <w:jc w:val="center"/>
        </w:trPr>
        <w:tc>
          <w:tcPr>
            <w:tcW w:w="2644" w:type="dxa"/>
            <w:shd w:val="clear" w:color="auto" w:fill="auto"/>
          </w:tcPr>
          <w:p w:rsidR="004312ED" w:rsidRPr="00986548" w:rsidRDefault="004312ED" w:rsidP="000D3AA4">
            <w:pPr>
              <w:jc w:val="center"/>
              <w:rPr>
                <w:rFonts w:ascii="Arial" w:hAnsi="Arial" w:cs="Arial"/>
                <w:sz w:val="24"/>
                <w:szCs w:val="24"/>
              </w:rPr>
            </w:pPr>
            <w:r w:rsidRPr="00986548">
              <w:rPr>
                <w:rFonts w:ascii="Arial" w:hAnsi="Arial" w:cs="Arial"/>
                <w:sz w:val="24"/>
                <w:szCs w:val="24"/>
              </w:rPr>
              <w:t>CT4-Trafic</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16,18</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6,41</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0,13</w:t>
            </w:r>
          </w:p>
        </w:tc>
        <w:tc>
          <w:tcPr>
            <w:tcW w:w="1073" w:type="dxa"/>
            <w:vAlign w:val="center"/>
          </w:tcPr>
          <w:p w:rsidR="004312ED" w:rsidRPr="00701038" w:rsidRDefault="009F1A23" w:rsidP="00701038">
            <w:pPr>
              <w:jc w:val="center"/>
              <w:rPr>
                <w:rFonts w:ascii="Arial" w:hAnsi="Arial" w:cs="Arial"/>
                <w:sz w:val="24"/>
                <w:szCs w:val="24"/>
              </w:rPr>
            </w:pPr>
            <w:r w:rsidRPr="00701038">
              <w:rPr>
                <w:rFonts w:ascii="Arial" w:hAnsi="Arial" w:cs="Arial"/>
                <w:bCs/>
                <w:sz w:val="24"/>
                <w:szCs w:val="24"/>
                <w:lang w:val="it-IT"/>
              </w:rPr>
              <w:t>*</w:t>
            </w:r>
          </w:p>
        </w:tc>
        <w:tc>
          <w:tcPr>
            <w:tcW w:w="1516"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1,63</w:t>
            </w:r>
          </w:p>
        </w:tc>
        <w:tc>
          <w:tcPr>
            <w:tcW w:w="1540"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20,60</w:t>
            </w:r>
          </w:p>
        </w:tc>
      </w:tr>
      <w:tr w:rsidR="004312ED" w:rsidRPr="00986548" w:rsidTr="009F1A23">
        <w:trPr>
          <w:tblCellSpacing w:w="20" w:type="dxa"/>
          <w:jc w:val="center"/>
        </w:trPr>
        <w:tc>
          <w:tcPr>
            <w:tcW w:w="2644" w:type="dxa"/>
            <w:shd w:val="clear" w:color="auto" w:fill="auto"/>
          </w:tcPr>
          <w:p w:rsidR="004312ED" w:rsidRPr="00986548" w:rsidRDefault="004312ED" w:rsidP="000D3AA4">
            <w:pPr>
              <w:jc w:val="center"/>
              <w:rPr>
                <w:rFonts w:ascii="Arial" w:hAnsi="Arial" w:cs="Arial"/>
                <w:sz w:val="24"/>
                <w:szCs w:val="24"/>
              </w:rPr>
            </w:pPr>
            <w:r w:rsidRPr="00986548">
              <w:rPr>
                <w:rFonts w:ascii="Arial" w:hAnsi="Arial" w:cs="Arial"/>
                <w:sz w:val="24"/>
                <w:szCs w:val="24"/>
              </w:rPr>
              <w:t>CT5-Industrial</w:t>
            </w:r>
            <w:r>
              <w:rPr>
                <w:rFonts w:ascii="Arial" w:hAnsi="Arial" w:cs="Arial"/>
                <w:sz w:val="24"/>
                <w:szCs w:val="24"/>
              </w:rPr>
              <w:t xml:space="preserve"> 2</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19,59</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7,06</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0,12</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47,99</w:t>
            </w:r>
          </w:p>
        </w:tc>
        <w:tc>
          <w:tcPr>
            <w:tcW w:w="1516" w:type="dxa"/>
            <w:vAlign w:val="center"/>
          </w:tcPr>
          <w:p w:rsidR="004312ED" w:rsidRPr="00701038" w:rsidRDefault="009F1A23" w:rsidP="00701038">
            <w:pPr>
              <w:jc w:val="center"/>
              <w:rPr>
                <w:rFonts w:ascii="Arial" w:hAnsi="Arial" w:cs="Arial"/>
                <w:sz w:val="24"/>
                <w:szCs w:val="24"/>
              </w:rPr>
            </w:pPr>
            <w:r w:rsidRPr="00701038">
              <w:rPr>
                <w:rFonts w:ascii="Arial" w:hAnsi="Arial" w:cs="Arial"/>
                <w:bCs/>
                <w:sz w:val="24"/>
                <w:szCs w:val="24"/>
                <w:lang w:val="it-IT"/>
              </w:rPr>
              <w:t>*</w:t>
            </w:r>
          </w:p>
        </w:tc>
        <w:tc>
          <w:tcPr>
            <w:tcW w:w="1540"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23,95</w:t>
            </w:r>
          </w:p>
        </w:tc>
      </w:tr>
      <w:tr w:rsidR="004312ED" w:rsidRPr="00986548" w:rsidTr="009F1A23">
        <w:trPr>
          <w:tblCellSpacing w:w="20" w:type="dxa"/>
          <w:jc w:val="center"/>
        </w:trPr>
        <w:tc>
          <w:tcPr>
            <w:tcW w:w="2644" w:type="dxa"/>
            <w:shd w:val="clear" w:color="auto" w:fill="auto"/>
          </w:tcPr>
          <w:p w:rsidR="004312ED" w:rsidRPr="00986548" w:rsidRDefault="004312ED" w:rsidP="000D3AA4">
            <w:pPr>
              <w:jc w:val="center"/>
              <w:rPr>
                <w:rFonts w:ascii="Arial" w:hAnsi="Arial" w:cs="Arial"/>
                <w:sz w:val="24"/>
                <w:szCs w:val="24"/>
              </w:rPr>
            </w:pPr>
            <w:r w:rsidRPr="00986548">
              <w:rPr>
                <w:rFonts w:ascii="Arial" w:hAnsi="Arial" w:cs="Arial"/>
                <w:sz w:val="24"/>
                <w:szCs w:val="24"/>
              </w:rPr>
              <w:t>CT6-Industrial</w:t>
            </w:r>
            <w:r>
              <w:rPr>
                <w:rFonts w:ascii="Arial" w:hAnsi="Arial" w:cs="Arial"/>
                <w:sz w:val="24"/>
                <w:szCs w:val="24"/>
              </w:rPr>
              <w:t xml:space="preserve"> 1</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21,21</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6,73</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0,09</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55,11</w:t>
            </w:r>
          </w:p>
        </w:tc>
        <w:tc>
          <w:tcPr>
            <w:tcW w:w="1516"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2,17</w:t>
            </w:r>
          </w:p>
        </w:tc>
        <w:tc>
          <w:tcPr>
            <w:tcW w:w="1540" w:type="dxa"/>
            <w:vAlign w:val="center"/>
          </w:tcPr>
          <w:p w:rsidR="004312ED" w:rsidRPr="00701038" w:rsidRDefault="009F1A23" w:rsidP="00701038">
            <w:pPr>
              <w:jc w:val="center"/>
              <w:rPr>
                <w:rFonts w:ascii="Arial" w:hAnsi="Arial" w:cs="Arial"/>
                <w:sz w:val="24"/>
                <w:szCs w:val="24"/>
              </w:rPr>
            </w:pPr>
            <w:r w:rsidRPr="00701038">
              <w:rPr>
                <w:rFonts w:ascii="Arial" w:hAnsi="Arial" w:cs="Arial"/>
                <w:bCs/>
                <w:sz w:val="24"/>
                <w:szCs w:val="24"/>
                <w:lang w:val="it-IT"/>
              </w:rPr>
              <w:t>*</w:t>
            </w:r>
          </w:p>
        </w:tc>
      </w:tr>
      <w:tr w:rsidR="004312ED" w:rsidRPr="00986548" w:rsidTr="009F1A23">
        <w:trPr>
          <w:tblCellSpacing w:w="20" w:type="dxa"/>
          <w:jc w:val="center"/>
        </w:trPr>
        <w:tc>
          <w:tcPr>
            <w:tcW w:w="2644" w:type="dxa"/>
            <w:shd w:val="clear" w:color="auto" w:fill="auto"/>
          </w:tcPr>
          <w:p w:rsidR="004312ED" w:rsidRPr="00986548" w:rsidRDefault="004312ED" w:rsidP="000D3AA4">
            <w:pPr>
              <w:jc w:val="center"/>
              <w:rPr>
                <w:rFonts w:ascii="Arial" w:hAnsi="Arial" w:cs="Arial"/>
                <w:sz w:val="24"/>
                <w:szCs w:val="24"/>
              </w:rPr>
            </w:pPr>
            <w:r w:rsidRPr="00986548">
              <w:rPr>
                <w:rFonts w:ascii="Arial" w:hAnsi="Arial" w:cs="Arial"/>
                <w:sz w:val="24"/>
                <w:szCs w:val="24"/>
              </w:rPr>
              <w:t>CT7-Industrial</w:t>
            </w:r>
            <w:r>
              <w:rPr>
                <w:rFonts w:ascii="Arial" w:hAnsi="Arial" w:cs="Arial"/>
                <w:sz w:val="24"/>
                <w:szCs w:val="24"/>
              </w:rPr>
              <w:t xml:space="preserve"> 2</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21,30</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6,71</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0,11</w:t>
            </w:r>
          </w:p>
        </w:tc>
        <w:tc>
          <w:tcPr>
            <w:tcW w:w="1073"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51,46</w:t>
            </w:r>
          </w:p>
        </w:tc>
        <w:tc>
          <w:tcPr>
            <w:tcW w:w="1516" w:type="dxa"/>
            <w:vAlign w:val="center"/>
          </w:tcPr>
          <w:p w:rsidR="004312ED" w:rsidRPr="00701038" w:rsidRDefault="009F1A23" w:rsidP="00701038">
            <w:pPr>
              <w:jc w:val="center"/>
              <w:rPr>
                <w:rFonts w:ascii="Arial" w:hAnsi="Arial" w:cs="Arial"/>
                <w:sz w:val="24"/>
                <w:szCs w:val="24"/>
              </w:rPr>
            </w:pPr>
            <w:r w:rsidRPr="00701038">
              <w:rPr>
                <w:rFonts w:ascii="Arial" w:hAnsi="Arial" w:cs="Arial"/>
                <w:bCs/>
                <w:sz w:val="24"/>
                <w:szCs w:val="24"/>
                <w:lang w:val="it-IT"/>
              </w:rPr>
              <w:t>*</w:t>
            </w:r>
          </w:p>
        </w:tc>
        <w:tc>
          <w:tcPr>
            <w:tcW w:w="1540" w:type="dxa"/>
            <w:vAlign w:val="center"/>
          </w:tcPr>
          <w:p w:rsidR="004312ED" w:rsidRPr="00701038" w:rsidRDefault="00793895" w:rsidP="00701038">
            <w:pPr>
              <w:jc w:val="center"/>
              <w:rPr>
                <w:rFonts w:ascii="Arial" w:hAnsi="Arial" w:cs="Arial"/>
                <w:sz w:val="24"/>
                <w:szCs w:val="24"/>
              </w:rPr>
            </w:pPr>
            <w:r>
              <w:rPr>
                <w:rFonts w:ascii="Arial" w:hAnsi="Arial" w:cs="Arial"/>
                <w:sz w:val="24"/>
                <w:szCs w:val="24"/>
              </w:rPr>
              <w:t>24,12</w:t>
            </w:r>
          </w:p>
        </w:tc>
      </w:tr>
    </w:tbl>
    <w:p w:rsidR="001E5B32" w:rsidRDefault="001E5B32" w:rsidP="00497CE6">
      <w:pPr>
        <w:autoSpaceDE w:val="0"/>
        <w:autoSpaceDN w:val="0"/>
        <w:adjustRightInd w:val="0"/>
        <w:ind w:left="1080"/>
        <w:jc w:val="both"/>
        <w:rPr>
          <w:rFonts w:ascii="Arial" w:hAnsi="Arial" w:cs="Arial"/>
          <w:b/>
          <w:bCs/>
          <w:sz w:val="24"/>
          <w:szCs w:val="24"/>
          <w:lang w:val="it-IT"/>
        </w:rPr>
      </w:pPr>
    </w:p>
    <w:p w:rsidR="00497CE6" w:rsidRPr="0040736F" w:rsidRDefault="00497CE6" w:rsidP="009F13F7">
      <w:pPr>
        <w:autoSpaceDE w:val="0"/>
        <w:autoSpaceDN w:val="0"/>
        <w:adjustRightInd w:val="0"/>
        <w:ind w:left="1080" w:hanging="1080"/>
        <w:jc w:val="both"/>
        <w:rPr>
          <w:rFonts w:ascii="Arial" w:hAnsi="Arial" w:cs="Arial"/>
          <w:bCs/>
          <w:sz w:val="24"/>
          <w:szCs w:val="24"/>
          <w:lang w:val="it-IT"/>
        </w:rPr>
      </w:pPr>
      <w:r w:rsidRPr="0040736F">
        <w:rPr>
          <w:rFonts w:ascii="Arial" w:hAnsi="Arial" w:cs="Arial"/>
          <w:bCs/>
          <w:sz w:val="24"/>
          <w:szCs w:val="24"/>
          <w:lang w:val="it-IT"/>
        </w:rPr>
        <w:t>Observatii – Stelutele din tabel au urmatoarele semnificatii:</w:t>
      </w:r>
    </w:p>
    <w:p w:rsidR="001E5B32" w:rsidRPr="0040736F" w:rsidRDefault="001E5B32" w:rsidP="006B66F0">
      <w:pPr>
        <w:autoSpaceDE w:val="0"/>
        <w:autoSpaceDN w:val="0"/>
        <w:adjustRightInd w:val="0"/>
        <w:ind w:firstLine="720"/>
        <w:jc w:val="both"/>
        <w:rPr>
          <w:rFonts w:ascii="Arial" w:hAnsi="Arial" w:cs="Arial"/>
          <w:b/>
          <w:bCs/>
          <w:sz w:val="24"/>
          <w:szCs w:val="24"/>
          <w:lang w:val="it-IT"/>
        </w:rPr>
      </w:pPr>
    </w:p>
    <w:p w:rsidR="00497CE6" w:rsidRPr="0040736F" w:rsidRDefault="00497CE6" w:rsidP="00AA281D">
      <w:pPr>
        <w:numPr>
          <w:ilvl w:val="0"/>
          <w:numId w:val="18"/>
        </w:numPr>
        <w:tabs>
          <w:tab w:val="clear" w:pos="1004"/>
        </w:tabs>
        <w:autoSpaceDE w:val="0"/>
        <w:autoSpaceDN w:val="0"/>
        <w:adjustRightInd w:val="0"/>
        <w:ind w:left="630"/>
        <w:jc w:val="both"/>
        <w:rPr>
          <w:rFonts w:ascii="Arial" w:hAnsi="Arial" w:cs="Arial"/>
          <w:bCs/>
          <w:sz w:val="24"/>
          <w:szCs w:val="24"/>
          <w:lang w:val="it-IT"/>
        </w:rPr>
      </w:pPr>
      <w:r w:rsidRPr="0040736F">
        <w:rPr>
          <w:rFonts w:ascii="Arial" w:hAnsi="Arial" w:cs="Arial"/>
          <w:bCs/>
          <w:sz w:val="24"/>
          <w:szCs w:val="24"/>
          <w:lang w:val="it-IT"/>
        </w:rPr>
        <w:t xml:space="preserve">* </w:t>
      </w:r>
      <w:r w:rsidR="00641EF4" w:rsidRPr="0040736F">
        <w:rPr>
          <w:rFonts w:ascii="Arial" w:hAnsi="Arial" w:cs="Arial"/>
          <w:bCs/>
          <w:sz w:val="24"/>
          <w:szCs w:val="24"/>
          <w:lang w:val="it-IT"/>
        </w:rPr>
        <w:t>Indicatorul in cauza nu se masoara la acest tip de statie (</w:t>
      </w:r>
      <w:r w:rsidRPr="0040736F">
        <w:rPr>
          <w:rFonts w:ascii="Arial" w:hAnsi="Arial" w:cs="Arial"/>
          <w:bCs/>
          <w:sz w:val="24"/>
          <w:szCs w:val="24"/>
          <w:lang w:val="it-IT"/>
        </w:rPr>
        <w:t>O3 nu se masoara la statiile de trafic</w:t>
      </w:r>
      <w:r w:rsidR="00641EF4" w:rsidRPr="0040736F">
        <w:rPr>
          <w:rFonts w:ascii="Arial" w:hAnsi="Arial" w:cs="Arial"/>
          <w:bCs/>
          <w:sz w:val="24"/>
          <w:szCs w:val="24"/>
          <w:lang w:val="it-IT"/>
        </w:rPr>
        <w:t>, benzenul nu se masoara la statiile industriale tip 2)</w:t>
      </w:r>
    </w:p>
    <w:p w:rsidR="000D4B3E" w:rsidRDefault="00AD7D68" w:rsidP="001957C4">
      <w:pPr>
        <w:autoSpaceDE w:val="0"/>
        <w:autoSpaceDN w:val="0"/>
        <w:adjustRightInd w:val="0"/>
        <w:rPr>
          <w:rFonts w:ascii="Arial" w:hAnsi="Arial" w:cs="Arial"/>
          <w:b/>
          <w:bCs/>
          <w:sz w:val="24"/>
          <w:szCs w:val="24"/>
          <w:lang w:val="it-IT"/>
        </w:rPr>
      </w:pPr>
      <w:r>
        <w:rPr>
          <w:rFonts w:ascii="Arial" w:hAnsi="Arial" w:cs="Arial"/>
          <w:bCs/>
          <w:color w:val="FF0000"/>
          <w:sz w:val="24"/>
          <w:szCs w:val="24"/>
          <w:lang w:val="it-IT"/>
        </w:rPr>
        <w:t xml:space="preserve"> </w:t>
      </w:r>
    </w:p>
    <w:p w:rsidR="001957C4" w:rsidRDefault="00E679FF" w:rsidP="006B66F0">
      <w:pPr>
        <w:autoSpaceDE w:val="0"/>
        <w:autoSpaceDN w:val="0"/>
        <w:adjustRightInd w:val="0"/>
        <w:ind w:firstLine="720"/>
        <w:jc w:val="both"/>
        <w:rPr>
          <w:rFonts w:ascii="Arial" w:hAnsi="Arial" w:cs="Arial"/>
          <w:b/>
          <w:bCs/>
          <w:sz w:val="24"/>
          <w:szCs w:val="24"/>
          <w:lang w:val="it-IT"/>
        </w:rPr>
      </w:pPr>
      <w:r w:rsidRPr="00E679FF">
        <w:rPr>
          <w:rFonts w:ascii="Arial" w:hAnsi="Arial" w:cs="Arial"/>
          <w:b/>
          <w:bCs/>
          <w:noProof/>
          <w:sz w:val="24"/>
          <w:szCs w:val="24"/>
        </w:rPr>
        <w:drawing>
          <wp:inline distT="0" distB="0" distL="0" distR="0">
            <wp:extent cx="5943600" cy="2607945"/>
            <wp:effectExtent l="19050" t="0" r="19050" b="1905"/>
            <wp:docPr id="71"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7D68" w:rsidRDefault="00AD7D68" w:rsidP="00AD7D68">
      <w:pPr>
        <w:autoSpaceDE w:val="0"/>
        <w:autoSpaceDN w:val="0"/>
        <w:adjustRightInd w:val="0"/>
        <w:jc w:val="both"/>
        <w:rPr>
          <w:rFonts w:ascii="Arial" w:hAnsi="Arial" w:cs="Arial"/>
          <w:b/>
          <w:bCs/>
          <w:sz w:val="24"/>
          <w:szCs w:val="24"/>
          <w:lang w:val="it-IT"/>
        </w:rPr>
      </w:pPr>
    </w:p>
    <w:p w:rsidR="00AD7D68" w:rsidRPr="00F56142" w:rsidRDefault="00AD7D68" w:rsidP="00AD7D68">
      <w:pPr>
        <w:autoSpaceDE w:val="0"/>
        <w:autoSpaceDN w:val="0"/>
        <w:adjustRightInd w:val="0"/>
        <w:ind w:left="6480"/>
        <w:jc w:val="both"/>
        <w:rPr>
          <w:rFonts w:ascii="Arial" w:hAnsi="Arial" w:cs="Arial"/>
          <w:bCs/>
          <w:i/>
          <w:sz w:val="24"/>
          <w:szCs w:val="24"/>
          <w:lang w:val="it-IT"/>
        </w:rPr>
      </w:pPr>
      <w:r>
        <w:rPr>
          <w:rFonts w:ascii="Arial" w:hAnsi="Arial" w:cs="Arial"/>
          <w:bCs/>
          <w:i/>
          <w:sz w:val="24"/>
          <w:szCs w:val="24"/>
          <w:lang w:val="it-IT"/>
        </w:rPr>
        <w:t>Figura 1.1.1.1.1</w:t>
      </w:r>
    </w:p>
    <w:p w:rsidR="00AD7D68" w:rsidRDefault="00AD7D68" w:rsidP="006B66F0">
      <w:pPr>
        <w:autoSpaceDE w:val="0"/>
        <w:autoSpaceDN w:val="0"/>
        <w:adjustRightInd w:val="0"/>
        <w:ind w:firstLine="720"/>
        <w:jc w:val="both"/>
        <w:rPr>
          <w:rFonts w:ascii="Arial" w:hAnsi="Arial" w:cs="Arial"/>
          <w:b/>
          <w:bCs/>
          <w:sz w:val="24"/>
          <w:szCs w:val="24"/>
          <w:lang w:val="it-IT"/>
        </w:rPr>
      </w:pPr>
    </w:p>
    <w:p w:rsidR="00AD7D68" w:rsidRDefault="00AD7D68" w:rsidP="00AD7D68">
      <w:pPr>
        <w:autoSpaceDE w:val="0"/>
        <w:autoSpaceDN w:val="0"/>
        <w:adjustRightInd w:val="0"/>
        <w:jc w:val="both"/>
        <w:rPr>
          <w:rFonts w:ascii="Arial" w:hAnsi="Arial" w:cs="Arial"/>
          <w:b/>
          <w:bCs/>
          <w:sz w:val="24"/>
          <w:szCs w:val="24"/>
          <w:lang w:val="it-IT"/>
        </w:rPr>
      </w:pPr>
      <w:r w:rsidRPr="00AD7D68">
        <w:rPr>
          <w:rFonts w:ascii="Arial" w:hAnsi="Arial" w:cs="Arial"/>
          <w:b/>
          <w:bCs/>
          <w:noProof/>
          <w:sz w:val="24"/>
          <w:szCs w:val="24"/>
        </w:rPr>
        <w:drawing>
          <wp:inline distT="0" distB="0" distL="0" distR="0">
            <wp:extent cx="5803780" cy="2458529"/>
            <wp:effectExtent l="19050" t="0" r="2552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7D68" w:rsidRPr="00F56142" w:rsidRDefault="00AD7D68" w:rsidP="00AD7D68">
      <w:pPr>
        <w:autoSpaceDE w:val="0"/>
        <w:autoSpaceDN w:val="0"/>
        <w:adjustRightInd w:val="0"/>
        <w:ind w:left="6480"/>
        <w:jc w:val="both"/>
        <w:rPr>
          <w:rFonts w:ascii="Arial" w:hAnsi="Arial" w:cs="Arial"/>
          <w:bCs/>
          <w:i/>
          <w:sz w:val="24"/>
          <w:szCs w:val="24"/>
          <w:lang w:val="it-IT"/>
        </w:rPr>
      </w:pPr>
      <w:r>
        <w:rPr>
          <w:rFonts w:ascii="Arial" w:hAnsi="Arial" w:cs="Arial"/>
          <w:bCs/>
          <w:i/>
          <w:sz w:val="24"/>
          <w:szCs w:val="24"/>
          <w:lang w:val="it-IT"/>
        </w:rPr>
        <w:t>Figura 1.1.1.1.2</w:t>
      </w:r>
    </w:p>
    <w:p w:rsidR="00AD7D68" w:rsidRDefault="00AD7D68" w:rsidP="006B66F0">
      <w:pPr>
        <w:autoSpaceDE w:val="0"/>
        <w:autoSpaceDN w:val="0"/>
        <w:adjustRightInd w:val="0"/>
        <w:ind w:firstLine="720"/>
        <w:jc w:val="both"/>
        <w:rPr>
          <w:rFonts w:ascii="Arial" w:hAnsi="Arial" w:cs="Arial"/>
          <w:b/>
          <w:bCs/>
          <w:sz w:val="24"/>
          <w:szCs w:val="24"/>
          <w:lang w:val="it-IT"/>
        </w:rPr>
      </w:pPr>
    </w:p>
    <w:p w:rsidR="00AD7D68" w:rsidRDefault="00AD7D68" w:rsidP="006B66F0">
      <w:pPr>
        <w:autoSpaceDE w:val="0"/>
        <w:autoSpaceDN w:val="0"/>
        <w:adjustRightInd w:val="0"/>
        <w:ind w:firstLine="720"/>
        <w:jc w:val="both"/>
        <w:rPr>
          <w:rFonts w:ascii="Arial" w:hAnsi="Arial" w:cs="Arial"/>
          <w:b/>
          <w:bCs/>
          <w:sz w:val="24"/>
          <w:szCs w:val="24"/>
          <w:lang w:val="it-IT"/>
        </w:rPr>
      </w:pPr>
    </w:p>
    <w:p w:rsidR="000D4B3E" w:rsidRDefault="00F55F3B" w:rsidP="00F5452D">
      <w:pPr>
        <w:autoSpaceDE w:val="0"/>
        <w:autoSpaceDN w:val="0"/>
        <w:adjustRightInd w:val="0"/>
        <w:jc w:val="center"/>
        <w:rPr>
          <w:rFonts w:ascii="Arial" w:hAnsi="Arial" w:cs="Arial"/>
          <w:b/>
          <w:bCs/>
          <w:sz w:val="24"/>
          <w:szCs w:val="24"/>
          <w:lang w:val="it-IT"/>
        </w:rPr>
      </w:pPr>
      <w:r w:rsidRPr="00F55F3B">
        <w:rPr>
          <w:rFonts w:ascii="Arial" w:hAnsi="Arial" w:cs="Arial"/>
          <w:b/>
          <w:bCs/>
          <w:noProof/>
          <w:sz w:val="24"/>
          <w:szCs w:val="24"/>
        </w:rPr>
        <w:drawing>
          <wp:inline distT="0" distB="0" distL="0" distR="0">
            <wp:extent cx="5943600" cy="307340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6142" w:rsidRPr="00F56142" w:rsidRDefault="004F0E40" w:rsidP="00F56142">
      <w:pPr>
        <w:autoSpaceDE w:val="0"/>
        <w:autoSpaceDN w:val="0"/>
        <w:adjustRightInd w:val="0"/>
        <w:ind w:left="6480"/>
        <w:jc w:val="both"/>
        <w:rPr>
          <w:rFonts w:ascii="Arial" w:hAnsi="Arial" w:cs="Arial"/>
          <w:bCs/>
          <w:i/>
          <w:sz w:val="24"/>
          <w:szCs w:val="24"/>
          <w:lang w:val="it-IT"/>
        </w:rPr>
      </w:pPr>
      <w:r>
        <w:rPr>
          <w:rFonts w:ascii="Arial" w:hAnsi="Arial" w:cs="Arial"/>
          <w:bCs/>
          <w:i/>
          <w:sz w:val="24"/>
          <w:szCs w:val="24"/>
          <w:lang w:val="it-IT"/>
        </w:rPr>
        <w:t xml:space="preserve">                    </w:t>
      </w:r>
      <w:r w:rsidR="00AB53E9">
        <w:rPr>
          <w:rFonts w:ascii="Arial" w:hAnsi="Arial" w:cs="Arial"/>
          <w:bCs/>
          <w:i/>
          <w:sz w:val="24"/>
          <w:szCs w:val="24"/>
          <w:lang w:val="it-IT"/>
        </w:rPr>
        <w:t>Figura 1.1.1.1.</w:t>
      </w:r>
      <w:r w:rsidR="005623F2">
        <w:rPr>
          <w:rFonts w:ascii="Arial" w:hAnsi="Arial" w:cs="Arial"/>
          <w:bCs/>
          <w:i/>
          <w:sz w:val="24"/>
          <w:szCs w:val="24"/>
          <w:lang w:val="it-IT"/>
        </w:rPr>
        <w:t>3</w:t>
      </w:r>
    </w:p>
    <w:p w:rsidR="00F051BB" w:rsidRDefault="00F051BB" w:rsidP="00AA0B8F">
      <w:pPr>
        <w:autoSpaceDE w:val="0"/>
        <w:autoSpaceDN w:val="0"/>
        <w:adjustRightInd w:val="0"/>
        <w:jc w:val="both"/>
        <w:rPr>
          <w:rFonts w:ascii="Arial" w:hAnsi="Arial" w:cs="Arial"/>
          <w:bCs/>
          <w:sz w:val="24"/>
          <w:szCs w:val="24"/>
          <w:lang w:val="it-IT"/>
        </w:rPr>
      </w:pPr>
    </w:p>
    <w:p w:rsidR="001F761D" w:rsidRDefault="001F761D" w:rsidP="00AA0B8F">
      <w:pPr>
        <w:autoSpaceDE w:val="0"/>
        <w:autoSpaceDN w:val="0"/>
        <w:adjustRightInd w:val="0"/>
        <w:jc w:val="both"/>
        <w:rPr>
          <w:rFonts w:ascii="Arial" w:hAnsi="Arial" w:cs="Arial"/>
          <w:bCs/>
          <w:sz w:val="24"/>
          <w:szCs w:val="24"/>
          <w:lang w:val="it-IT"/>
        </w:rPr>
      </w:pPr>
    </w:p>
    <w:p w:rsidR="00E45325" w:rsidRPr="00C37E21" w:rsidRDefault="00AC0F0F" w:rsidP="00AA0B8F">
      <w:pPr>
        <w:autoSpaceDE w:val="0"/>
        <w:autoSpaceDN w:val="0"/>
        <w:adjustRightInd w:val="0"/>
        <w:jc w:val="both"/>
        <w:rPr>
          <w:rFonts w:ascii="Arial" w:hAnsi="Arial" w:cs="Arial"/>
          <w:bCs/>
          <w:color w:val="FF0000"/>
          <w:sz w:val="24"/>
          <w:szCs w:val="24"/>
          <w:lang w:val="it-IT"/>
        </w:rPr>
      </w:pPr>
      <w:r w:rsidRPr="00AC0F0F">
        <w:rPr>
          <w:rFonts w:ascii="Arial" w:hAnsi="Arial" w:cs="Arial"/>
          <w:bCs/>
          <w:noProof/>
          <w:color w:val="FF0000"/>
          <w:sz w:val="24"/>
          <w:szCs w:val="24"/>
        </w:rPr>
        <w:drawing>
          <wp:inline distT="0" distB="0" distL="0" distR="0">
            <wp:extent cx="5571238" cy="2691442"/>
            <wp:effectExtent l="19050" t="0" r="10412" b="0"/>
            <wp:docPr id="72"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6142" w:rsidRDefault="00E45325" w:rsidP="00F56142">
      <w:pPr>
        <w:autoSpaceDE w:val="0"/>
        <w:autoSpaceDN w:val="0"/>
        <w:adjustRightInd w:val="0"/>
        <w:ind w:left="6480"/>
        <w:jc w:val="both"/>
        <w:rPr>
          <w:rFonts w:ascii="Arial" w:hAnsi="Arial" w:cs="Arial"/>
          <w:bCs/>
          <w:i/>
          <w:sz w:val="24"/>
          <w:szCs w:val="24"/>
          <w:lang w:val="it-IT"/>
        </w:rPr>
      </w:pPr>
      <w:r w:rsidRPr="00C37E21">
        <w:rPr>
          <w:rFonts w:ascii="Arial" w:hAnsi="Arial" w:cs="Arial"/>
          <w:bCs/>
          <w:i/>
          <w:color w:val="FF0000"/>
          <w:sz w:val="24"/>
          <w:szCs w:val="24"/>
          <w:lang w:val="it-IT"/>
        </w:rPr>
        <w:t xml:space="preserve">                    </w:t>
      </w:r>
      <w:r w:rsidR="00F56142" w:rsidRPr="00C410A1">
        <w:rPr>
          <w:rFonts w:ascii="Arial" w:hAnsi="Arial" w:cs="Arial"/>
          <w:bCs/>
          <w:i/>
          <w:sz w:val="24"/>
          <w:szCs w:val="24"/>
          <w:lang w:val="it-IT"/>
        </w:rPr>
        <w:t>Figura 1.1.1.1.</w:t>
      </w:r>
      <w:r w:rsidR="005623F2">
        <w:rPr>
          <w:rFonts w:ascii="Arial" w:hAnsi="Arial" w:cs="Arial"/>
          <w:bCs/>
          <w:i/>
          <w:sz w:val="24"/>
          <w:szCs w:val="24"/>
          <w:lang w:val="it-IT"/>
        </w:rPr>
        <w:t>4</w:t>
      </w:r>
    </w:p>
    <w:p w:rsidR="005623F2" w:rsidRDefault="005623F2" w:rsidP="00F56142">
      <w:pPr>
        <w:autoSpaceDE w:val="0"/>
        <w:autoSpaceDN w:val="0"/>
        <w:adjustRightInd w:val="0"/>
        <w:ind w:left="6480"/>
        <w:jc w:val="both"/>
        <w:rPr>
          <w:rFonts w:ascii="Arial" w:hAnsi="Arial" w:cs="Arial"/>
          <w:bCs/>
          <w:i/>
          <w:sz w:val="24"/>
          <w:szCs w:val="24"/>
          <w:lang w:val="it-IT"/>
        </w:rPr>
      </w:pPr>
    </w:p>
    <w:p w:rsidR="00D00B34" w:rsidRPr="00C410A1" w:rsidRDefault="005623F2" w:rsidP="00C66C55">
      <w:pPr>
        <w:autoSpaceDE w:val="0"/>
        <w:autoSpaceDN w:val="0"/>
        <w:adjustRightInd w:val="0"/>
        <w:jc w:val="both"/>
        <w:rPr>
          <w:rFonts w:ascii="Arial" w:hAnsi="Arial" w:cs="Arial"/>
          <w:bCs/>
          <w:sz w:val="24"/>
          <w:szCs w:val="24"/>
          <w:lang w:val="it-IT"/>
        </w:rPr>
      </w:pPr>
      <w:r w:rsidRPr="005623F2">
        <w:rPr>
          <w:rFonts w:ascii="Arial" w:hAnsi="Arial" w:cs="Arial"/>
          <w:bCs/>
          <w:noProof/>
          <w:sz w:val="24"/>
          <w:szCs w:val="24"/>
        </w:rPr>
        <w:drawing>
          <wp:inline distT="0" distB="0" distL="0" distR="0">
            <wp:extent cx="5349120" cy="2665562"/>
            <wp:effectExtent l="19050" t="0" r="22980" b="1438"/>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23F2" w:rsidRDefault="005623F2" w:rsidP="005623F2">
      <w:pPr>
        <w:autoSpaceDE w:val="0"/>
        <w:autoSpaceDN w:val="0"/>
        <w:adjustRightInd w:val="0"/>
        <w:ind w:left="6480"/>
        <w:jc w:val="both"/>
        <w:rPr>
          <w:rFonts w:ascii="Arial" w:hAnsi="Arial" w:cs="Arial"/>
          <w:bCs/>
          <w:i/>
          <w:sz w:val="24"/>
          <w:szCs w:val="24"/>
          <w:lang w:val="it-IT"/>
        </w:rPr>
      </w:pPr>
      <w:r w:rsidRPr="00C37E21">
        <w:rPr>
          <w:rFonts w:ascii="Arial" w:hAnsi="Arial" w:cs="Arial"/>
          <w:bCs/>
          <w:i/>
          <w:color w:val="FF0000"/>
          <w:sz w:val="24"/>
          <w:szCs w:val="24"/>
          <w:lang w:val="it-IT"/>
        </w:rPr>
        <w:t xml:space="preserve">                    </w:t>
      </w:r>
      <w:r w:rsidRPr="00C410A1">
        <w:rPr>
          <w:rFonts w:ascii="Arial" w:hAnsi="Arial" w:cs="Arial"/>
          <w:bCs/>
          <w:i/>
          <w:sz w:val="24"/>
          <w:szCs w:val="24"/>
          <w:lang w:val="it-IT"/>
        </w:rPr>
        <w:t>Figura 1.1.1.1.</w:t>
      </w:r>
      <w:r>
        <w:rPr>
          <w:rFonts w:ascii="Arial" w:hAnsi="Arial" w:cs="Arial"/>
          <w:bCs/>
          <w:i/>
          <w:sz w:val="24"/>
          <w:szCs w:val="24"/>
          <w:lang w:val="it-IT"/>
        </w:rPr>
        <w:t>5</w:t>
      </w:r>
    </w:p>
    <w:p w:rsidR="00F57DFA" w:rsidRDefault="00634A2D" w:rsidP="00634A2D">
      <w:pPr>
        <w:autoSpaceDE w:val="0"/>
        <w:autoSpaceDN w:val="0"/>
        <w:adjustRightInd w:val="0"/>
        <w:jc w:val="center"/>
        <w:rPr>
          <w:rFonts w:ascii="Arial" w:hAnsi="Arial" w:cs="Arial"/>
          <w:bCs/>
          <w:sz w:val="24"/>
          <w:szCs w:val="24"/>
          <w:lang w:val="it-IT"/>
        </w:rPr>
      </w:pPr>
      <w:r w:rsidRPr="00634A2D">
        <w:rPr>
          <w:rFonts w:ascii="Arial" w:hAnsi="Arial" w:cs="Arial"/>
          <w:bCs/>
          <w:noProof/>
          <w:sz w:val="24"/>
          <w:szCs w:val="24"/>
        </w:rPr>
        <w:drawing>
          <wp:inline distT="0" distB="0" distL="0" distR="0">
            <wp:extent cx="5317790" cy="2734573"/>
            <wp:effectExtent l="19050" t="0" r="16210" b="8627"/>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6142" w:rsidRPr="00F56142" w:rsidRDefault="00F57DFA" w:rsidP="00F56142">
      <w:pPr>
        <w:autoSpaceDE w:val="0"/>
        <w:autoSpaceDN w:val="0"/>
        <w:adjustRightInd w:val="0"/>
        <w:ind w:left="6480"/>
        <w:jc w:val="both"/>
        <w:rPr>
          <w:rFonts w:ascii="Arial" w:hAnsi="Arial" w:cs="Arial"/>
          <w:bCs/>
          <w:i/>
          <w:sz w:val="24"/>
          <w:szCs w:val="24"/>
          <w:lang w:val="it-IT"/>
        </w:rPr>
      </w:pPr>
      <w:r>
        <w:rPr>
          <w:rFonts w:ascii="Arial" w:hAnsi="Arial" w:cs="Arial"/>
          <w:bCs/>
          <w:i/>
          <w:sz w:val="24"/>
          <w:szCs w:val="24"/>
          <w:lang w:val="it-IT"/>
        </w:rPr>
        <w:t xml:space="preserve">                    </w:t>
      </w:r>
      <w:r w:rsidR="006808F8">
        <w:rPr>
          <w:rFonts w:ascii="Arial" w:hAnsi="Arial" w:cs="Arial"/>
          <w:bCs/>
          <w:i/>
          <w:sz w:val="24"/>
          <w:szCs w:val="24"/>
          <w:lang w:val="it-IT"/>
        </w:rPr>
        <w:t>Figura 1.1.1.1.</w:t>
      </w:r>
      <w:r w:rsidR="005623F2">
        <w:rPr>
          <w:rFonts w:ascii="Arial" w:hAnsi="Arial" w:cs="Arial"/>
          <w:bCs/>
          <w:i/>
          <w:sz w:val="24"/>
          <w:szCs w:val="24"/>
          <w:lang w:val="it-IT"/>
        </w:rPr>
        <w:t>6</w:t>
      </w:r>
    </w:p>
    <w:p w:rsidR="00F051BB" w:rsidRDefault="00F051BB" w:rsidP="004579FF">
      <w:pPr>
        <w:autoSpaceDE w:val="0"/>
        <w:autoSpaceDN w:val="0"/>
        <w:adjustRightInd w:val="0"/>
        <w:jc w:val="both"/>
        <w:rPr>
          <w:rFonts w:ascii="Arial" w:hAnsi="Arial" w:cs="Arial"/>
          <w:bCs/>
          <w:sz w:val="24"/>
          <w:szCs w:val="24"/>
          <w:lang w:val="it-IT"/>
        </w:rPr>
      </w:pPr>
    </w:p>
    <w:p w:rsidR="00FD4633" w:rsidRDefault="004579FF" w:rsidP="004579FF">
      <w:pPr>
        <w:autoSpaceDE w:val="0"/>
        <w:autoSpaceDN w:val="0"/>
        <w:adjustRightInd w:val="0"/>
        <w:jc w:val="both"/>
        <w:rPr>
          <w:rFonts w:ascii="Arial" w:hAnsi="Arial" w:cs="Arial"/>
          <w:bCs/>
          <w:sz w:val="24"/>
          <w:szCs w:val="24"/>
          <w:lang w:val="it-IT"/>
        </w:rPr>
      </w:pPr>
      <w:r w:rsidRPr="00E66B39">
        <w:rPr>
          <w:rFonts w:ascii="Arial" w:hAnsi="Arial" w:cs="Arial"/>
          <w:bCs/>
          <w:sz w:val="24"/>
          <w:szCs w:val="24"/>
          <w:lang w:val="it-IT"/>
        </w:rPr>
        <w:t>Poluantul Pb:</w:t>
      </w:r>
      <w:r w:rsidRPr="00C37E21">
        <w:rPr>
          <w:rFonts w:ascii="Arial" w:hAnsi="Arial" w:cs="Arial"/>
          <w:bCs/>
          <w:color w:val="FF0000"/>
          <w:sz w:val="24"/>
          <w:szCs w:val="24"/>
          <w:lang w:val="it-IT"/>
        </w:rPr>
        <w:t xml:space="preserve"> </w:t>
      </w:r>
      <w:r w:rsidR="00E66B39" w:rsidRPr="0063265F">
        <w:rPr>
          <w:rFonts w:ascii="Arial" w:hAnsi="Arial" w:cs="Arial"/>
          <w:bCs/>
          <w:sz w:val="24"/>
          <w:szCs w:val="24"/>
          <w:lang w:val="it-IT"/>
        </w:rPr>
        <w:t>din motive tehnice pentru toate statiile nu exista date/datele validate sunt insuficiente pentru a respecta criteriile de calitate conform Legii 104/2011 (captura de date pentru minim 75% din intervalul de timp calendaristic).</w:t>
      </w:r>
    </w:p>
    <w:p w:rsidR="00E66B39" w:rsidRPr="00C37E21" w:rsidRDefault="00E66B39" w:rsidP="004579FF">
      <w:pPr>
        <w:autoSpaceDE w:val="0"/>
        <w:autoSpaceDN w:val="0"/>
        <w:adjustRightInd w:val="0"/>
        <w:jc w:val="both"/>
        <w:rPr>
          <w:rFonts w:ascii="Arial" w:hAnsi="Arial" w:cs="Arial"/>
          <w:bCs/>
          <w:color w:val="FF0000"/>
          <w:sz w:val="24"/>
          <w:szCs w:val="24"/>
          <w:lang w:val="it-IT"/>
        </w:rPr>
      </w:pPr>
    </w:p>
    <w:p w:rsidR="004579FF" w:rsidRDefault="00FB259B" w:rsidP="00E66B39">
      <w:pPr>
        <w:autoSpaceDE w:val="0"/>
        <w:autoSpaceDN w:val="0"/>
        <w:adjustRightInd w:val="0"/>
        <w:jc w:val="both"/>
        <w:rPr>
          <w:rFonts w:ascii="Arial" w:hAnsi="Arial" w:cs="Arial"/>
          <w:b/>
          <w:sz w:val="24"/>
          <w:szCs w:val="24"/>
          <w:lang w:val="pt-BR"/>
        </w:rPr>
      </w:pPr>
      <w:r w:rsidRPr="00E66B39">
        <w:rPr>
          <w:rFonts w:ascii="Arial" w:hAnsi="Arial" w:cs="Arial"/>
          <w:bCs/>
          <w:sz w:val="24"/>
          <w:szCs w:val="24"/>
          <w:lang w:val="it-IT"/>
        </w:rPr>
        <w:t>Poluantii Ni, Cd si As:</w:t>
      </w:r>
      <w:r w:rsidRPr="00C37E21">
        <w:rPr>
          <w:rFonts w:ascii="Arial" w:hAnsi="Arial" w:cs="Arial"/>
          <w:bCs/>
          <w:color w:val="FF0000"/>
          <w:sz w:val="24"/>
          <w:szCs w:val="24"/>
          <w:lang w:val="it-IT"/>
        </w:rPr>
        <w:t xml:space="preserve"> </w:t>
      </w:r>
      <w:r w:rsidR="00E66B39" w:rsidRPr="0063265F">
        <w:rPr>
          <w:rFonts w:ascii="Arial" w:hAnsi="Arial" w:cs="Arial"/>
          <w:bCs/>
          <w:sz w:val="24"/>
          <w:szCs w:val="24"/>
          <w:lang w:val="it-IT"/>
        </w:rPr>
        <w:t>din motive tehnice pentru toate statiile nu exista date/datele validate sunt insuficiente pentru a respecta criteriile de calitate conform Legii 104/2011 (captura de date pentru minim 75% din intervalul de timp calendaristic).</w:t>
      </w:r>
    </w:p>
    <w:p w:rsidR="00491501" w:rsidRDefault="00491501" w:rsidP="009776CE">
      <w:pPr>
        <w:tabs>
          <w:tab w:val="num" w:pos="0"/>
        </w:tabs>
        <w:jc w:val="both"/>
        <w:rPr>
          <w:rFonts w:ascii="Arial" w:hAnsi="Arial" w:cs="Arial"/>
          <w:b/>
          <w:sz w:val="24"/>
          <w:szCs w:val="24"/>
          <w:lang w:val="pt-BR"/>
        </w:rPr>
      </w:pPr>
    </w:p>
    <w:p w:rsidR="00263552" w:rsidRDefault="001735C6" w:rsidP="009776CE">
      <w:pPr>
        <w:tabs>
          <w:tab w:val="num" w:pos="0"/>
        </w:tabs>
        <w:jc w:val="both"/>
        <w:rPr>
          <w:rFonts w:ascii="Arial" w:hAnsi="Arial" w:cs="Arial"/>
          <w:b/>
          <w:sz w:val="24"/>
          <w:szCs w:val="24"/>
          <w:lang w:val="pt-BR"/>
        </w:rPr>
      </w:pPr>
      <w:r>
        <w:rPr>
          <w:rFonts w:ascii="Arial" w:hAnsi="Arial" w:cs="Arial"/>
          <w:bCs/>
          <w:i/>
          <w:sz w:val="24"/>
          <w:szCs w:val="24"/>
          <w:lang w:val="it-IT"/>
        </w:rPr>
        <w:t xml:space="preserve">                                                                                                                 </w:t>
      </w:r>
    </w:p>
    <w:p w:rsidR="00A44D88" w:rsidRPr="001E5B32" w:rsidRDefault="001D2453" w:rsidP="009776CE">
      <w:pPr>
        <w:tabs>
          <w:tab w:val="num" w:pos="0"/>
        </w:tabs>
        <w:jc w:val="both"/>
        <w:rPr>
          <w:rFonts w:ascii="Arial" w:hAnsi="Arial" w:cs="Arial"/>
          <w:b/>
          <w:sz w:val="24"/>
          <w:szCs w:val="24"/>
          <w:lang w:val="pt-BR"/>
        </w:rPr>
      </w:pPr>
      <w:r>
        <w:rPr>
          <w:rFonts w:ascii="Arial" w:hAnsi="Arial" w:cs="Arial"/>
          <w:b/>
          <w:sz w:val="24"/>
          <w:szCs w:val="24"/>
          <w:lang w:val="pt-BR"/>
        </w:rPr>
        <w:t>I</w:t>
      </w:r>
      <w:r w:rsidR="005D02B0">
        <w:rPr>
          <w:rFonts w:ascii="Arial" w:hAnsi="Arial" w:cs="Arial"/>
          <w:b/>
          <w:sz w:val="24"/>
          <w:szCs w:val="24"/>
          <w:lang w:val="pt-BR"/>
        </w:rPr>
        <w:t>.1.1.2.</w:t>
      </w:r>
      <w:r w:rsidR="001E5B32" w:rsidRPr="001E5B32">
        <w:rPr>
          <w:rFonts w:ascii="Arial" w:hAnsi="Arial" w:cs="Arial"/>
          <w:b/>
          <w:sz w:val="24"/>
          <w:szCs w:val="24"/>
          <w:lang w:val="pt-BR"/>
        </w:rPr>
        <w:t>Tendinţe privind concentraţiile medii anuale ale anumitor poluanţi atmosferici</w:t>
      </w:r>
    </w:p>
    <w:p w:rsidR="00BF7132" w:rsidRDefault="00B60D11" w:rsidP="009776CE">
      <w:pPr>
        <w:tabs>
          <w:tab w:val="num" w:pos="0"/>
        </w:tabs>
        <w:jc w:val="both"/>
        <w:rPr>
          <w:rFonts w:ascii="Arial" w:hAnsi="Arial" w:cs="Arial"/>
          <w:b/>
          <w:sz w:val="24"/>
          <w:szCs w:val="24"/>
          <w:lang w:val="ro-RO"/>
        </w:rPr>
      </w:pPr>
      <w:r w:rsidRPr="007B7830">
        <w:rPr>
          <w:rFonts w:ascii="Arial" w:hAnsi="Arial" w:cs="Arial"/>
          <w:b/>
          <w:sz w:val="24"/>
          <w:szCs w:val="24"/>
          <w:lang w:val="ro-RO"/>
        </w:rPr>
        <w:tab/>
      </w:r>
      <w:r w:rsidRPr="007B7830">
        <w:rPr>
          <w:rFonts w:ascii="Arial" w:hAnsi="Arial" w:cs="Arial"/>
          <w:b/>
          <w:sz w:val="24"/>
          <w:szCs w:val="24"/>
          <w:lang w:val="ro-RO"/>
        </w:rPr>
        <w:tab/>
      </w:r>
    </w:p>
    <w:p w:rsidR="00790AC1" w:rsidRDefault="00790AC1" w:rsidP="00790AC1">
      <w:pPr>
        <w:numPr>
          <w:ilvl w:val="0"/>
          <w:numId w:val="44"/>
        </w:numPr>
        <w:autoSpaceDE w:val="0"/>
        <w:autoSpaceDN w:val="0"/>
        <w:adjustRightInd w:val="0"/>
        <w:jc w:val="both"/>
        <w:rPr>
          <w:rFonts w:ascii="Arial" w:hAnsi="Arial" w:cs="Arial"/>
          <w:b/>
          <w:bCs/>
          <w:sz w:val="24"/>
          <w:szCs w:val="24"/>
          <w:lang w:val="it-IT"/>
        </w:rPr>
      </w:pPr>
      <w:r>
        <w:rPr>
          <w:rFonts w:ascii="Arial" w:hAnsi="Arial" w:cs="Arial"/>
          <w:b/>
          <w:bCs/>
          <w:sz w:val="24"/>
          <w:szCs w:val="24"/>
          <w:lang w:val="it-IT"/>
        </w:rPr>
        <w:t>Indicatori specifici – nu este cazul</w:t>
      </w:r>
    </w:p>
    <w:p w:rsidR="00790AC1" w:rsidRDefault="00790AC1" w:rsidP="00790AC1">
      <w:pPr>
        <w:numPr>
          <w:ilvl w:val="0"/>
          <w:numId w:val="44"/>
        </w:numPr>
        <w:autoSpaceDE w:val="0"/>
        <w:autoSpaceDN w:val="0"/>
        <w:adjustRightInd w:val="0"/>
        <w:jc w:val="both"/>
        <w:rPr>
          <w:rFonts w:ascii="Arial" w:hAnsi="Arial" w:cs="Arial"/>
          <w:b/>
          <w:bCs/>
          <w:sz w:val="24"/>
          <w:szCs w:val="24"/>
          <w:lang w:val="it-IT"/>
        </w:rPr>
      </w:pPr>
      <w:r>
        <w:rPr>
          <w:rFonts w:ascii="Arial" w:hAnsi="Arial" w:cs="Arial"/>
          <w:b/>
          <w:bCs/>
          <w:sz w:val="24"/>
          <w:szCs w:val="24"/>
          <w:lang w:val="it-IT"/>
        </w:rPr>
        <w:t>Date si informatii specifice</w:t>
      </w:r>
    </w:p>
    <w:p w:rsidR="00AC7D51" w:rsidRDefault="00AC7D51" w:rsidP="009776CE">
      <w:pPr>
        <w:tabs>
          <w:tab w:val="num" w:pos="0"/>
        </w:tabs>
        <w:jc w:val="both"/>
        <w:rPr>
          <w:rFonts w:ascii="Arial" w:hAnsi="Arial" w:cs="Arial"/>
          <w:b/>
          <w:sz w:val="24"/>
          <w:szCs w:val="24"/>
          <w:lang w:val="ro-RO"/>
        </w:rPr>
      </w:pPr>
    </w:p>
    <w:tbl>
      <w:tblPr>
        <w:tblStyle w:val="GrilTabel"/>
        <w:tblW w:w="0" w:type="auto"/>
        <w:tblLook w:val="04A0" w:firstRow="1" w:lastRow="0" w:firstColumn="1" w:lastColumn="0" w:noHBand="0" w:noVBand="1"/>
      </w:tblPr>
      <w:tblGrid>
        <w:gridCol w:w="9790"/>
      </w:tblGrid>
      <w:tr w:rsidR="00C37E21" w:rsidRPr="00C37E21" w:rsidTr="00C37E21">
        <w:tc>
          <w:tcPr>
            <w:tcW w:w="9790" w:type="dxa"/>
            <w:tcBorders>
              <w:top w:val="nil"/>
              <w:left w:val="nil"/>
              <w:bottom w:val="nil"/>
            </w:tcBorders>
          </w:tcPr>
          <w:p w:rsidR="00C37E21" w:rsidRPr="00C37E21" w:rsidRDefault="00C37E21" w:rsidP="003A2663">
            <w:pPr>
              <w:tabs>
                <w:tab w:val="num" w:pos="0"/>
              </w:tabs>
              <w:jc w:val="both"/>
              <w:rPr>
                <w:rFonts w:ascii="Arial" w:hAnsi="Arial" w:cs="Arial"/>
                <w:b/>
                <w:sz w:val="24"/>
                <w:szCs w:val="24"/>
                <w:lang w:val="ro-RO"/>
              </w:rPr>
            </w:pPr>
            <w:r w:rsidRPr="00C37E21">
              <w:rPr>
                <w:rFonts w:ascii="Arial" w:hAnsi="Arial" w:cs="Arial"/>
                <w:b/>
                <w:sz w:val="24"/>
                <w:szCs w:val="24"/>
                <w:lang w:val="ro-RO"/>
              </w:rPr>
              <w:t xml:space="preserve"> Dioxidul de azot</w:t>
            </w:r>
            <w:r w:rsidR="000464DA">
              <w:rPr>
                <w:rFonts w:ascii="Arial" w:hAnsi="Arial" w:cs="Arial"/>
                <w:b/>
                <w:sz w:val="24"/>
                <w:szCs w:val="24"/>
                <w:lang w:val="ro-RO"/>
              </w:rPr>
              <w:t xml:space="preserve"> - </w:t>
            </w:r>
            <w:r w:rsidR="000464DA" w:rsidRPr="00986548">
              <w:rPr>
                <w:rFonts w:ascii="Arial" w:hAnsi="Arial" w:cs="Arial"/>
                <w:b/>
                <w:sz w:val="24"/>
                <w:szCs w:val="24"/>
              </w:rPr>
              <w:t>Concentratia medie anuala</w:t>
            </w:r>
          </w:p>
        </w:tc>
      </w:tr>
    </w:tbl>
    <w:p w:rsidR="00831002" w:rsidRDefault="00831002" w:rsidP="009776CE">
      <w:pPr>
        <w:tabs>
          <w:tab w:val="num" w:pos="0"/>
        </w:tabs>
        <w:jc w:val="both"/>
        <w:rPr>
          <w:rFonts w:ascii="Arial" w:hAnsi="Arial" w:cs="Arial"/>
          <w:i/>
          <w:sz w:val="24"/>
          <w:szCs w:val="24"/>
          <w:lang w:val="ro-RO"/>
        </w:rPr>
      </w:pPr>
      <w:r w:rsidRPr="00D572F6">
        <w:rPr>
          <w:rFonts w:ascii="Arial" w:hAnsi="Arial" w:cs="Arial"/>
          <w:b/>
          <w:i/>
          <w:sz w:val="24"/>
          <w:szCs w:val="24"/>
          <w:lang w:val="ro-RO"/>
        </w:rPr>
        <w:tab/>
      </w:r>
      <w:r w:rsidRPr="00D572F6">
        <w:rPr>
          <w:rFonts w:ascii="Arial" w:hAnsi="Arial" w:cs="Arial"/>
          <w:b/>
          <w:i/>
          <w:sz w:val="24"/>
          <w:szCs w:val="24"/>
          <w:lang w:val="ro-RO"/>
        </w:rPr>
        <w:tab/>
      </w:r>
      <w:r w:rsidRPr="00D572F6">
        <w:rPr>
          <w:rFonts w:ascii="Arial" w:hAnsi="Arial" w:cs="Arial"/>
          <w:b/>
          <w:i/>
          <w:sz w:val="24"/>
          <w:szCs w:val="24"/>
          <w:lang w:val="ro-RO"/>
        </w:rPr>
        <w:tab/>
      </w:r>
      <w:r w:rsidRPr="00D572F6">
        <w:rPr>
          <w:rFonts w:ascii="Arial" w:hAnsi="Arial" w:cs="Arial"/>
          <w:b/>
          <w:i/>
          <w:sz w:val="24"/>
          <w:szCs w:val="24"/>
          <w:lang w:val="ro-RO"/>
        </w:rPr>
        <w:tab/>
      </w:r>
      <w:r w:rsidRPr="00D572F6">
        <w:rPr>
          <w:rFonts w:ascii="Arial" w:hAnsi="Arial" w:cs="Arial"/>
          <w:b/>
          <w:i/>
          <w:sz w:val="24"/>
          <w:szCs w:val="24"/>
          <w:lang w:val="ro-RO"/>
        </w:rPr>
        <w:tab/>
      </w:r>
      <w:r w:rsidRPr="00D572F6">
        <w:rPr>
          <w:rFonts w:ascii="Arial" w:hAnsi="Arial" w:cs="Arial"/>
          <w:b/>
          <w:i/>
          <w:sz w:val="24"/>
          <w:szCs w:val="24"/>
          <w:lang w:val="ro-RO"/>
        </w:rPr>
        <w:tab/>
      </w:r>
      <w:r w:rsidRPr="00D572F6">
        <w:rPr>
          <w:rFonts w:ascii="Arial" w:hAnsi="Arial" w:cs="Arial"/>
          <w:b/>
          <w:i/>
          <w:sz w:val="24"/>
          <w:szCs w:val="24"/>
          <w:lang w:val="ro-RO"/>
        </w:rPr>
        <w:tab/>
      </w:r>
      <w:r w:rsidRPr="00D572F6">
        <w:rPr>
          <w:rFonts w:ascii="Arial" w:hAnsi="Arial" w:cs="Arial"/>
          <w:b/>
          <w:i/>
          <w:sz w:val="24"/>
          <w:szCs w:val="24"/>
          <w:lang w:val="ro-RO"/>
        </w:rPr>
        <w:tab/>
        <w:t xml:space="preserve">             </w:t>
      </w:r>
      <w:r w:rsidRPr="00D572F6">
        <w:rPr>
          <w:rFonts w:ascii="Arial" w:hAnsi="Arial" w:cs="Arial"/>
          <w:b/>
          <w:i/>
          <w:sz w:val="24"/>
          <w:szCs w:val="24"/>
          <w:lang w:val="ro-RO"/>
        </w:rPr>
        <w:tab/>
      </w:r>
    </w:p>
    <w:tbl>
      <w:tblPr>
        <w:tblW w:w="10518" w:type="dxa"/>
        <w:jc w:val="center"/>
        <w:tblCellSpacing w:w="20" w:type="dxa"/>
        <w:tblInd w:w="32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67"/>
        <w:gridCol w:w="1303"/>
        <w:gridCol w:w="820"/>
        <w:gridCol w:w="820"/>
        <w:gridCol w:w="820"/>
        <w:gridCol w:w="820"/>
        <w:gridCol w:w="887"/>
        <w:gridCol w:w="887"/>
        <w:gridCol w:w="900"/>
        <w:gridCol w:w="887"/>
        <w:gridCol w:w="907"/>
      </w:tblGrid>
      <w:tr w:rsidR="00623546" w:rsidRPr="00986548" w:rsidTr="000464DA">
        <w:trPr>
          <w:gridAfter w:val="9"/>
          <w:wAfter w:w="7196" w:type="dxa"/>
          <w:trHeight w:val="276"/>
          <w:tblCellSpacing w:w="20" w:type="dxa"/>
          <w:jc w:val="center"/>
        </w:trPr>
        <w:tc>
          <w:tcPr>
            <w:tcW w:w="1407" w:type="dxa"/>
            <w:vMerge w:val="restart"/>
            <w:shd w:val="clear" w:color="auto" w:fill="FFFFCC"/>
            <w:vAlign w:val="center"/>
          </w:tcPr>
          <w:p w:rsidR="00623546" w:rsidRPr="00986548" w:rsidRDefault="00623546" w:rsidP="00DF0915">
            <w:pPr>
              <w:jc w:val="center"/>
              <w:rPr>
                <w:rFonts w:ascii="Arial" w:hAnsi="Arial" w:cs="Arial"/>
                <w:b/>
                <w:sz w:val="24"/>
                <w:szCs w:val="24"/>
              </w:rPr>
            </w:pPr>
            <w:r w:rsidRPr="00986548">
              <w:rPr>
                <w:rFonts w:ascii="Arial" w:hAnsi="Arial" w:cs="Arial"/>
                <w:b/>
                <w:sz w:val="24"/>
                <w:szCs w:val="24"/>
              </w:rPr>
              <w:t>POLUANT</w:t>
            </w:r>
            <w:r w:rsidR="000464DA">
              <w:rPr>
                <w:rFonts w:ascii="Arial" w:hAnsi="Arial" w:cs="Arial"/>
                <w:b/>
                <w:sz w:val="24"/>
                <w:szCs w:val="24"/>
              </w:rPr>
              <w:t xml:space="preserve">   </w:t>
            </w:r>
          </w:p>
        </w:tc>
        <w:tc>
          <w:tcPr>
            <w:tcW w:w="1755" w:type="dxa"/>
            <w:vMerge w:val="restart"/>
            <w:shd w:val="clear" w:color="auto" w:fill="FFFFCC"/>
            <w:vAlign w:val="center"/>
          </w:tcPr>
          <w:p w:rsidR="00623546" w:rsidRPr="00986548" w:rsidRDefault="00623546" w:rsidP="00DF0915">
            <w:pPr>
              <w:jc w:val="center"/>
              <w:rPr>
                <w:rFonts w:ascii="Arial" w:hAnsi="Arial" w:cs="Arial"/>
                <w:b/>
                <w:sz w:val="24"/>
                <w:szCs w:val="24"/>
              </w:rPr>
            </w:pPr>
            <w:r w:rsidRPr="00986548">
              <w:rPr>
                <w:rFonts w:ascii="Arial" w:hAnsi="Arial" w:cs="Arial"/>
                <w:b/>
                <w:sz w:val="24"/>
                <w:szCs w:val="24"/>
              </w:rPr>
              <w:t>Tip statie</w:t>
            </w:r>
          </w:p>
        </w:tc>
      </w:tr>
      <w:tr w:rsidR="00623546" w:rsidRPr="00986548" w:rsidTr="000464DA">
        <w:trPr>
          <w:tblCellSpacing w:w="20" w:type="dxa"/>
          <w:jc w:val="center"/>
        </w:trPr>
        <w:tc>
          <w:tcPr>
            <w:tcW w:w="1407" w:type="dxa"/>
            <w:vMerge/>
            <w:shd w:val="clear" w:color="auto" w:fill="FFFFCC"/>
            <w:vAlign w:val="center"/>
          </w:tcPr>
          <w:p w:rsidR="00623546" w:rsidRPr="00986548" w:rsidRDefault="00623546" w:rsidP="00DF0915">
            <w:pPr>
              <w:jc w:val="center"/>
              <w:rPr>
                <w:rFonts w:ascii="Arial" w:hAnsi="Arial" w:cs="Arial"/>
                <w:sz w:val="24"/>
                <w:szCs w:val="24"/>
              </w:rPr>
            </w:pPr>
          </w:p>
        </w:tc>
        <w:tc>
          <w:tcPr>
            <w:tcW w:w="1755" w:type="dxa"/>
            <w:vMerge/>
            <w:shd w:val="clear" w:color="auto" w:fill="FFFFCC"/>
            <w:vAlign w:val="center"/>
          </w:tcPr>
          <w:p w:rsidR="00623546" w:rsidRPr="00986548" w:rsidRDefault="00623546" w:rsidP="00DF0915">
            <w:pPr>
              <w:jc w:val="center"/>
              <w:rPr>
                <w:rFonts w:ascii="Arial" w:hAnsi="Arial" w:cs="Arial"/>
                <w:sz w:val="24"/>
                <w:szCs w:val="24"/>
              </w:rPr>
            </w:pPr>
          </w:p>
        </w:tc>
        <w:tc>
          <w:tcPr>
            <w:tcW w:w="272" w:type="dxa"/>
            <w:shd w:val="clear" w:color="auto" w:fill="FFFFCC"/>
            <w:vAlign w:val="center"/>
          </w:tcPr>
          <w:p w:rsidR="00623546" w:rsidRPr="00366908" w:rsidRDefault="00623546" w:rsidP="00DF0915">
            <w:pPr>
              <w:jc w:val="center"/>
              <w:rPr>
                <w:rFonts w:ascii="Arial" w:hAnsi="Arial" w:cs="Arial"/>
                <w:sz w:val="24"/>
                <w:szCs w:val="24"/>
              </w:rPr>
            </w:pPr>
            <w:r w:rsidRPr="00366908">
              <w:rPr>
                <w:rFonts w:ascii="Arial" w:hAnsi="Arial" w:cs="Arial"/>
                <w:sz w:val="24"/>
                <w:szCs w:val="24"/>
              </w:rPr>
              <w:t>2008</w:t>
            </w:r>
          </w:p>
        </w:tc>
        <w:tc>
          <w:tcPr>
            <w:tcW w:w="780" w:type="dxa"/>
            <w:shd w:val="clear" w:color="auto" w:fill="FFFFCC"/>
            <w:vAlign w:val="center"/>
          </w:tcPr>
          <w:p w:rsidR="00623546" w:rsidRPr="00366908" w:rsidRDefault="00623546" w:rsidP="00DF0915">
            <w:pPr>
              <w:jc w:val="center"/>
              <w:rPr>
                <w:rFonts w:ascii="Arial" w:hAnsi="Arial" w:cs="Arial"/>
                <w:sz w:val="24"/>
                <w:szCs w:val="24"/>
              </w:rPr>
            </w:pPr>
            <w:r w:rsidRPr="00366908">
              <w:rPr>
                <w:rFonts w:ascii="Arial" w:hAnsi="Arial" w:cs="Arial"/>
                <w:sz w:val="24"/>
                <w:szCs w:val="24"/>
              </w:rPr>
              <w:t>2009</w:t>
            </w:r>
          </w:p>
        </w:tc>
        <w:tc>
          <w:tcPr>
            <w:tcW w:w="780" w:type="dxa"/>
            <w:tcBorders>
              <w:right w:val="outset" w:sz="6" w:space="0" w:color="auto"/>
            </w:tcBorders>
            <w:shd w:val="clear" w:color="auto" w:fill="FFFFCC"/>
            <w:vAlign w:val="center"/>
          </w:tcPr>
          <w:p w:rsidR="00623546" w:rsidRPr="00366908" w:rsidRDefault="00623546" w:rsidP="00DF0915">
            <w:pPr>
              <w:jc w:val="center"/>
              <w:rPr>
                <w:rFonts w:ascii="Arial" w:hAnsi="Arial" w:cs="Arial"/>
                <w:sz w:val="24"/>
                <w:szCs w:val="24"/>
              </w:rPr>
            </w:pPr>
            <w:r w:rsidRPr="00366908">
              <w:rPr>
                <w:rFonts w:ascii="Arial" w:hAnsi="Arial" w:cs="Arial"/>
                <w:sz w:val="24"/>
                <w:szCs w:val="24"/>
              </w:rPr>
              <w:t>2010</w:t>
            </w:r>
          </w:p>
        </w:tc>
        <w:tc>
          <w:tcPr>
            <w:tcW w:w="786" w:type="dxa"/>
            <w:tcBorders>
              <w:left w:val="outset" w:sz="6" w:space="0" w:color="auto"/>
              <w:right w:val="outset" w:sz="6" w:space="0" w:color="auto"/>
            </w:tcBorders>
            <w:shd w:val="clear" w:color="auto" w:fill="FFFFCC"/>
            <w:vAlign w:val="center"/>
          </w:tcPr>
          <w:p w:rsidR="00623546" w:rsidRPr="00366908" w:rsidRDefault="00623546" w:rsidP="00DF0915">
            <w:pPr>
              <w:jc w:val="center"/>
              <w:rPr>
                <w:rFonts w:ascii="Arial" w:hAnsi="Arial" w:cs="Arial"/>
                <w:sz w:val="24"/>
                <w:szCs w:val="24"/>
              </w:rPr>
            </w:pPr>
            <w:r w:rsidRPr="00366908">
              <w:rPr>
                <w:rFonts w:ascii="Arial" w:hAnsi="Arial" w:cs="Arial"/>
                <w:sz w:val="24"/>
                <w:szCs w:val="24"/>
              </w:rPr>
              <w:t>2011</w:t>
            </w:r>
          </w:p>
        </w:tc>
        <w:tc>
          <w:tcPr>
            <w:tcW w:w="847" w:type="dxa"/>
            <w:tcBorders>
              <w:left w:val="outset" w:sz="6" w:space="0" w:color="auto"/>
            </w:tcBorders>
            <w:shd w:val="clear" w:color="auto" w:fill="FFFFCC"/>
            <w:vAlign w:val="center"/>
          </w:tcPr>
          <w:p w:rsidR="00623546" w:rsidRPr="00366908" w:rsidRDefault="00623546" w:rsidP="00DF0915">
            <w:pPr>
              <w:jc w:val="center"/>
              <w:rPr>
                <w:rFonts w:ascii="Arial" w:hAnsi="Arial" w:cs="Arial"/>
                <w:sz w:val="24"/>
                <w:szCs w:val="24"/>
              </w:rPr>
            </w:pPr>
            <w:r w:rsidRPr="00366908">
              <w:rPr>
                <w:rFonts w:ascii="Arial" w:hAnsi="Arial" w:cs="Arial"/>
                <w:sz w:val="24"/>
                <w:szCs w:val="24"/>
              </w:rPr>
              <w:t>2012</w:t>
            </w:r>
          </w:p>
        </w:tc>
        <w:tc>
          <w:tcPr>
            <w:tcW w:w="847" w:type="dxa"/>
            <w:tcBorders>
              <w:left w:val="outset" w:sz="6" w:space="0" w:color="auto"/>
            </w:tcBorders>
            <w:shd w:val="clear" w:color="auto" w:fill="FFFFCC"/>
          </w:tcPr>
          <w:p w:rsidR="00623546" w:rsidRPr="00366908" w:rsidRDefault="00623546" w:rsidP="00DF0915">
            <w:pPr>
              <w:jc w:val="center"/>
              <w:rPr>
                <w:rFonts w:ascii="Arial" w:hAnsi="Arial" w:cs="Arial"/>
                <w:sz w:val="24"/>
                <w:szCs w:val="24"/>
              </w:rPr>
            </w:pPr>
            <w:r w:rsidRPr="00366908">
              <w:rPr>
                <w:rFonts w:ascii="Arial" w:hAnsi="Arial" w:cs="Arial"/>
                <w:sz w:val="24"/>
                <w:szCs w:val="24"/>
              </w:rPr>
              <w:t>2013</w:t>
            </w:r>
          </w:p>
        </w:tc>
        <w:tc>
          <w:tcPr>
            <w:tcW w:w="860" w:type="dxa"/>
            <w:tcBorders>
              <w:left w:val="outset" w:sz="6" w:space="0" w:color="auto"/>
              <w:right w:val="outset" w:sz="6" w:space="0" w:color="auto"/>
            </w:tcBorders>
            <w:shd w:val="clear" w:color="auto" w:fill="FFFFCC"/>
          </w:tcPr>
          <w:p w:rsidR="00623546" w:rsidRPr="00366908" w:rsidRDefault="00623546" w:rsidP="00DF0915">
            <w:pPr>
              <w:jc w:val="center"/>
              <w:rPr>
                <w:rFonts w:ascii="Arial" w:hAnsi="Arial" w:cs="Arial"/>
                <w:sz w:val="24"/>
                <w:szCs w:val="24"/>
              </w:rPr>
            </w:pPr>
            <w:r>
              <w:rPr>
                <w:rFonts w:ascii="Arial" w:hAnsi="Arial" w:cs="Arial"/>
                <w:sz w:val="24"/>
                <w:szCs w:val="24"/>
              </w:rPr>
              <w:t>2014-2015</w:t>
            </w:r>
          </w:p>
        </w:tc>
        <w:tc>
          <w:tcPr>
            <w:tcW w:w="847" w:type="dxa"/>
            <w:tcBorders>
              <w:left w:val="outset" w:sz="6" w:space="0" w:color="auto"/>
            </w:tcBorders>
            <w:shd w:val="clear" w:color="auto" w:fill="FFFFCC"/>
          </w:tcPr>
          <w:p w:rsidR="00623546" w:rsidRDefault="00623546" w:rsidP="00DF0915">
            <w:pPr>
              <w:jc w:val="center"/>
              <w:rPr>
                <w:rFonts w:ascii="Arial" w:hAnsi="Arial" w:cs="Arial"/>
                <w:sz w:val="24"/>
                <w:szCs w:val="24"/>
              </w:rPr>
            </w:pPr>
            <w:r>
              <w:rPr>
                <w:rFonts w:ascii="Arial" w:hAnsi="Arial" w:cs="Arial"/>
                <w:sz w:val="24"/>
                <w:szCs w:val="24"/>
              </w:rPr>
              <w:t>2016</w:t>
            </w:r>
          </w:p>
        </w:tc>
        <w:tc>
          <w:tcPr>
            <w:tcW w:w="857" w:type="dxa"/>
            <w:tcBorders>
              <w:left w:val="outset" w:sz="6" w:space="0" w:color="auto"/>
            </w:tcBorders>
            <w:shd w:val="clear" w:color="auto" w:fill="FFFFCC"/>
          </w:tcPr>
          <w:p w:rsidR="00623546" w:rsidRDefault="00623546" w:rsidP="00DF0915">
            <w:pPr>
              <w:jc w:val="center"/>
              <w:rPr>
                <w:rFonts w:ascii="Arial" w:hAnsi="Arial" w:cs="Arial"/>
                <w:sz w:val="24"/>
                <w:szCs w:val="24"/>
              </w:rPr>
            </w:pPr>
            <w:r>
              <w:rPr>
                <w:rFonts w:ascii="Arial" w:hAnsi="Arial" w:cs="Arial"/>
                <w:sz w:val="24"/>
                <w:szCs w:val="24"/>
              </w:rPr>
              <w:t>2017</w:t>
            </w:r>
          </w:p>
        </w:tc>
      </w:tr>
      <w:tr w:rsidR="00623546" w:rsidRPr="00986548" w:rsidTr="000464DA">
        <w:trPr>
          <w:tblCellSpacing w:w="20" w:type="dxa"/>
          <w:jc w:val="center"/>
        </w:trPr>
        <w:tc>
          <w:tcPr>
            <w:tcW w:w="1407" w:type="dxa"/>
            <w:vMerge w:val="restart"/>
            <w:shd w:val="clear" w:color="auto" w:fill="auto"/>
            <w:vAlign w:val="center"/>
          </w:tcPr>
          <w:p w:rsidR="00623546" w:rsidRPr="00986548" w:rsidRDefault="00623546" w:rsidP="00DF0915">
            <w:pPr>
              <w:jc w:val="center"/>
              <w:rPr>
                <w:rFonts w:ascii="Arial" w:hAnsi="Arial" w:cs="Arial"/>
                <w:sz w:val="24"/>
                <w:szCs w:val="24"/>
              </w:rPr>
            </w:pPr>
            <w:r w:rsidRPr="00986548">
              <w:rPr>
                <w:rFonts w:ascii="Arial" w:hAnsi="Arial" w:cs="Arial"/>
                <w:sz w:val="24"/>
                <w:szCs w:val="24"/>
              </w:rPr>
              <w:t>NO</w:t>
            </w:r>
            <w:r w:rsidRPr="00986548">
              <w:rPr>
                <w:rFonts w:ascii="Arial" w:hAnsi="Arial" w:cs="Arial"/>
                <w:sz w:val="24"/>
                <w:szCs w:val="24"/>
                <w:vertAlign w:val="subscript"/>
              </w:rPr>
              <w:t xml:space="preserve">2 </w:t>
            </w:r>
            <w:r w:rsidRPr="00986548">
              <w:rPr>
                <w:rFonts w:ascii="Arial" w:hAnsi="Arial" w:cs="Arial"/>
                <w:sz w:val="24"/>
                <w:szCs w:val="24"/>
              </w:rPr>
              <w:t>(μg/mc)</w:t>
            </w:r>
          </w:p>
        </w:tc>
        <w:tc>
          <w:tcPr>
            <w:tcW w:w="1755" w:type="dxa"/>
            <w:shd w:val="clear" w:color="auto" w:fill="auto"/>
          </w:tcPr>
          <w:p w:rsidR="00623546" w:rsidRPr="00986548" w:rsidRDefault="00623546" w:rsidP="00DF0915">
            <w:pPr>
              <w:jc w:val="center"/>
              <w:rPr>
                <w:rFonts w:ascii="Arial" w:hAnsi="Arial" w:cs="Arial"/>
                <w:sz w:val="24"/>
                <w:szCs w:val="24"/>
              </w:rPr>
            </w:pPr>
            <w:r w:rsidRPr="00986548">
              <w:rPr>
                <w:rFonts w:ascii="Arial" w:hAnsi="Arial" w:cs="Arial"/>
                <w:sz w:val="24"/>
                <w:szCs w:val="24"/>
              </w:rPr>
              <w:t>CT1-Trafic</w:t>
            </w:r>
          </w:p>
        </w:tc>
        <w:tc>
          <w:tcPr>
            <w:tcW w:w="272" w:type="dxa"/>
            <w:shd w:val="clear" w:color="auto" w:fill="auto"/>
            <w:vAlign w:val="center"/>
          </w:tcPr>
          <w:p w:rsidR="00623546" w:rsidRPr="00986548" w:rsidRDefault="00623546" w:rsidP="00CA51FD">
            <w:pPr>
              <w:jc w:val="center"/>
              <w:rPr>
                <w:rFonts w:ascii="Arial" w:hAnsi="Arial" w:cs="Arial"/>
                <w:sz w:val="24"/>
                <w:szCs w:val="24"/>
              </w:rPr>
            </w:pPr>
            <w:r w:rsidRPr="00BF26BA">
              <w:rPr>
                <w:rFonts w:ascii="Arial" w:hAnsi="Arial" w:cs="Arial"/>
                <w:sz w:val="24"/>
                <w:szCs w:val="24"/>
              </w:rPr>
              <w:t>54</w:t>
            </w:r>
          </w:p>
        </w:tc>
        <w:tc>
          <w:tcPr>
            <w:tcW w:w="780" w:type="dxa"/>
            <w:shd w:val="clear" w:color="auto" w:fill="auto"/>
            <w:vAlign w:val="center"/>
          </w:tcPr>
          <w:p w:rsidR="00623546" w:rsidRPr="00986548" w:rsidRDefault="00623546" w:rsidP="00CA51FD">
            <w:pPr>
              <w:jc w:val="center"/>
              <w:rPr>
                <w:rFonts w:ascii="Arial" w:hAnsi="Arial" w:cs="Arial"/>
                <w:sz w:val="24"/>
                <w:szCs w:val="24"/>
              </w:rPr>
            </w:pPr>
            <w:r w:rsidRPr="00986548">
              <w:rPr>
                <w:rFonts w:ascii="Arial" w:hAnsi="Arial" w:cs="Arial"/>
                <w:sz w:val="24"/>
                <w:szCs w:val="24"/>
              </w:rPr>
              <w:t>37</w:t>
            </w:r>
          </w:p>
        </w:tc>
        <w:tc>
          <w:tcPr>
            <w:tcW w:w="780" w:type="dxa"/>
            <w:tcBorders>
              <w:right w:val="outset" w:sz="6" w:space="0" w:color="auto"/>
            </w:tcBorders>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6" w:type="dxa"/>
            <w:tcBorders>
              <w:left w:val="outset" w:sz="6" w:space="0" w:color="auto"/>
              <w:righ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39,33</w:t>
            </w:r>
          </w:p>
        </w:tc>
        <w:tc>
          <w:tcPr>
            <w:tcW w:w="847" w:type="dxa"/>
            <w:tcBorders>
              <w:left w:val="outset" w:sz="6" w:space="0" w:color="auto"/>
            </w:tcBorders>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60" w:type="dxa"/>
            <w:tcBorders>
              <w:left w:val="outset" w:sz="6" w:space="0" w:color="auto"/>
              <w:right w:val="outset" w:sz="6" w:space="0" w:color="auto"/>
            </w:tcBorders>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F70293" w:rsidRDefault="00623546" w:rsidP="005623F2">
            <w:pPr>
              <w:jc w:val="center"/>
              <w:rPr>
                <w:rFonts w:ascii="Arial" w:hAnsi="Arial" w:cs="Arial"/>
                <w:sz w:val="24"/>
                <w:szCs w:val="24"/>
              </w:rPr>
            </w:pPr>
            <w:r>
              <w:rPr>
                <w:rFonts w:ascii="Arial" w:hAnsi="Arial" w:cs="Arial"/>
                <w:sz w:val="24"/>
                <w:szCs w:val="24"/>
              </w:rPr>
              <w:t>34,78</w:t>
            </w:r>
          </w:p>
        </w:tc>
        <w:tc>
          <w:tcPr>
            <w:tcW w:w="857" w:type="dxa"/>
            <w:tcBorders>
              <w:left w:val="outset" w:sz="6" w:space="0" w:color="auto"/>
            </w:tcBorders>
          </w:tcPr>
          <w:p w:rsidR="00623546" w:rsidRDefault="00623546" w:rsidP="005623F2">
            <w:pPr>
              <w:rPr>
                <w:rFonts w:ascii="Arial" w:hAnsi="Arial" w:cs="Arial"/>
                <w:sz w:val="24"/>
                <w:szCs w:val="24"/>
              </w:rPr>
            </w:pPr>
            <w:r>
              <w:rPr>
                <w:rFonts w:ascii="Arial" w:hAnsi="Arial" w:cs="Arial"/>
                <w:sz w:val="24"/>
                <w:szCs w:val="24"/>
              </w:rPr>
              <w:t>38,59</w:t>
            </w:r>
          </w:p>
        </w:tc>
      </w:tr>
      <w:tr w:rsidR="00623546" w:rsidRPr="00986548" w:rsidTr="000464DA">
        <w:trPr>
          <w:tblCellSpacing w:w="20" w:type="dxa"/>
          <w:jc w:val="center"/>
        </w:trPr>
        <w:tc>
          <w:tcPr>
            <w:tcW w:w="1407" w:type="dxa"/>
            <w:vMerge/>
            <w:shd w:val="clear" w:color="auto" w:fill="auto"/>
          </w:tcPr>
          <w:p w:rsidR="00623546" w:rsidRPr="00986548" w:rsidRDefault="00623546" w:rsidP="00DF0915">
            <w:pPr>
              <w:jc w:val="center"/>
              <w:rPr>
                <w:rFonts w:ascii="Arial" w:hAnsi="Arial" w:cs="Arial"/>
                <w:sz w:val="24"/>
                <w:szCs w:val="24"/>
              </w:rPr>
            </w:pPr>
          </w:p>
        </w:tc>
        <w:tc>
          <w:tcPr>
            <w:tcW w:w="1755" w:type="dxa"/>
            <w:shd w:val="clear" w:color="auto" w:fill="auto"/>
          </w:tcPr>
          <w:p w:rsidR="00623546" w:rsidRPr="00986548" w:rsidRDefault="00623546" w:rsidP="00DF0915">
            <w:pPr>
              <w:jc w:val="center"/>
              <w:rPr>
                <w:rFonts w:ascii="Arial" w:hAnsi="Arial" w:cs="Arial"/>
                <w:sz w:val="24"/>
                <w:szCs w:val="24"/>
              </w:rPr>
            </w:pPr>
            <w:r w:rsidRPr="00986548">
              <w:rPr>
                <w:rFonts w:ascii="Arial" w:hAnsi="Arial" w:cs="Arial"/>
                <w:sz w:val="24"/>
                <w:szCs w:val="24"/>
              </w:rPr>
              <w:t>CT2-Fond urban</w:t>
            </w:r>
          </w:p>
        </w:tc>
        <w:tc>
          <w:tcPr>
            <w:tcW w:w="272" w:type="dxa"/>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623546" w:rsidRPr="00986548" w:rsidRDefault="00623546" w:rsidP="00CA51FD">
            <w:pPr>
              <w:jc w:val="center"/>
              <w:rPr>
                <w:rFonts w:ascii="Arial" w:hAnsi="Arial" w:cs="Arial"/>
                <w:sz w:val="24"/>
                <w:szCs w:val="24"/>
              </w:rPr>
            </w:pPr>
            <w:r w:rsidRPr="00BF26BA">
              <w:rPr>
                <w:rFonts w:ascii="Arial" w:hAnsi="Arial" w:cs="Arial"/>
                <w:sz w:val="24"/>
                <w:szCs w:val="24"/>
              </w:rPr>
              <w:t>25</w:t>
            </w:r>
          </w:p>
        </w:tc>
        <w:tc>
          <w:tcPr>
            <w:tcW w:w="780" w:type="dxa"/>
            <w:tcBorders>
              <w:right w:val="outset" w:sz="6" w:space="0" w:color="auto"/>
            </w:tcBorders>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6" w:type="dxa"/>
            <w:tcBorders>
              <w:left w:val="outset" w:sz="6" w:space="0" w:color="auto"/>
              <w:righ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60" w:type="dxa"/>
            <w:tcBorders>
              <w:left w:val="outset" w:sz="6" w:space="0" w:color="auto"/>
              <w:right w:val="outset" w:sz="6" w:space="0" w:color="auto"/>
            </w:tcBorders>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F70293" w:rsidRDefault="00623546" w:rsidP="00F23BDB">
            <w:pPr>
              <w:jc w:val="center"/>
              <w:rPr>
                <w:rFonts w:ascii="Arial" w:hAnsi="Arial" w:cs="Arial"/>
                <w:sz w:val="24"/>
                <w:szCs w:val="24"/>
              </w:rPr>
            </w:pPr>
            <w:r w:rsidRPr="00F70293">
              <w:rPr>
                <w:rFonts w:ascii="Arial" w:hAnsi="Arial" w:cs="Arial"/>
                <w:sz w:val="24"/>
                <w:szCs w:val="24"/>
              </w:rPr>
              <w:t>***</w:t>
            </w:r>
          </w:p>
        </w:tc>
        <w:tc>
          <w:tcPr>
            <w:tcW w:w="857" w:type="dxa"/>
            <w:tcBorders>
              <w:left w:val="outset" w:sz="6" w:space="0" w:color="auto"/>
            </w:tcBorders>
          </w:tcPr>
          <w:p w:rsidR="00623546" w:rsidRPr="00F70293" w:rsidRDefault="00623546" w:rsidP="00F23BDB">
            <w:pPr>
              <w:jc w:val="center"/>
              <w:rPr>
                <w:rFonts w:ascii="Arial" w:hAnsi="Arial" w:cs="Arial"/>
                <w:sz w:val="24"/>
                <w:szCs w:val="24"/>
              </w:rPr>
            </w:pPr>
            <w:r>
              <w:rPr>
                <w:rFonts w:ascii="Arial" w:hAnsi="Arial" w:cs="Arial"/>
                <w:sz w:val="24"/>
                <w:szCs w:val="24"/>
              </w:rPr>
              <w:t>23,11</w:t>
            </w:r>
          </w:p>
        </w:tc>
      </w:tr>
      <w:tr w:rsidR="00623546" w:rsidRPr="00986548" w:rsidTr="000464DA">
        <w:trPr>
          <w:tblCellSpacing w:w="20" w:type="dxa"/>
          <w:jc w:val="center"/>
        </w:trPr>
        <w:tc>
          <w:tcPr>
            <w:tcW w:w="1407" w:type="dxa"/>
            <w:vMerge/>
            <w:shd w:val="clear" w:color="auto" w:fill="auto"/>
          </w:tcPr>
          <w:p w:rsidR="00623546" w:rsidRPr="00986548" w:rsidRDefault="00623546" w:rsidP="00DF0915">
            <w:pPr>
              <w:jc w:val="center"/>
              <w:rPr>
                <w:rFonts w:ascii="Arial" w:hAnsi="Arial" w:cs="Arial"/>
                <w:sz w:val="24"/>
                <w:szCs w:val="24"/>
              </w:rPr>
            </w:pPr>
          </w:p>
        </w:tc>
        <w:tc>
          <w:tcPr>
            <w:tcW w:w="1755" w:type="dxa"/>
            <w:shd w:val="clear" w:color="auto" w:fill="auto"/>
          </w:tcPr>
          <w:p w:rsidR="00623546" w:rsidRPr="00986548" w:rsidRDefault="00623546" w:rsidP="00DF0915">
            <w:pPr>
              <w:jc w:val="center"/>
              <w:rPr>
                <w:rFonts w:ascii="Arial" w:hAnsi="Arial" w:cs="Arial"/>
                <w:sz w:val="24"/>
                <w:szCs w:val="24"/>
              </w:rPr>
            </w:pPr>
            <w:r w:rsidRPr="00986548">
              <w:rPr>
                <w:rFonts w:ascii="Arial" w:hAnsi="Arial" w:cs="Arial"/>
                <w:sz w:val="24"/>
                <w:szCs w:val="24"/>
              </w:rPr>
              <w:t>CT3-Fond suburban</w:t>
            </w:r>
          </w:p>
        </w:tc>
        <w:tc>
          <w:tcPr>
            <w:tcW w:w="272" w:type="dxa"/>
            <w:shd w:val="clear" w:color="auto" w:fill="auto"/>
            <w:vAlign w:val="center"/>
          </w:tcPr>
          <w:p w:rsidR="00623546" w:rsidRPr="00986548" w:rsidRDefault="00623546" w:rsidP="00CA51FD">
            <w:pPr>
              <w:jc w:val="center"/>
              <w:rPr>
                <w:rFonts w:ascii="Arial" w:hAnsi="Arial" w:cs="Arial"/>
                <w:sz w:val="24"/>
                <w:szCs w:val="24"/>
              </w:rPr>
            </w:pPr>
            <w:r w:rsidRPr="00986548">
              <w:rPr>
                <w:rFonts w:ascii="Arial" w:hAnsi="Arial" w:cs="Arial"/>
                <w:sz w:val="24"/>
                <w:szCs w:val="24"/>
              </w:rPr>
              <w:t>14</w:t>
            </w:r>
          </w:p>
        </w:tc>
        <w:tc>
          <w:tcPr>
            <w:tcW w:w="780" w:type="dxa"/>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0" w:type="dxa"/>
            <w:tcBorders>
              <w:right w:val="outset" w:sz="6" w:space="0" w:color="auto"/>
            </w:tcBorders>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6" w:type="dxa"/>
            <w:tcBorders>
              <w:left w:val="outset" w:sz="6" w:space="0" w:color="auto"/>
              <w:righ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60" w:type="dxa"/>
            <w:tcBorders>
              <w:left w:val="outset" w:sz="6" w:space="0" w:color="auto"/>
              <w:right w:val="outset" w:sz="6" w:space="0" w:color="auto"/>
            </w:tcBorders>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F70293" w:rsidRDefault="00623546" w:rsidP="00F23BDB">
            <w:pPr>
              <w:jc w:val="center"/>
              <w:rPr>
                <w:rFonts w:ascii="Arial" w:hAnsi="Arial" w:cs="Arial"/>
                <w:sz w:val="24"/>
                <w:szCs w:val="24"/>
              </w:rPr>
            </w:pPr>
            <w:r>
              <w:rPr>
                <w:rFonts w:ascii="Arial" w:hAnsi="Arial" w:cs="Arial"/>
                <w:sz w:val="24"/>
                <w:szCs w:val="24"/>
              </w:rPr>
              <w:t>***</w:t>
            </w:r>
          </w:p>
        </w:tc>
        <w:tc>
          <w:tcPr>
            <w:tcW w:w="857" w:type="dxa"/>
            <w:tcBorders>
              <w:left w:val="outset" w:sz="6" w:space="0" w:color="auto"/>
            </w:tcBorders>
          </w:tcPr>
          <w:p w:rsidR="00623546" w:rsidRDefault="00623546" w:rsidP="00F23BDB">
            <w:pPr>
              <w:jc w:val="center"/>
              <w:rPr>
                <w:rFonts w:ascii="Arial" w:hAnsi="Arial" w:cs="Arial"/>
                <w:sz w:val="24"/>
                <w:szCs w:val="24"/>
              </w:rPr>
            </w:pPr>
            <w:r>
              <w:rPr>
                <w:rFonts w:ascii="Arial" w:hAnsi="Arial" w:cs="Arial"/>
                <w:sz w:val="24"/>
                <w:szCs w:val="24"/>
              </w:rPr>
              <w:t>15,77</w:t>
            </w:r>
          </w:p>
        </w:tc>
      </w:tr>
      <w:tr w:rsidR="00623546" w:rsidRPr="00986548" w:rsidTr="000464DA">
        <w:trPr>
          <w:tblCellSpacing w:w="20" w:type="dxa"/>
          <w:jc w:val="center"/>
        </w:trPr>
        <w:tc>
          <w:tcPr>
            <w:tcW w:w="1407" w:type="dxa"/>
            <w:vMerge/>
            <w:shd w:val="clear" w:color="auto" w:fill="auto"/>
          </w:tcPr>
          <w:p w:rsidR="00623546" w:rsidRPr="00986548" w:rsidRDefault="00623546" w:rsidP="00DF0915">
            <w:pPr>
              <w:jc w:val="center"/>
              <w:rPr>
                <w:rFonts w:ascii="Arial" w:hAnsi="Arial" w:cs="Arial"/>
                <w:sz w:val="24"/>
                <w:szCs w:val="24"/>
              </w:rPr>
            </w:pPr>
          </w:p>
        </w:tc>
        <w:tc>
          <w:tcPr>
            <w:tcW w:w="1755" w:type="dxa"/>
            <w:shd w:val="clear" w:color="auto" w:fill="auto"/>
          </w:tcPr>
          <w:p w:rsidR="00623546" w:rsidRPr="00986548" w:rsidRDefault="00623546" w:rsidP="00DF0915">
            <w:pPr>
              <w:jc w:val="center"/>
              <w:rPr>
                <w:rFonts w:ascii="Arial" w:hAnsi="Arial" w:cs="Arial"/>
                <w:sz w:val="24"/>
                <w:szCs w:val="24"/>
              </w:rPr>
            </w:pPr>
            <w:r w:rsidRPr="00986548">
              <w:rPr>
                <w:rFonts w:ascii="Arial" w:hAnsi="Arial" w:cs="Arial"/>
                <w:sz w:val="24"/>
                <w:szCs w:val="24"/>
              </w:rPr>
              <w:t>CT4-Trafic</w:t>
            </w:r>
          </w:p>
        </w:tc>
        <w:tc>
          <w:tcPr>
            <w:tcW w:w="272" w:type="dxa"/>
            <w:shd w:val="clear" w:color="auto" w:fill="auto"/>
            <w:vAlign w:val="center"/>
          </w:tcPr>
          <w:p w:rsidR="00623546" w:rsidRPr="00986548" w:rsidRDefault="00623546" w:rsidP="00CA51FD">
            <w:pPr>
              <w:jc w:val="center"/>
              <w:rPr>
                <w:rFonts w:ascii="Arial" w:hAnsi="Arial" w:cs="Arial"/>
                <w:sz w:val="24"/>
                <w:szCs w:val="24"/>
              </w:rPr>
            </w:pPr>
            <w:r w:rsidRPr="00BF26BA">
              <w:rPr>
                <w:rFonts w:ascii="Arial" w:hAnsi="Arial" w:cs="Arial"/>
                <w:sz w:val="24"/>
                <w:szCs w:val="24"/>
              </w:rPr>
              <w:t>14</w:t>
            </w:r>
          </w:p>
        </w:tc>
        <w:tc>
          <w:tcPr>
            <w:tcW w:w="780" w:type="dxa"/>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17</w:t>
            </w:r>
          </w:p>
        </w:tc>
        <w:tc>
          <w:tcPr>
            <w:tcW w:w="780" w:type="dxa"/>
            <w:tcBorders>
              <w:right w:val="outset" w:sz="6" w:space="0" w:color="auto"/>
            </w:tcBorders>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6" w:type="dxa"/>
            <w:tcBorders>
              <w:left w:val="outset" w:sz="6" w:space="0" w:color="auto"/>
              <w:righ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986548" w:rsidRDefault="00623546" w:rsidP="00CA51FD">
            <w:pPr>
              <w:tabs>
                <w:tab w:val="center" w:pos="4680"/>
                <w:tab w:val="right" w:pos="9000"/>
              </w:tabs>
              <w:jc w:val="center"/>
              <w:rPr>
                <w:rFonts w:ascii="Arial" w:hAnsi="Arial" w:cs="Arial"/>
                <w:sz w:val="24"/>
                <w:szCs w:val="24"/>
              </w:rPr>
            </w:pPr>
            <w:r w:rsidRPr="00986548">
              <w:rPr>
                <w:rFonts w:ascii="Arial" w:hAnsi="Arial" w:cs="Arial"/>
                <w:sz w:val="24"/>
                <w:szCs w:val="24"/>
              </w:rPr>
              <w:t>22,25</w:t>
            </w:r>
          </w:p>
        </w:tc>
        <w:tc>
          <w:tcPr>
            <w:tcW w:w="860" w:type="dxa"/>
            <w:tcBorders>
              <w:left w:val="outset" w:sz="6" w:space="0" w:color="auto"/>
              <w:right w:val="outset" w:sz="6" w:space="0" w:color="auto"/>
            </w:tcBorders>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Default="00623546" w:rsidP="00F23BDB">
            <w:pPr>
              <w:jc w:val="center"/>
            </w:pPr>
            <w:r w:rsidRPr="003761B1">
              <w:rPr>
                <w:rFonts w:ascii="Arial" w:hAnsi="Arial" w:cs="Arial"/>
                <w:sz w:val="24"/>
                <w:szCs w:val="24"/>
              </w:rPr>
              <w:t>***</w:t>
            </w:r>
          </w:p>
        </w:tc>
        <w:tc>
          <w:tcPr>
            <w:tcW w:w="857" w:type="dxa"/>
            <w:tcBorders>
              <w:left w:val="outset" w:sz="6" w:space="0" w:color="auto"/>
            </w:tcBorders>
          </w:tcPr>
          <w:p w:rsidR="00623546" w:rsidRPr="003761B1" w:rsidRDefault="00623546" w:rsidP="00F23BDB">
            <w:pPr>
              <w:jc w:val="center"/>
              <w:rPr>
                <w:rFonts w:ascii="Arial" w:hAnsi="Arial" w:cs="Arial"/>
                <w:sz w:val="24"/>
                <w:szCs w:val="24"/>
              </w:rPr>
            </w:pPr>
            <w:r>
              <w:rPr>
                <w:rFonts w:ascii="Arial" w:hAnsi="Arial" w:cs="Arial"/>
                <w:sz w:val="24"/>
                <w:szCs w:val="24"/>
              </w:rPr>
              <w:t>16,18</w:t>
            </w:r>
          </w:p>
        </w:tc>
      </w:tr>
      <w:tr w:rsidR="00623546" w:rsidRPr="00986548" w:rsidTr="000464DA">
        <w:trPr>
          <w:tblCellSpacing w:w="20" w:type="dxa"/>
          <w:jc w:val="center"/>
        </w:trPr>
        <w:tc>
          <w:tcPr>
            <w:tcW w:w="1407" w:type="dxa"/>
            <w:vMerge/>
            <w:shd w:val="clear" w:color="auto" w:fill="auto"/>
          </w:tcPr>
          <w:p w:rsidR="00623546" w:rsidRPr="00986548" w:rsidRDefault="00623546" w:rsidP="00DF0915">
            <w:pPr>
              <w:jc w:val="center"/>
              <w:rPr>
                <w:rFonts w:ascii="Arial" w:hAnsi="Arial" w:cs="Arial"/>
                <w:sz w:val="24"/>
                <w:szCs w:val="24"/>
              </w:rPr>
            </w:pPr>
          </w:p>
        </w:tc>
        <w:tc>
          <w:tcPr>
            <w:tcW w:w="1755" w:type="dxa"/>
            <w:shd w:val="clear" w:color="auto" w:fill="auto"/>
          </w:tcPr>
          <w:p w:rsidR="00623546" w:rsidRPr="00986548" w:rsidRDefault="00623546" w:rsidP="00DF0915">
            <w:pPr>
              <w:jc w:val="center"/>
              <w:rPr>
                <w:rFonts w:ascii="Arial" w:hAnsi="Arial" w:cs="Arial"/>
                <w:sz w:val="24"/>
                <w:szCs w:val="24"/>
              </w:rPr>
            </w:pPr>
            <w:r w:rsidRPr="00986548">
              <w:rPr>
                <w:rFonts w:ascii="Arial" w:hAnsi="Arial" w:cs="Arial"/>
                <w:sz w:val="24"/>
                <w:szCs w:val="24"/>
              </w:rPr>
              <w:t>CT5-Industrial</w:t>
            </w:r>
          </w:p>
        </w:tc>
        <w:tc>
          <w:tcPr>
            <w:tcW w:w="272" w:type="dxa"/>
            <w:shd w:val="clear" w:color="auto" w:fill="auto"/>
            <w:vAlign w:val="center"/>
          </w:tcPr>
          <w:p w:rsidR="00623546" w:rsidRPr="00986548" w:rsidRDefault="00623546" w:rsidP="00CA51FD">
            <w:pPr>
              <w:jc w:val="center"/>
              <w:rPr>
                <w:rFonts w:ascii="Arial" w:hAnsi="Arial" w:cs="Arial"/>
                <w:sz w:val="24"/>
                <w:szCs w:val="24"/>
              </w:rPr>
            </w:pPr>
            <w:r w:rsidRPr="00986548">
              <w:rPr>
                <w:rFonts w:ascii="Arial" w:hAnsi="Arial" w:cs="Arial"/>
                <w:sz w:val="24"/>
                <w:szCs w:val="24"/>
              </w:rPr>
              <w:t>35</w:t>
            </w:r>
          </w:p>
        </w:tc>
        <w:tc>
          <w:tcPr>
            <w:tcW w:w="780" w:type="dxa"/>
            <w:shd w:val="clear" w:color="auto" w:fill="auto"/>
            <w:vAlign w:val="center"/>
          </w:tcPr>
          <w:p w:rsidR="00623546" w:rsidRPr="00986548" w:rsidRDefault="00623546" w:rsidP="00CA51FD">
            <w:pPr>
              <w:jc w:val="center"/>
              <w:rPr>
                <w:rFonts w:ascii="Arial" w:hAnsi="Arial" w:cs="Arial"/>
                <w:sz w:val="24"/>
                <w:szCs w:val="24"/>
              </w:rPr>
            </w:pPr>
            <w:r w:rsidRPr="00986548">
              <w:rPr>
                <w:rFonts w:ascii="Arial" w:hAnsi="Arial" w:cs="Arial"/>
                <w:sz w:val="24"/>
                <w:szCs w:val="24"/>
              </w:rPr>
              <w:t>27</w:t>
            </w:r>
          </w:p>
        </w:tc>
        <w:tc>
          <w:tcPr>
            <w:tcW w:w="780" w:type="dxa"/>
            <w:tcBorders>
              <w:right w:val="outset" w:sz="6" w:space="0" w:color="auto"/>
            </w:tcBorders>
            <w:shd w:val="clear" w:color="auto" w:fill="auto"/>
            <w:vAlign w:val="center"/>
          </w:tcPr>
          <w:p w:rsidR="00623546" w:rsidRPr="00986548" w:rsidRDefault="00623546" w:rsidP="00CA51FD">
            <w:pPr>
              <w:jc w:val="center"/>
              <w:rPr>
                <w:rFonts w:ascii="Arial" w:hAnsi="Arial" w:cs="Arial"/>
                <w:sz w:val="24"/>
                <w:szCs w:val="24"/>
              </w:rPr>
            </w:pPr>
            <w:r w:rsidRPr="00986548">
              <w:rPr>
                <w:rFonts w:ascii="Arial" w:hAnsi="Arial" w:cs="Arial"/>
                <w:sz w:val="24"/>
                <w:szCs w:val="24"/>
              </w:rPr>
              <w:t>27</w:t>
            </w:r>
          </w:p>
        </w:tc>
        <w:tc>
          <w:tcPr>
            <w:tcW w:w="786" w:type="dxa"/>
            <w:tcBorders>
              <w:left w:val="outset" w:sz="6" w:space="0" w:color="auto"/>
              <w:righ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60" w:type="dxa"/>
            <w:tcBorders>
              <w:left w:val="outset" w:sz="6" w:space="0" w:color="auto"/>
              <w:right w:val="outset" w:sz="6" w:space="0" w:color="auto"/>
            </w:tcBorders>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Default="00623546" w:rsidP="00F23BDB">
            <w:pPr>
              <w:jc w:val="center"/>
            </w:pPr>
            <w:r w:rsidRPr="003761B1">
              <w:rPr>
                <w:rFonts w:ascii="Arial" w:hAnsi="Arial" w:cs="Arial"/>
                <w:sz w:val="24"/>
                <w:szCs w:val="24"/>
              </w:rPr>
              <w:t>***</w:t>
            </w:r>
          </w:p>
        </w:tc>
        <w:tc>
          <w:tcPr>
            <w:tcW w:w="857" w:type="dxa"/>
            <w:tcBorders>
              <w:left w:val="outset" w:sz="6" w:space="0" w:color="auto"/>
            </w:tcBorders>
          </w:tcPr>
          <w:p w:rsidR="00623546" w:rsidRPr="003761B1" w:rsidRDefault="00623546" w:rsidP="00F23BDB">
            <w:pPr>
              <w:jc w:val="center"/>
              <w:rPr>
                <w:rFonts w:ascii="Arial" w:hAnsi="Arial" w:cs="Arial"/>
                <w:sz w:val="24"/>
                <w:szCs w:val="24"/>
              </w:rPr>
            </w:pPr>
            <w:r>
              <w:rPr>
                <w:rFonts w:ascii="Arial" w:hAnsi="Arial" w:cs="Arial"/>
                <w:sz w:val="24"/>
                <w:szCs w:val="24"/>
              </w:rPr>
              <w:t>19,55</w:t>
            </w:r>
          </w:p>
        </w:tc>
      </w:tr>
      <w:tr w:rsidR="00623546" w:rsidRPr="00986548" w:rsidTr="000464DA">
        <w:trPr>
          <w:tblCellSpacing w:w="20" w:type="dxa"/>
          <w:jc w:val="center"/>
        </w:trPr>
        <w:tc>
          <w:tcPr>
            <w:tcW w:w="1407" w:type="dxa"/>
            <w:vMerge/>
            <w:shd w:val="clear" w:color="auto" w:fill="auto"/>
          </w:tcPr>
          <w:p w:rsidR="00623546" w:rsidRPr="00986548" w:rsidRDefault="00623546" w:rsidP="00DF0915">
            <w:pPr>
              <w:jc w:val="center"/>
              <w:rPr>
                <w:rFonts w:ascii="Arial" w:hAnsi="Arial" w:cs="Arial"/>
                <w:sz w:val="24"/>
                <w:szCs w:val="24"/>
              </w:rPr>
            </w:pPr>
          </w:p>
        </w:tc>
        <w:tc>
          <w:tcPr>
            <w:tcW w:w="1755" w:type="dxa"/>
            <w:shd w:val="clear" w:color="auto" w:fill="auto"/>
          </w:tcPr>
          <w:p w:rsidR="00623546" w:rsidRPr="00986548" w:rsidRDefault="00623546" w:rsidP="00DF0915">
            <w:pPr>
              <w:jc w:val="center"/>
              <w:rPr>
                <w:rFonts w:ascii="Arial" w:hAnsi="Arial" w:cs="Arial"/>
                <w:sz w:val="24"/>
                <w:szCs w:val="24"/>
              </w:rPr>
            </w:pPr>
            <w:r w:rsidRPr="00986548">
              <w:rPr>
                <w:rFonts w:ascii="Arial" w:hAnsi="Arial" w:cs="Arial"/>
                <w:sz w:val="24"/>
                <w:szCs w:val="24"/>
              </w:rPr>
              <w:t>CT6-Industrial</w:t>
            </w:r>
          </w:p>
        </w:tc>
        <w:tc>
          <w:tcPr>
            <w:tcW w:w="272" w:type="dxa"/>
            <w:shd w:val="clear" w:color="auto" w:fill="auto"/>
            <w:vAlign w:val="center"/>
          </w:tcPr>
          <w:p w:rsidR="00623546" w:rsidRPr="00986548" w:rsidRDefault="00623546" w:rsidP="00CA51FD">
            <w:pPr>
              <w:jc w:val="center"/>
              <w:rPr>
                <w:rFonts w:ascii="Arial" w:hAnsi="Arial" w:cs="Arial"/>
                <w:sz w:val="24"/>
                <w:szCs w:val="24"/>
              </w:rPr>
            </w:pPr>
            <w:r w:rsidRPr="00986548">
              <w:rPr>
                <w:rFonts w:ascii="Arial" w:hAnsi="Arial" w:cs="Arial"/>
                <w:sz w:val="24"/>
                <w:szCs w:val="24"/>
              </w:rPr>
              <w:t>19</w:t>
            </w:r>
          </w:p>
        </w:tc>
        <w:tc>
          <w:tcPr>
            <w:tcW w:w="780" w:type="dxa"/>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0" w:type="dxa"/>
            <w:tcBorders>
              <w:right w:val="outset" w:sz="6" w:space="0" w:color="auto"/>
            </w:tcBorders>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6" w:type="dxa"/>
            <w:tcBorders>
              <w:left w:val="outset" w:sz="6" w:space="0" w:color="auto"/>
              <w:righ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60" w:type="dxa"/>
            <w:tcBorders>
              <w:left w:val="outset" w:sz="6" w:space="0" w:color="auto"/>
              <w:right w:val="outset" w:sz="6" w:space="0" w:color="auto"/>
            </w:tcBorders>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Default="00623546" w:rsidP="00F23BDB">
            <w:pPr>
              <w:jc w:val="center"/>
            </w:pPr>
            <w:r w:rsidRPr="003761B1">
              <w:rPr>
                <w:rFonts w:ascii="Arial" w:hAnsi="Arial" w:cs="Arial"/>
                <w:sz w:val="24"/>
                <w:szCs w:val="24"/>
              </w:rPr>
              <w:t>***</w:t>
            </w:r>
          </w:p>
        </w:tc>
        <w:tc>
          <w:tcPr>
            <w:tcW w:w="857" w:type="dxa"/>
            <w:tcBorders>
              <w:left w:val="outset" w:sz="6" w:space="0" w:color="auto"/>
            </w:tcBorders>
          </w:tcPr>
          <w:p w:rsidR="00623546" w:rsidRPr="003761B1" w:rsidRDefault="00623546" w:rsidP="00F23BDB">
            <w:pPr>
              <w:jc w:val="center"/>
              <w:rPr>
                <w:rFonts w:ascii="Arial" w:hAnsi="Arial" w:cs="Arial"/>
                <w:sz w:val="24"/>
                <w:szCs w:val="24"/>
              </w:rPr>
            </w:pPr>
            <w:r>
              <w:rPr>
                <w:rFonts w:ascii="Arial" w:hAnsi="Arial" w:cs="Arial"/>
                <w:sz w:val="24"/>
                <w:szCs w:val="24"/>
              </w:rPr>
              <w:t>21,21</w:t>
            </w:r>
          </w:p>
        </w:tc>
      </w:tr>
      <w:tr w:rsidR="00623546" w:rsidRPr="00986548" w:rsidTr="000464DA">
        <w:trPr>
          <w:tblCellSpacing w:w="20" w:type="dxa"/>
          <w:jc w:val="center"/>
        </w:trPr>
        <w:tc>
          <w:tcPr>
            <w:tcW w:w="1407" w:type="dxa"/>
            <w:vMerge/>
            <w:shd w:val="clear" w:color="auto" w:fill="auto"/>
          </w:tcPr>
          <w:p w:rsidR="00623546" w:rsidRPr="00986548" w:rsidRDefault="00623546" w:rsidP="00DF0915">
            <w:pPr>
              <w:jc w:val="center"/>
              <w:rPr>
                <w:rFonts w:ascii="Arial" w:hAnsi="Arial" w:cs="Arial"/>
                <w:sz w:val="24"/>
                <w:szCs w:val="24"/>
              </w:rPr>
            </w:pPr>
          </w:p>
        </w:tc>
        <w:tc>
          <w:tcPr>
            <w:tcW w:w="1755" w:type="dxa"/>
            <w:shd w:val="clear" w:color="auto" w:fill="auto"/>
          </w:tcPr>
          <w:p w:rsidR="00623546" w:rsidRPr="00986548" w:rsidRDefault="00623546" w:rsidP="00DF0915">
            <w:pPr>
              <w:jc w:val="center"/>
              <w:rPr>
                <w:rFonts w:ascii="Arial" w:hAnsi="Arial" w:cs="Arial"/>
                <w:sz w:val="24"/>
                <w:szCs w:val="24"/>
              </w:rPr>
            </w:pPr>
            <w:r w:rsidRPr="00986548">
              <w:rPr>
                <w:rFonts w:ascii="Arial" w:hAnsi="Arial" w:cs="Arial"/>
                <w:sz w:val="24"/>
                <w:szCs w:val="24"/>
              </w:rPr>
              <w:t>CT7-Industrial</w:t>
            </w:r>
          </w:p>
        </w:tc>
        <w:tc>
          <w:tcPr>
            <w:tcW w:w="272" w:type="dxa"/>
            <w:shd w:val="clear" w:color="auto" w:fill="auto"/>
            <w:vAlign w:val="center"/>
          </w:tcPr>
          <w:p w:rsidR="00623546" w:rsidRPr="00986548" w:rsidRDefault="00623546" w:rsidP="00CA51FD">
            <w:pPr>
              <w:jc w:val="center"/>
              <w:rPr>
                <w:rFonts w:ascii="Arial" w:hAnsi="Arial" w:cs="Arial"/>
                <w:sz w:val="24"/>
                <w:szCs w:val="24"/>
              </w:rPr>
            </w:pPr>
            <w:r w:rsidRPr="00986548">
              <w:rPr>
                <w:rFonts w:ascii="Arial" w:hAnsi="Arial" w:cs="Arial"/>
                <w:sz w:val="24"/>
                <w:szCs w:val="24"/>
              </w:rPr>
              <w:t>18</w:t>
            </w:r>
          </w:p>
        </w:tc>
        <w:tc>
          <w:tcPr>
            <w:tcW w:w="780" w:type="dxa"/>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780" w:type="dxa"/>
            <w:tcBorders>
              <w:right w:val="outset" w:sz="6" w:space="0" w:color="auto"/>
            </w:tcBorders>
            <w:shd w:val="clear" w:color="auto" w:fill="auto"/>
            <w:vAlign w:val="center"/>
          </w:tcPr>
          <w:p w:rsidR="00623546" w:rsidRPr="00986548" w:rsidRDefault="00623546" w:rsidP="00CA51FD">
            <w:pPr>
              <w:jc w:val="center"/>
              <w:rPr>
                <w:rFonts w:ascii="Arial" w:hAnsi="Arial" w:cs="Arial"/>
                <w:sz w:val="24"/>
                <w:szCs w:val="24"/>
              </w:rPr>
            </w:pPr>
            <w:r>
              <w:rPr>
                <w:rFonts w:ascii="Arial" w:hAnsi="Arial" w:cs="Arial"/>
                <w:sz w:val="24"/>
                <w:szCs w:val="24"/>
              </w:rPr>
              <w:t>23</w:t>
            </w:r>
          </w:p>
        </w:tc>
        <w:tc>
          <w:tcPr>
            <w:tcW w:w="786" w:type="dxa"/>
            <w:tcBorders>
              <w:left w:val="outset" w:sz="6" w:space="0" w:color="auto"/>
              <w:righ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sidRPr="00986548">
              <w:rPr>
                <w:rFonts w:ascii="Arial" w:hAnsi="Arial" w:cs="Arial"/>
                <w:sz w:val="24"/>
                <w:szCs w:val="24"/>
              </w:rPr>
              <w:t>29</w:t>
            </w:r>
          </w:p>
        </w:tc>
        <w:tc>
          <w:tcPr>
            <w:tcW w:w="847" w:type="dxa"/>
            <w:tcBorders>
              <w:left w:val="outset" w:sz="6" w:space="0" w:color="auto"/>
            </w:tcBorders>
            <w:shd w:val="clear" w:color="auto" w:fill="auto"/>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Pr="00986548" w:rsidRDefault="00623546" w:rsidP="00CA51FD">
            <w:pPr>
              <w:tabs>
                <w:tab w:val="center" w:pos="4680"/>
                <w:tab w:val="right" w:pos="9000"/>
              </w:tabs>
              <w:jc w:val="center"/>
              <w:rPr>
                <w:rFonts w:ascii="Arial" w:hAnsi="Arial" w:cs="Arial"/>
                <w:sz w:val="24"/>
                <w:szCs w:val="24"/>
              </w:rPr>
            </w:pPr>
            <w:r>
              <w:rPr>
                <w:rFonts w:ascii="Arial" w:hAnsi="Arial" w:cs="Arial"/>
                <w:sz w:val="24"/>
                <w:szCs w:val="24"/>
              </w:rPr>
              <w:t>***</w:t>
            </w:r>
          </w:p>
        </w:tc>
        <w:tc>
          <w:tcPr>
            <w:tcW w:w="860" w:type="dxa"/>
            <w:tcBorders>
              <w:left w:val="outset" w:sz="6" w:space="0" w:color="auto"/>
              <w:right w:val="outset" w:sz="6" w:space="0" w:color="auto"/>
            </w:tcBorders>
            <w:vAlign w:val="center"/>
          </w:tcPr>
          <w:p w:rsidR="00623546" w:rsidRPr="00986548" w:rsidRDefault="00623546" w:rsidP="00CA51FD">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vAlign w:val="center"/>
          </w:tcPr>
          <w:p w:rsidR="00623546" w:rsidRDefault="00623546" w:rsidP="00F23BDB">
            <w:pPr>
              <w:jc w:val="center"/>
            </w:pPr>
            <w:r w:rsidRPr="003761B1">
              <w:rPr>
                <w:rFonts w:ascii="Arial" w:hAnsi="Arial" w:cs="Arial"/>
                <w:sz w:val="24"/>
                <w:szCs w:val="24"/>
              </w:rPr>
              <w:t>***</w:t>
            </w:r>
          </w:p>
        </w:tc>
        <w:tc>
          <w:tcPr>
            <w:tcW w:w="857" w:type="dxa"/>
            <w:tcBorders>
              <w:left w:val="outset" w:sz="6" w:space="0" w:color="auto"/>
            </w:tcBorders>
          </w:tcPr>
          <w:p w:rsidR="00623546" w:rsidRPr="003761B1" w:rsidRDefault="00623546" w:rsidP="00F23BDB">
            <w:pPr>
              <w:jc w:val="center"/>
              <w:rPr>
                <w:rFonts w:ascii="Arial" w:hAnsi="Arial" w:cs="Arial"/>
                <w:sz w:val="24"/>
                <w:szCs w:val="24"/>
              </w:rPr>
            </w:pPr>
            <w:r>
              <w:rPr>
                <w:rFonts w:ascii="Arial" w:hAnsi="Arial" w:cs="Arial"/>
                <w:sz w:val="24"/>
                <w:szCs w:val="24"/>
              </w:rPr>
              <w:t>21,30</w:t>
            </w:r>
          </w:p>
        </w:tc>
      </w:tr>
    </w:tbl>
    <w:p w:rsidR="00C1135D" w:rsidRDefault="00623546" w:rsidP="00A4653F">
      <w:pPr>
        <w:autoSpaceDE w:val="0"/>
        <w:autoSpaceDN w:val="0"/>
        <w:adjustRightInd w:val="0"/>
        <w:jc w:val="both"/>
        <w:rPr>
          <w:rFonts w:ascii="Arial" w:hAnsi="Arial" w:cs="Arial"/>
          <w:i/>
          <w:sz w:val="24"/>
          <w:szCs w:val="24"/>
          <w:lang w:val="ro-RO"/>
        </w:rPr>
      </w:pPr>
      <w:r>
        <w:rPr>
          <w:rFonts w:ascii="Arial" w:hAnsi="Arial" w:cs="Arial"/>
          <w:b/>
          <w:i/>
          <w:sz w:val="24"/>
          <w:szCs w:val="24"/>
          <w:lang w:val="ro-RO"/>
        </w:rPr>
        <w:t xml:space="preserve">                                                                                                                      </w:t>
      </w:r>
      <w:r w:rsidRPr="00D572F6">
        <w:rPr>
          <w:rFonts w:ascii="Arial" w:hAnsi="Arial" w:cs="Arial"/>
          <w:i/>
          <w:sz w:val="24"/>
          <w:szCs w:val="24"/>
          <w:lang w:val="ro-RO"/>
        </w:rPr>
        <w:t xml:space="preserve">Tabel </w:t>
      </w:r>
      <w:r>
        <w:rPr>
          <w:rFonts w:ascii="Arial" w:hAnsi="Arial" w:cs="Arial"/>
          <w:i/>
          <w:sz w:val="24"/>
          <w:szCs w:val="24"/>
          <w:lang w:val="ro-RO"/>
        </w:rPr>
        <w:t>1</w:t>
      </w:r>
      <w:r w:rsidRPr="00D572F6">
        <w:rPr>
          <w:rFonts w:ascii="Arial" w:hAnsi="Arial" w:cs="Arial"/>
          <w:i/>
          <w:sz w:val="24"/>
          <w:szCs w:val="24"/>
          <w:lang w:val="ro-RO"/>
        </w:rPr>
        <w:t>.</w:t>
      </w:r>
      <w:r>
        <w:rPr>
          <w:rFonts w:ascii="Arial" w:hAnsi="Arial" w:cs="Arial"/>
          <w:i/>
          <w:sz w:val="24"/>
          <w:szCs w:val="24"/>
          <w:lang w:val="ro-RO"/>
        </w:rPr>
        <w:t>1.1.</w:t>
      </w:r>
      <w:r w:rsidRPr="00D572F6">
        <w:rPr>
          <w:rFonts w:ascii="Arial" w:hAnsi="Arial" w:cs="Arial"/>
          <w:i/>
          <w:sz w:val="24"/>
          <w:szCs w:val="24"/>
          <w:lang w:val="ro-RO"/>
        </w:rPr>
        <w:t>2.</w:t>
      </w:r>
      <w:r>
        <w:rPr>
          <w:rFonts w:ascii="Arial" w:hAnsi="Arial" w:cs="Arial"/>
          <w:i/>
          <w:sz w:val="24"/>
          <w:szCs w:val="24"/>
          <w:lang w:val="ro-RO"/>
        </w:rPr>
        <w:t>1</w:t>
      </w:r>
      <w:r w:rsidRPr="00D572F6">
        <w:rPr>
          <w:rFonts w:ascii="Arial" w:hAnsi="Arial" w:cs="Arial"/>
          <w:i/>
          <w:sz w:val="24"/>
          <w:szCs w:val="24"/>
          <w:lang w:val="ro-RO"/>
        </w:rPr>
        <w:t>.</w:t>
      </w:r>
    </w:p>
    <w:p w:rsidR="00623546" w:rsidRDefault="00623546" w:rsidP="00A4653F">
      <w:pPr>
        <w:autoSpaceDE w:val="0"/>
        <w:autoSpaceDN w:val="0"/>
        <w:adjustRightInd w:val="0"/>
        <w:jc w:val="both"/>
        <w:rPr>
          <w:rFonts w:ascii="Arial" w:hAnsi="Arial" w:cs="Arial"/>
          <w:sz w:val="24"/>
          <w:szCs w:val="24"/>
        </w:rPr>
      </w:pPr>
    </w:p>
    <w:p w:rsidR="00A4653F" w:rsidRPr="007336B8" w:rsidRDefault="007336B8" w:rsidP="00A4653F">
      <w:pPr>
        <w:autoSpaceDE w:val="0"/>
        <w:autoSpaceDN w:val="0"/>
        <w:adjustRightInd w:val="0"/>
        <w:jc w:val="both"/>
        <w:rPr>
          <w:rFonts w:ascii="Arial" w:hAnsi="Arial" w:cs="Arial"/>
          <w:bCs/>
          <w:sz w:val="24"/>
          <w:szCs w:val="24"/>
          <w:lang w:val="it-IT"/>
        </w:rPr>
      </w:pPr>
      <w:r w:rsidRPr="007336B8">
        <w:rPr>
          <w:rFonts w:ascii="Arial" w:hAnsi="Arial" w:cs="Arial"/>
          <w:sz w:val="24"/>
          <w:szCs w:val="24"/>
        </w:rPr>
        <w:t>*** - d</w:t>
      </w:r>
      <w:r w:rsidR="00A4653F" w:rsidRPr="007336B8">
        <w:rPr>
          <w:rFonts w:ascii="Arial" w:hAnsi="Arial" w:cs="Arial"/>
          <w:sz w:val="24"/>
          <w:szCs w:val="24"/>
        </w:rPr>
        <w:t xml:space="preserve">in motive tehnice, nu </w:t>
      </w:r>
      <w:r w:rsidR="005623F2">
        <w:rPr>
          <w:rFonts w:ascii="Arial" w:hAnsi="Arial" w:cs="Arial"/>
          <w:sz w:val="24"/>
          <w:szCs w:val="24"/>
        </w:rPr>
        <w:t>au existat</w:t>
      </w:r>
      <w:r w:rsidR="00A4653F" w:rsidRPr="007336B8">
        <w:rPr>
          <w:rFonts w:ascii="Arial" w:hAnsi="Arial" w:cs="Arial"/>
          <w:sz w:val="24"/>
          <w:szCs w:val="24"/>
        </w:rPr>
        <w:t xml:space="preserve"> </w:t>
      </w:r>
      <w:r w:rsidR="00A4653F" w:rsidRPr="007336B8">
        <w:rPr>
          <w:rFonts w:ascii="Arial" w:hAnsi="Arial" w:cs="Arial"/>
          <w:bCs/>
          <w:sz w:val="24"/>
          <w:szCs w:val="24"/>
          <w:lang w:val="it-IT"/>
        </w:rPr>
        <w:t xml:space="preserve">date/datele validate </w:t>
      </w:r>
      <w:r w:rsidR="00623546">
        <w:rPr>
          <w:rFonts w:ascii="Arial" w:hAnsi="Arial" w:cs="Arial"/>
          <w:bCs/>
          <w:sz w:val="24"/>
          <w:szCs w:val="24"/>
          <w:lang w:val="it-IT"/>
        </w:rPr>
        <w:t>au fost</w:t>
      </w:r>
      <w:r w:rsidR="00A4653F" w:rsidRPr="007336B8">
        <w:rPr>
          <w:rFonts w:ascii="Arial" w:hAnsi="Arial" w:cs="Arial"/>
          <w:bCs/>
          <w:sz w:val="24"/>
          <w:szCs w:val="24"/>
          <w:lang w:val="it-IT"/>
        </w:rPr>
        <w:t xml:space="preserve"> insuficiente pentru a respecta criteriile de calitate conform Legii 104/2011 (captura de date pentru minim 75% din intervalul de timp calendaristic).</w:t>
      </w:r>
    </w:p>
    <w:p w:rsidR="00AC7D51" w:rsidRDefault="00623546" w:rsidP="00831002">
      <w:pPr>
        <w:tabs>
          <w:tab w:val="num" w:pos="0"/>
        </w:tabs>
        <w:jc w:val="center"/>
      </w:pPr>
      <w:r w:rsidRPr="00623546">
        <w:rPr>
          <w:noProof/>
        </w:rPr>
        <w:drawing>
          <wp:inline distT="0" distB="0" distL="0" distR="0">
            <wp:extent cx="5943600" cy="4782820"/>
            <wp:effectExtent l="19050" t="0" r="19050" b="0"/>
            <wp:docPr id="5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6142" w:rsidRPr="00F56142" w:rsidRDefault="001F06E2" w:rsidP="00F56142">
      <w:pPr>
        <w:autoSpaceDE w:val="0"/>
        <w:autoSpaceDN w:val="0"/>
        <w:adjustRightInd w:val="0"/>
        <w:ind w:left="6480"/>
        <w:jc w:val="both"/>
        <w:rPr>
          <w:rFonts w:ascii="Arial" w:hAnsi="Arial" w:cs="Arial"/>
          <w:bCs/>
          <w:i/>
          <w:sz w:val="24"/>
          <w:szCs w:val="24"/>
          <w:lang w:val="it-IT"/>
        </w:rPr>
      </w:pPr>
      <w:r>
        <w:rPr>
          <w:rFonts w:ascii="Arial" w:hAnsi="Arial" w:cs="Arial"/>
          <w:bCs/>
          <w:i/>
          <w:sz w:val="24"/>
          <w:szCs w:val="24"/>
          <w:lang w:val="it-IT"/>
        </w:rPr>
        <w:t xml:space="preserve">                     </w:t>
      </w:r>
      <w:r w:rsidR="00F56142" w:rsidRPr="00F56142">
        <w:rPr>
          <w:rFonts w:ascii="Arial" w:hAnsi="Arial" w:cs="Arial"/>
          <w:bCs/>
          <w:i/>
          <w:sz w:val="24"/>
          <w:szCs w:val="24"/>
          <w:lang w:val="it-IT"/>
        </w:rPr>
        <w:t>Figura 1.1.1.2.1</w:t>
      </w:r>
    </w:p>
    <w:p w:rsidR="00831002" w:rsidRPr="004D7D8B" w:rsidRDefault="00831002" w:rsidP="00831002">
      <w:pPr>
        <w:tabs>
          <w:tab w:val="num" w:pos="0"/>
        </w:tabs>
        <w:jc w:val="center"/>
        <w:rPr>
          <w:rFonts w:ascii="Arial" w:hAnsi="Arial" w:cs="Arial"/>
          <w:sz w:val="24"/>
          <w:szCs w:val="24"/>
          <w:lang w:val="ro-RO"/>
        </w:rPr>
      </w:pPr>
    </w:p>
    <w:p w:rsidR="002F5E34" w:rsidRDefault="002F5E34" w:rsidP="009776CE">
      <w:pPr>
        <w:tabs>
          <w:tab w:val="num" w:pos="0"/>
        </w:tabs>
        <w:jc w:val="both"/>
        <w:rPr>
          <w:rFonts w:ascii="Arial" w:hAnsi="Arial" w:cs="Arial"/>
          <w:b/>
          <w:sz w:val="24"/>
          <w:szCs w:val="24"/>
          <w:lang w:val="ro-RO"/>
        </w:rPr>
      </w:pPr>
      <w:r w:rsidRPr="007B7830">
        <w:rPr>
          <w:rFonts w:ascii="Arial" w:hAnsi="Arial" w:cs="Arial"/>
          <w:b/>
          <w:sz w:val="24"/>
          <w:szCs w:val="24"/>
          <w:lang w:val="ro-RO"/>
        </w:rPr>
        <w:t xml:space="preserve">  Dioxid de sulf</w:t>
      </w:r>
    </w:p>
    <w:p w:rsidR="00A44D88" w:rsidRDefault="00831002" w:rsidP="009776CE">
      <w:pPr>
        <w:tabs>
          <w:tab w:val="num" w:pos="0"/>
        </w:tabs>
        <w:jc w:val="both"/>
        <w:rPr>
          <w:rFonts w:ascii="Arial" w:hAnsi="Arial" w:cs="Arial"/>
          <w:i/>
          <w:sz w:val="24"/>
          <w:szCs w:val="24"/>
          <w:lang w:val="ro-RO"/>
        </w:rPr>
      </w:pPr>
      <w:r w:rsidRPr="00D572F6">
        <w:rPr>
          <w:rFonts w:ascii="Arial" w:hAnsi="Arial" w:cs="Arial"/>
          <w:i/>
          <w:sz w:val="24"/>
          <w:szCs w:val="24"/>
          <w:lang w:val="ro-RO"/>
        </w:rPr>
        <w:t xml:space="preserve">                                                                                         </w:t>
      </w:r>
      <w:r w:rsidR="00A475A5" w:rsidRPr="00D572F6">
        <w:rPr>
          <w:rFonts w:ascii="Arial" w:hAnsi="Arial" w:cs="Arial"/>
          <w:i/>
          <w:sz w:val="24"/>
          <w:szCs w:val="24"/>
          <w:lang w:val="ro-RO"/>
        </w:rPr>
        <w:t xml:space="preserve">                     </w:t>
      </w:r>
      <w:r w:rsidR="008F3AEF">
        <w:rPr>
          <w:rFonts w:ascii="Arial" w:hAnsi="Arial" w:cs="Arial"/>
          <w:i/>
          <w:sz w:val="24"/>
          <w:szCs w:val="24"/>
          <w:lang w:val="ro-RO"/>
        </w:rPr>
        <w:t xml:space="preserve">      </w:t>
      </w:r>
    </w:p>
    <w:tbl>
      <w:tblPr>
        <w:tblW w:w="1119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66"/>
        <w:gridCol w:w="1287"/>
        <w:gridCol w:w="887"/>
        <w:gridCol w:w="820"/>
        <w:gridCol w:w="820"/>
        <w:gridCol w:w="887"/>
        <w:gridCol w:w="820"/>
        <w:gridCol w:w="820"/>
        <w:gridCol w:w="820"/>
        <w:gridCol w:w="887"/>
        <w:gridCol w:w="840"/>
        <w:gridCol w:w="840"/>
      </w:tblGrid>
      <w:tr w:rsidR="00623546" w:rsidRPr="00986548" w:rsidTr="00623546">
        <w:trPr>
          <w:tblCellSpacing w:w="20" w:type="dxa"/>
          <w:jc w:val="center"/>
        </w:trPr>
        <w:tc>
          <w:tcPr>
            <w:tcW w:w="1406" w:type="dxa"/>
            <w:vMerge w:val="restart"/>
            <w:shd w:val="clear" w:color="auto" w:fill="FFFFCC"/>
            <w:vAlign w:val="center"/>
          </w:tcPr>
          <w:p w:rsidR="00623546" w:rsidRPr="00986548" w:rsidRDefault="00623546" w:rsidP="00DF0915">
            <w:pPr>
              <w:jc w:val="center"/>
              <w:rPr>
                <w:rFonts w:ascii="Arial" w:hAnsi="Arial" w:cs="Arial"/>
                <w:b/>
                <w:sz w:val="24"/>
                <w:szCs w:val="24"/>
              </w:rPr>
            </w:pPr>
            <w:r w:rsidRPr="00986548">
              <w:rPr>
                <w:rFonts w:ascii="Arial" w:hAnsi="Arial" w:cs="Arial"/>
                <w:b/>
                <w:sz w:val="24"/>
                <w:szCs w:val="24"/>
              </w:rPr>
              <w:t>POLUANT</w:t>
            </w:r>
          </w:p>
        </w:tc>
        <w:tc>
          <w:tcPr>
            <w:tcW w:w="1247" w:type="dxa"/>
            <w:vMerge w:val="restart"/>
            <w:tcBorders>
              <w:right w:val="inset" w:sz="6" w:space="0" w:color="auto"/>
            </w:tcBorders>
            <w:shd w:val="clear" w:color="auto" w:fill="FFFFCC"/>
            <w:vAlign w:val="center"/>
          </w:tcPr>
          <w:p w:rsidR="00623546" w:rsidRPr="00986548" w:rsidRDefault="00623546" w:rsidP="00DF0915">
            <w:pPr>
              <w:jc w:val="center"/>
              <w:rPr>
                <w:rFonts w:ascii="Arial" w:hAnsi="Arial" w:cs="Arial"/>
                <w:b/>
                <w:sz w:val="24"/>
                <w:szCs w:val="24"/>
              </w:rPr>
            </w:pPr>
            <w:r w:rsidRPr="00986548">
              <w:rPr>
                <w:rFonts w:ascii="Arial" w:hAnsi="Arial" w:cs="Arial"/>
                <w:b/>
                <w:sz w:val="24"/>
                <w:szCs w:val="24"/>
              </w:rPr>
              <w:t>Tip statie</w:t>
            </w:r>
          </w:p>
        </w:tc>
        <w:tc>
          <w:tcPr>
            <w:tcW w:w="8381" w:type="dxa"/>
            <w:gridSpan w:val="10"/>
            <w:tcBorders>
              <w:left w:val="inset" w:sz="6" w:space="0" w:color="auto"/>
              <w:bottom w:val="inset" w:sz="6" w:space="0" w:color="auto"/>
              <w:right w:val="inset" w:sz="6" w:space="0" w:color="F0F0F0"/>
            </w:tcBorders>
            <w:shd w:val="clear" w:color="auto" w:fill="FFFFCC"/>
            <w:vAlign w:val="center"/>
          </w:tcPr>
          <w:p w:rsidR="00623546" w:rsidRPr="00986548" w:rsidRDefault="00623546" w:rsidP="00DF0915">
            <w:pPr>
              <w:jc w:val="center"/>
              <w:rPr>
                <w:rFonts w:ascii="Arial" w:hAnsi="Arial" w:cs="Arial"/>
                <w:b/>
                <w:sz w:val="24"/>
                <w:szCs w:val="24"/>
              </w:rPr>
            </w:pPr>
            <w:r w:rsidRPr="00986548">
              <w:rPr>
                <w:rFonts w:ascii="Arial" w:hAnsi="Arial" w:cs="Arial"/>
                <w:b/>
                <w:sz w:val="24"/>
                <w:szCs w:val="24"/>
              </w:rPr>
              <w:t>Concentratia medie anuala</w:t>
            </w:r>
          </w:p>
        </w:tc>
      </w:tr>
      <w:tr w:rsidR="00BF026D" w:rsidRPr="00986548" w:rsidTr="00BF026D">
        <w:trPr>
          <w:tblCellSpacing w:w="20" w:type="dxa"/>
          <w:jc w:val="center"/>
        </w:trPr>
        <w:tc>
          <w:tcPr>
            <w:tcW w:w="1406" w:type="dxa"/>
            <w:vMerge/>
            <w:shd w:val="clear" w:color="auto" w:fill="FFFFCC"/>
            <w:vAlign w:val="center"/>
          </w:tcPr>
          <w:p w:rsidR="00BF026D" w:rsidRPr="00986548" w:rsidRDefault="00BF026D" w:rsidP="00DF0915">
            <w:pPr>
              <w:jc w:val="center"/>
              <w:rPr>
                <w:rFonts w:ascii="Arial" w:hAnsi="Arial" w:cs="Arial"/>
                <w:sz w:val="24"/>
                <w:szCs w:val="24"/>
              </w:rPr>
            </w:pPr>
          </w:p>
        </w:tc>
        <w:tc>
          <w:tcPr>
            <w:tcW w:w="1247" w:type="dxa"/>
            <w:vMerge/>
            <w:tcBorders>
              <w:right w:val="inset" w:sz="6" w:space="0" w:color="auto"/>
            </w:tcBorders>
            <w:shd w:val="clear" w:color="auto" w:fill="FFFFCC"/>
            <w:vAlign w:val="center"/>
          </w:tcPr>
          <w:p w:rsidR="00BF026D" w:rsidRPr="00986548" w:rsidRDefault="00BF026D" w:rsidP="00DF0915">
            <w:pPr>
              <w:jc w:val="center"/>
              <w:rPr>
                <w:rFonts w:ascii="Arial" w:hAnsi="Arial" w:cs="Arial"/>
                <w:sz w:val="24"/>
                <w:szCs w:val="24"/>
              </w:rPr>
            </w:pPr>
          </w:p>
        </w:tc>
        <w:tc>
          <w:tcPr>
            <w:tcW w:w="847" w:type="dxa"/>
            <w:tcBorders>
              <w:top w:val="inset" w:sz="6" w:space="0" w:color="auto"/>
              <w:left w:val="inset" w:sz="6" w:space="0" w:color="auto"/>
            </w:tcBorders>
            <w:shd w:val="clear" w:color="auto" w:fill="FFFFCC"/>
            <w:vAlign w:val="center"/>
          </w:tcPr>
          <w:p w:rsidR="00BF026D" w:rsidRPr="00366908" w:rsidRDefault="00BF026D" w:rsidP="00DF0915">
            <w:pPr>
              <w:jc w:val="center"/>
              <w:rPr>
                <w:rFonts w:ascii="Arial" w:hAnsi="Arial" w:cs="Arial"/>
                <w:sz w:val="24"/>
                <w:szCs w:val="24"/>
              </w:rPr>
            </w:pPr>
            <w:r w:rsidRPr="00366908">
              <w:rPr>
                <w:rFonts w:ascii="Arial" w:hAnsi="Arial" w:cs="Arial"/>
                <w:sz w:val="24"/>
                <w:szCs w:val="24"/>
              </w:rPr>
              <w:t>2008</w:t>
            </w:r>
          </w:p>
        </w:tc>
        <w:tc>
          <w:tcPr>
            <w:tcW w:w="780" w:type="dxa"/>
            <w:shd w:val="clear" w:color="auto" w:fill="FFFFCC"/>
            <w:vAlign w:val="center"/>
          </w:tcPr>
          <w:p w:rsidR="00BF026D" w:rsidRPr="00366908" w:rsidRDefault="00BF026D" w:rsidP="00DF0915">
            <w:pPr>
              <w:jc w:val="center"/>
              <w:rPr>
                <w:rFonts w:ascii="Arial" w:hAnsi="Arial" w:cs="Arial"/>
                <w:sz w:val="24"/>
                <w:szCs w:val="24"/>
              </w:rPr>
            </w:pPr>
            <w:r w:rsidRPr="00366908">
              <w:rPr>
                <w:rFonts w:ascii="Arial" w:hAnsi="Arial" w:cs="Arial"/>
                <w:sz w:val="24"/>
                <w:szCs w:val="24"/>
              </w:rPr>
              <w:t>2009</w:t>
            </w:r>
          </w:p>
        </w:tc>
        <w:tc>
          <w:tcPr>
            <w:tcW w:w="780" w:type="dxa"/>
            <w:shd w:val="clear" w:color="auto" w:fill="FFFFCC"/>
            <w:vAlign w:val="center"/>
          </w:tcPr>
          <w:p w:rsidR="00BF026D" w:rsidRPr="00366908" w:rsidRDefault="00BF026D" w:rsidP="00DF0915">
            <w:pPr>
              <w:jc w:val="center"/>
              <w:rPr>
                <w:rFonts w:ascii="Arial" w:hAnsi="Arial" w:cs="Arial"/>
                <w:sz w:val="24"/>
                <w:szCs w:val="24"/>
              </w:rPr>
            </w:pPr>
            <w:r w:rsidRPr="00366908">
              <w:rPr>
                <w:rFonts w:ascii="Arial" w:hAnsi="Arial" w:cs="Arial"/>
                <w:sz w:val="24"/>
                <w:szCs w:val="24"/>
              </w:rPr>
              <w:t>2010</w:t>
            </w:r>
          </w:p>
        </w:tc>
        <w:tc>
          <w:tcPr>
            <w:tcW w:w="847" w:type="dxa"/>
            <w:tcBorders>
              <w:right w:val="inset" w:sz="6" w:space="0" w:color="auto"/>
            </w:tcBorders>
            <w:shd w:val="clear" w:color="auto" w:fill="FFFFCC"/>
            <w:vAlign w:val="center"/>
          </w:tcPr>
          <w:p w:rsidR="00BF026D" w:rsidRPr="00366908" w:rsidRDefault="00BF026D" w:rsidP="00DF0915">
            <w:pPr>
              <w:jc w:val="center"/>
              <w:rPr>
                <w:rFonts w:ascii="Arial" w:hAnsi="Arial" w:cs="Arial"/>
                <w:sz w:val="24"/>
                <w:szCs w:val="24"/>
              </w:rPr>
            </w:pPr>
            <w:r w:rsidRPr="00366908">
              <w:rPr>
                <w:rFonts w:ascii="Arial" w:hAnsi="Arial" w:cs="Arial"/>
                <w:sz w:val="24"/>
                <w:szCs w:val="24"/>
              </w:rPr>
              <w:t>2011</w:t>
            </w:r>
          </w:p>
        </w:tc>
        <w:tc>
          <w:tcPr>
            <w:tcW w:w="780" w:type="dxa"/>
            <w:tcBorders>
              <w:left w:val="inset" w:sz="6" w:space="0" w:color="auto"/>
            </w:tcBorders>
            <w:shd w:val="clear" w:color="auto" w:fill="FFFFCC"/>
            <w:vAlign w:val="center"/>
          </w:tcPr>
          <w:p w:rsidR="00BF026D" w:rsidRPr="00366908" w:rsidRDefault="00BF026D" w:rsidP="00DF0915">
            <w:pPr>
              <w:jc w:val="center"/>
              <w:rPr>
                <w:rFonts w:ascii="Arial" w:hAnsi="Arial" w:cs="Arial"/>
                <w:sz w:val="24"/>
                <w:szCs w:val="24"/>
              </w:rPr>
            </w:pPr>
            <w:r w:rsidRPr="00366908">
              <w:rPr>
                <w:rFonts w:ascii="Arial" w:hAnsi="Arial" w:cs="Arial"/>
                <w:sz w:val="24"/>
                <w:szCs w:val="24"/>
              </w:rPr>
              <w:t>2012</w:t>
            </w:r>
          </w:p>
        </w:tc>
        <w:tc>
          <w:tcPr>
            <w:tcW w:w="780" w:type="dxa"/>
            <w:tcBorders>
              <w:left w:val="inset" w:sz="6" w:space="0" w:color="auto"/>
            </w:tcBorders>
            <w:shd w:val="clear" w:color="auto" w:fill="FFFFCC"/>
          </w:tcPr>
          <w:p w:rsidR="00BF026D" w:rsidRPr="00366908" w:rsidRDefault="00BF026D" w:rsidP="00DF0915">
            <w:pPr>
              <w:jc w:val="center"/>
              <w:rPr>
                <w:rFonts w:ascii="Arial" w:hAnsi="Arial" w:cs="Arial"/>
                <w:sz w:val="24"/>
                <w:szCs w:val="24"/>
              </w:rPr>
            </w:pPr>
            <w:r w:rsidRPr="00366908">
              <w:rPr>
                <w:rFonts w:ascii="Arial" w:hAnsi="Arial" w:cs="Arial"/>
                <w:sz w:val="24"/>
                <w:szCs w:val="24"/>
              </w:rPr>
              <w:t>2013</w:t>
            </w:r>
          </w:p>
        </w:tc>
        <w:tc>
          <w:tcPr>
            <w:tcW w:w="780" w:type="dxa"/>
            <w:tcBorders>
              <w:left w:val="inset" w:sz="6" w:space="0" w:color="auto"/>
              <w:right w:val="inset" w:sz="6" w:space="0" w:color="auto"/>
            </w:tcBorders>
            <w:shd w:val="clear" w:color="auto" w:fill="FFFFCC"/>
          </w:tcPr>
          <w:p w:rsidR="00BF026D" w:rsidRPr="00366908" w:rsidRDefault="00BF026D" w:rsidP="00DF0915">
            <w:pPr>
              <w:jc w:val="center"/>
              <w:rPr>
                <w:rFonts w:ascii="Arial" w:hAnsi="Arial" w:cs="Arial"/>
                <w:sz w:val="24"/>
                <w:szCs w:val="24"/>
              </w:rPr>
            </w:pPr>
            <w:r>
              <w:rPr>
                <w:rFonts w:ascii="Arial" w:hAnsi="Arial" w:cs="Arial"/>
                <w:sz w:val="24"/>
                <w:szCs w:val="24"/>
              </w:rPr>
              <w:t>2014</w:t>
            </w:r>
          </w:p>
        </w:tc>
        <w:tc>
          <w:tcPr>
            <w:tcW w:w="847" w:type="dxa"/>
            <w:tcBorders>
              <w:left w:val="inset" w:sz="6" w:space="0" w:color="auto"/>
            </w:tcBorders>
            <w:shd w:val="clear" w:color="auto" w:fill="FFFFCC"/>
          </w:tcPr>
          <w:p w:rsidR="00BF026D" w:rsidRPr="00366908" w:rsidRDefault="00BF026D" w:rsidP="00DF0915">
            <w:pPr>
              <w:jc w:val="center"/>
              <w:rPr>
                <w:rFonts w:ascii="Arial" w:hAnsi="Arial" w:cs="Arial"/>
                <w:sz w:val="24"/>
                <w:szCs w:val="24"/>
              </w:rPr>
            </w:pPr>
            <w:r>
              <w:rPr>
                <w:rFonts w:ascii="Arial" w:hAnsi="Arial" w:cs="Arial"/>
                <w:sz w:val="24"/>
                <w:szCs w:val="24"/>
              </w:rPr>
              <w:t>2015</w:t>
            </w:r>
          </w:p>
        </w:tc>
        <w:tc>
          <w:tcPr>
            <w:tcW w:w="800" w:type="dxa"/>
            <w:tcBorders>
              <w:left w:val="inset" w:sz="6" w:space="0" w:color="auto"/>
            </w:tcBorders>
            <w:shd w:val="clear" w:color="auto" w:fill="FFFFCC"/>
          </w:tcPr>
          <w:p w:rsidR="00BF026D" w:rsidRDefault="00BF026D" w:rsidP="00DF0915">
            <w:pPr>
              <w:jc w:val="center"/>
              <w:rPr>
                <w:rFonts w:ascii="Arial" w:hAnsi="Arial" w:cs="Arial"/>
                <w:sz w:val="24"/>
                <w:szCs w:val="24"/>
              </w:rPr>
            </w:pPr>
            <w:r>
              <w:rPr>
                <w:rFonts w:ascii="Arial" w:hAnsi="Arial" w:cs="Arial"/>
                <w:sz w:val="24"/>
                <w:szCs w:val="24"/>
              </w:rPr>
              <w:t>2016</w:t>
            </w:r>
          </w:p>
        </w:tc>
        <w:tc>
          <w:tcPr>
            <w:tcW w:w="780" w:type="dxa"/>
            <w:tcBorders>
              <w:left w:val="inset" w:sz="6" w:space="0" w:color="auto"/>
            </w:tcBorders>
            <w:shd w:val="clear" w:color="auto" w:fill="FFFFCC"/>
          </w:tcPr>
          <w:p w:rsidR="00BF026D" w:rsidRDefault="00623546" w:rsidP="00DF0915">
            <w:pPr>
              <w:jc w:val="center"/>
              <w:rPr>
                <w:rFonts w:ascii="Arial" w:hAnsi="Arial" w:cs="Arial"/>
                <w:sz w:val="24"/>
                <w:szCs w:val="24"/>
              </w:rPr>
            </w:pPr>
            <w:r>
              <w:rPr>
                <w:rFonts w:ascii="Arial" w:hAnsi="Arial" w:cs="Arial"/>
                <w:sz w:val="24"/>
                <w:szCs w:val="24"/>
              </w:rPr>
              <w:t>2017</w:t>
            </w:r>
          </w:p>
        </w:tc>
      </w:tr>
      <w:tr w:rsidR="00BF026D" w:rsidRPr="00986548" w:rsidTr="00BF026D">
        <w:trPr>
          <w:tblCellSpacing w:w="20" w:type="dxa"/>
          <w:jc w:val="center"/>
        </w:trPr>
        <w:tc>
          <w:tcPr>
            <w:tcW w:w="1406" w:type="dxa"/>
            <w:vMerge w:val="restart"/>
            <w:shd w:val="clear" w:color="auto" w:fill="auto"/>
            <w:vAlign w:val="center"/>
          </w:tcPr>
          <w:p w:rsidR="00BF026D" w:rsidRPr="00986548" w:rsidRDefault="00BF026D" w:rsidP="00DF0915">
            <w:pPr>
              <w:jc w:val="center"/>
              <w:rPr>
                <w:rFonts w:ascii="Arial" w:hAnsi="Arial" w:cs="Arial"/>
                <w:sz w:val="24"/>
                <w:szCs w:val="24"/>
              </w:rPr>
            </w:pPr>
            <w:r w:rsidRPr="00986548">
              <w:rPr>
                <w:rFonts w:ascii="Arial" w:hAnsi="Arial" w:cs="Arial"/>
                <w:sz w:val="24"/>
                <w:szCs w:val="24"/>
              </w:rPr>
              <w:t>SO</w:t>
            </w:r>
            <w:r w:rsidRPr="00986548">
              <w:rPr>
                <w:rFonts w:ascii="Arial" w:hAnsi="Arial" w:cs="Arial"/>
                <w:sz w:val="24"/>
                <w:szCs w:val="24"/>
                <w:vertAlign w:val="subscript"/>
              </w:rPr>
              <w:t xml:space="preserve">2 </w:t>
            </w:r>
            <w:r w:rsidRPr="00986548">
              <w:rPr>
                <w:rFonts w:ascii="Arial" w:hAnsi="Arial" w:cs="Arial"/>
                <w:sz w:val="24"/>
                <w:szCs w:val="24"/>
              </w:rPr>
              <w:t>(μg/mc)</w:t>
            </w:r>
          </w:p>
        </w:tc>
        <w:tc>
          <w:tcPr>
            <w:tcW w:w="1247" w:type="dxa"/>
            <w:tcBorders>
              <w:right w:val="inset" w:sz="6" w:space="0" w:color="auto"/>
            </w:tcBorders>
            <w:shd w:val="clear" w:color="auto" w:fill="auto"/>
            <w:vAlign w:val="center"/>
          </w:tcPr>
          <w:p w:rsidR="00BF026D" w:rsidRPr="00986548" w:rsidRDefault="00BF026D" w:rsidP="00DF0915">
            <w:pPr>
              <w:jc w:val="center"/>
              <w:rPr>
                <w:rFonts w:ascii="Arial" w:hAnsi="Arial" w:cs="Arial"/>
                <w:sz w:val="24"/>
                <w:szCs w:val="24"/>
              </w:rPr>
            </w:pPr>
            <w:r w:rsidRPr="00986548">
              <w:rPr>
                <w:rFonts w:ascii="Arial" w:hAnsi="Arial" w:cs="Arial"/>
                <w:sz w:val="24"/>
                <w:szCs w:val="24"/>
              </w:rPr>
              <w:t>CT1-Trafic</w:t>
            </w:r>
          </w:p>
        </w:tc>
        <w:tc>
          <w:tcPr>
            <w:tcW w:w="847" w:type="dxa"/>
            <w:tcBorders>
              <w:left w:val="inset" w:sz="6" w:space="0" w:color="auto"/>
            </w:tcBorders>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5,25</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sidRPr="005251C4">
              <w:rPr>
                <w:rFonts w:ascii="Arial" w:hAnsi="Arial" w:cs="Arial"/>
                <w:sz w:val="24"/>
                <w:szCs w:val="24"/>
              </w:rPr>
              <w:t>4,7</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righ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right w:val="inset" w:sz="6" w:space="0" w:color="auto"/>
            </w:tcBorders>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left w:val="inset" w:sz="6" w:space="0" w:color="auto"/>
            </w:tcBorders>
            <w:vAlign w:val="center"/>
          </w:tcPr>
          <w:p w:rsidR="00BF026D" w:rsidRPr="00405BA8" w:rsidRDefault="00BF026D" w:rsidP="000B26B9">
            <w:pPr>
              <w:jc w:val="center"/>
              <w:rPr>
                <w:rFonts w:ascii="Arial" w:hAnsi="Arial" w:cs="Arial"/>
                <w:sz w:val="24"/>
                <w:szCs w:val="24"/>
              </w:rPr>
            </w:pPr>
            <w:r w:rsidRPr="00405BA8">
              <w:rPr>
                <w:rFonts w:ascii="Arial" w:hAnsi="Arial" w:cs="Arial"/>
                <w:sz w:val="24"/>
                <w:szCs w:val="24"/>
              </w:rPr>
              <w:t>**</w:t>
            </w:r>
          </w:p>
        </w:tc>
        <w:tc>
          <w:tcPr>
            <w:tcW w:w="800" w:type="dxa"/>
            <w:tcBorders>
              <w:left w:val="inset" w:sz="6" w:space="0" w:color="auto"/>
            </w:tcBorders>
            <w:vAlign w:val="center"/>
          </w:tcPr>
          <w:p w:rsidR="00BF026D" w:rsidRDefault="00BF026D" w:rsidP="00140C73">
            <w:pPr>
              <w:jc w:val="center"/>
            </w:pPr>
            <w:r w:rsidRPr="00BD13C0">
              <w:rPr>
                <w:rFonts w:ascii="Arial" w:hAnsi="Arial" w:cs="Arial"/>
                <w:sz w:val="24"/>
                <w:szCs w:val="24"/>
              </w:rPr>
              <w:t>***</w:t>
            </w:r>
          </w:p>
        </w:tc>
        <w:tc>
          <w:tcPr>
            <w:tcW w:w="780" w:type="dxa"/>
            <w:tcBorders>
              <w:left w:val="inset" w:sz="6" w:space="0" w:color="auto"/>
            </w:tcBorders>
          </w:tcPr>
          <w:p w:rsidR="00BF026D" w:rsidRPr="00BD13C0" w:rsidRDefault="00623546" w:rsidP="00140C73">
            <w:pPr>
              <w:jc w:val="center"/>
              <w:rPr>
                <w:rFonts w:ascii="Arial" w:hAnsi="Arial" w:cs="Arial"/>
                <w:sz w:val="24"/>
                <w:szCs w:val="24"/>
              </w:rPr>
            </w:pPr>
            <w:r>
              <w:rPr>
                <w:rFonts w:ascii="Arial" w:hAnsi="Arial" w:cs="Arial"/>
                <w:sz w:val="24"/>
                <w:szCs w:val="24"/>
              </w:rPr>
              <w:t>5.8</w:t>
            </w:r>
          </w:p>
        </w:tc>
      </w:tr>
      <w:tr w:rsidR="00BF026D" w:rsidRPr="00986548" w:rsidTr="00BF026D">
        <w:trPr>
          <w:tblCellSpacing w:w="20" w:type="dxa"/>
          <w:jc w:val="center"/>
        </w:trPr>
        <w:tc>
          <w:tcPr>
            <w:tcW w:w="1406" w:type="dxa"/>
            <w:vMerge/>
            <w:shd w:val="clear" w:color="auto" w:fill="auto"/>
          </w:tcPr>
          <w:p w:rsidR="00BF026D" w:rsidRPr="00986548" w:rsidRDefault="00BF026D" w:rsidP="00DF0915">
            <w:pPr>
              <w:jc w:val="center"/>
              <w:rPr>
                <w:rFonts w:ascii="Arial" w:hAnsi="Arial" w:cs="Arial"/>
                <w:sz w:val="24"/>
                <w:szCs w:val="24"/>
              </w:rPr>
            </w:pPr>
          </w:p>
        </w:tc>
        <w:tc>
          <w:tcPr>
            <w:tcW w:w="1247" w:type="dxa"/>
            <w:tcBorders>
              <w:right w:val="inset" w:sz="6" w:space="0" w:color="auto"/>
            </w:tcBorders>
            <w:shd w:val="clear" w:color="auto" w:fill="auto"/>
            <w:vAlign w:val="center"/>
          </w:tcPr>
          <w:p w:rsidR="00BF026D" w:rsidRPr="00986548" w:rsidRDefault="00BF026D" w:rsidP="00DF0915">
            <w:pPr>
              <w:jc w:val="center"/>
              <w:rPr>
                <w:rFonts w:ascii="Arial" w:hAnsi="Arial" w:cs="Arial"/>
                <w:sz w:val="24"/>
                <w:szCs w:val="24"/>
              </w:rPr>
            </w:pPr>
            <w:r w:rsidRPr="00986548">
              <w:rPr>
                <w:rFonts w:ascii="Arial" w:hAnsi="Arial" w:cs="Arial"/>
                <w:sz w:val="24"/>
                <w:szCs w:val="24"/>
              </w:rPr>
              <w:t>CT2-Fond urban</w:t>
            </w:r>
          </w:p>
        </w:tc>
        <w:tc>
          <w:tcPr>
            <w:tcW w:w="847" w:type="dxa"/>
            <w:tcBorders>
              <w:left w:val="inset" w:sz="6" w:space="0" w:color="auto"/>
            </w:tcBorders>
            <w:shd w:val="clear" w:color="auto" w:fill="auto"/>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sidRPr="00BF26BA">
              <w:rPr>
                <w:rFonts w:ascii="Arial" w:hAnsi="Arial" w:cs="Arial"/>
                <w:sz w:val="24"/>
                <w:szCs w:val="24"/>
              </w:rPr>
              <w:t>7,6</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5,7</w:t>
            </w:r>
          </w:p>
        </w:tc>
        <w:tc>
          <w:tcPr>
            <w:tcW w:w="847" w:type="dxa"/>
            <w:tcBorders>
              <w:righ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right w:val="inset" w:sz="6" w:space="0" w:color="auto"/>
            </w:tcBorders>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left w:val="inset" w:sz="6" w:space="0" w:color="auto"/>
            </w:tcBorders>
            <w:vAlign w:val="center"/>
          </w:tcPr>
          <w:p w:rsidR="00BF026D" w:rsidRPr="00405BA8" w:rsidRDefault="00BF026D" w:rsidP="000B26B9">
            <w:pPr>
              <w:jc w:val="center"/>
              <w:rPr>
                <w:rFonts w:ascii="Arial" w:hAnsi="Arial" w:cs="Arial"/>
                <w:sz w:val="24"/>
                <w:szCs w:val="24"/>
              </w:rPr>
            </w:pPr>
            <w:r w:rsidRPr="00405BA8">
              <w:rPr>
                <w:rFonts w:ascii="Arial" w:hAnsi="Arial" w:cs="Arial"/>
                <w:sz w:val="24"/>
                <w:szCs w:val="24"/>
              </w:rPr>
              <w:t>***</w:t>
            </w:r>
          </w:p>
        </w:tc>
        <w:tc>
          <w:tcPr>
            <w:tcW w:w="800" w:type="dxa"/>
            <w:tcBorders>
              <w:left w:val="inset" w:sz="6" w:space="0" w:color="auto"/>
            </w:tcBorders>
            <w:vAlign w:val="center"/>
          </w:tcPr>
          <w:p w:rsidR="00BF026D" w:rsidRDefault="00BF026D" w:rsidP="00140C73">
            <w:pPr>
              <w:jc w:val="center"/>
            </w:pPr>
            <w:r w:rsidRPr="00BD13C0">
              <w:rPr>
                <w:rFonts w:ascii="Arial" w:hAnsi="Arial" w:cs="Arial"/>
                <w:sz w:val="24"/>
                <w:szCs w:val="24"/>
              </w:rPr>
              <w:t>***</w:t>
            </w:r>
          </w:p>
        </w:tc>
        <w:tc>
          <w:tcPr>
            <w:tcW w:w="780" w:type="dxa"/>
            <w:tcBorders>
              <w:left w:val="inset" w:sz="6" w:space="0" w:color="auto"/>
            </w:tcBorders>
          </w:tcPr>
          <w:p w:rsidR="00BF026D" w:rsidRPr="00BD13C0" w:rsidRDefault="00623546" w:rsidP="00140C73">
            <w:pPr>
              <w:jc w:val="center"/>
              <w:rPr>
                <w:rFonts w:ascii="Arial" w:hAnsi="Arial" w:cs="Arial"/>
                <w:sz w:val="24"/>
                <w:szCs w:val="24"/>
              </w:rPr>
            </w:pPr>
            <w:r>
              <w:rPr>
                <w:rFonts w:ascii="Arial" w:hAnsi="Arial" w:cs="Arial"/>
                <w:sz w:val="24"/>
                <w:szCs w:val="24"/>
              </w:rPr>
              <w:t>6.86</w:t>
            </w:r>
          </w:p>
        </w:tc>
      </w:tr>
      <w:tr w:rsidR="00BF026D" w:rsidRPr="00986548" w:rsidTr="00BF026D">
        <w:trPr>
          <w:tblCellSpacing w:w="20" w:type="dxa"/>
          <w:jc w:val="center"/>
        </w:trPr>
        <w:tc>
          <w:tcPr>
            <w:tcW w:w="1406" w:type="dxa"/>
            <w:vMerge/>
            <w:shd w:val="clear" w:color="auto" w:fill="auto"/>
          </w:tcPr>
          <w:p w:rsidR="00BF026D" w:rsidRPr="00986548" w:rsidRDefault="00BF026D" w:rsidP="00DF0915">
            <w:pPr>
              <w:jc w:val="center"/>
              <w:rPr>
                <w:rFonts w:ascii="Arial" w:hAnsi="Arial" w:cs="Arial"/>
                <w:sz w:val="24"/>
                <w:szCs w:val="24"/>
              </w:rPr>
            </w:pPr>
          </w:p>
        </w:tc>
        <w:tc>
          <w:tcPr>
            <w:tcW w:w="1247" w:type="dxa"/>
            <w:tcBorders>
              <w:right w:val="inset" w:sz="6" w:space="0" w:color="auto"/>
            </w:tcBorders>
            <w:shd w:val="clear" w:color="auto" w:fill="auto"/>
            <w:vAlign w:val="center"/>
          </w:tcPr>
          <w:p w:rsidR="00BF026D" w:rsidRPr="00986548" w:rsidRDefault="00BF026D" w:rsidP="00DF0915">
            <w:pPr>
              <w:jc w:val="center"/>
              <w:rPr>
                <w:rFonts w:ascii="Arial" w:hAnsi="Arial" w:cs="Arial"/>
                <w:sz w:val="24"/>
                <w:szCs w:val="24"/>
              </w:rPr>
            </w:pPr>
            <w:r w:rsidRPr="00986548">
              <w:rPr>
                <w:rFonts w:ascii="Arial" w:hAnsi="Arial" w:cs="Arial"/>
                <w:sz w:val="24"/>
                <w:szCs w:val="24"/>
              </w:rPr>
              <w:t>CT3-Fond suburban</w:t>
            </w:r>
          </w:p>
        </w:tc>
        <w:tc>
          <w:tcPr>
            <w:tcW w:w="847" w:type="dxa"/>
            <w:tcBorders>
              <w:left w:val="inset" w:sz="6" w:space="0" w:color="auto"/>
            </w:tcBorders>
            <w:shd w:val="clear" w:color="auto" w:fill="auto"/>
            <w:vAlign w:val="center"/>
          </w:tcPr>
          <w:p w:rsidR="00BF026D" w:rsidRPr="00986548" w:rsidRDefault="00BF026D" w:rsidP="000B26B9">
            <w:pPr>
              <w:jc w:val="center"/>
              <w:rPr>
                <w:rFonts w:ascii="Arial" w:hAnsi="Arial" w:cs="Arial"/>
                <w:sz w:val="24"/>
                <w:szCs w:val="24"/>
              </w:rPr>
            </w:pPr>
            <w:r w:rsidRPr="00BF26BA">
              <w:rPr>
                <w:rFonts w:ascii="Arial" w:hAnsi="Arial" w:cs="Arial"/>
                <w:sz w:val="24"/>
                <w:szCs w:val="24"/>
              </w:rPr>
              <w:t>7,8</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righ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sidRPr="00986548">
              <w:rPr>
                <w:rFonts w:ascii="Arial" w:hAnsi="Arial" w:cs="Arial"/>
                <w:sz w:val="24"/>
                <w:szCs w:val="24"/>
              </w:rPr>
              <w:t>**</w:t>
            </w:r>
            <w:r>
              <w:rPr>
                <w:rFonts w:ascii="Arial" w:hAnsi="Arial" w:cs="Arial"/>
                <w:sz w:val="24"/>
                <w:szCs w:val="24"/>
              </w:rPr>
              <w:t>*</w:t>
            </w:r>
          </w:p>
        </w:tc>
        <w:tc>
          <w:tcPr>
            <w:tcW w:w="780" w:type="dxa"/>
            <w:tcBorders>
              <w:left w:val="inset" w:sz="6" w:space="0" w:color="auto"/>
            </w:tcBorders>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right w:val="inset" w:sz="6" w:space="0" w:color="auto"/>
            </w:tcBorders>
            <w:vAlign w:val="center"/>
          </w:tcPr>
          <w:p w:rsidR="00BF026D" w:rsidRPr="00986548" w:rsidRDefault="00BF026D" w:rsidP="000B26B9">
            <w:pPr>
              <w:jc w:val="center"/>
              <w:rPr>
                <w:rFonts w:ascii="Arial" w:hAnsi="Arial" w:cs="Arial"/>
                <w:sz w:val="24"/>
                <w:szCs w:val="24"/>
              </w:rPr>
            </w:pPr>
            <w:r>
              <w:rPr>
                <w:rFonts w:ascii="Arial" w:hAnsi="Arial" w:cs="Arial"/>
                <w:sz w:val="24"/>
                <w:szCs w:val="24"/>
              </w:rPr>
              <w:t>7.18</w:t>
            </w:r>
          </w:p>
        </w:tc>
        <w:tc>
          <w:tcPr>
            <w:tcW w:w="847" w:type="dxa"/>
            <w:tcBorders>
              <w:left w:val="inset" w:sz="6" w:space="0" w:color="auto"/>
            </w:tcBorders>
            <w:vAlign w:val="center"/>
          </w:tcPr>
          <w:p w:rsidR="00BF026D" w:rsidRPr="00405BA8" w:rsidRDefault="00BF026D" w:rsidP="000B26B9">
            <w:pPr>
              <w:jc w:val="center"/>
              <w:rPr>
                <w:rFonts w:ascii="Arial" w:hAnsi="Arial" w:cs="Arial"/>
                <w:sz w:val="24"/>
                <w:szCs w:val="24"/>
              </w:rPr>
            </w:pPr>
            <w:r w:rsidRPr="00405BA8">
              <w:rPr>
                <w:rFonts w:ascii="Arial" w:hAnsi="Arial" w:cs="Arial"/>
                <w:sz w:val="24"/>
                <w:szCs w:val="24"/>
              </w:rPr>
              <w:t>**</w:t>
            </w:r>
          </w:p>
        </w:tc>
        <w:tc>
          <w:tcPr>
            <w:tcW w:w="800" w:type="dxa"/>
            <w:tcBorders>
              <w:left w:val="inset" w:sz="6" w:space="0" w:color="auto"/>
            </w:tcBorders>
            <w:vAlign w:val="center"/>
          </w:tcPr>
          <w:p w:rsidR="00BF026D" w:rsidRDefault="00BF026D" w:rsidP="00140C73">
            <w:pPr>
              <w:jc w:val="center"/>
            </w:pPr>
            <w:r w:rsidRPr="00BD13C0">
              <w:rPr>
                <w:rFonts w:ascii="Arial" w:hAnsi="Arial" w:cs="Arial"/>
                <w:sz w:val="24"/>
                <w:szCs w:val="24"/>
              </w:rPr>
              <w:t>***</w:t>
            </w:r>
          </w:p>
        </w:tc>
        <w:tc>
          <w:tcPr>
            <w:tcW w:w="780" w:type="dxa"/>
            <w:tcBorders>
              <w:left w:val="inset" w:sz="6" w:space="0" w:color="auto"/>
            </w:tcBorders>
          </w:tcPr>
          <w:p w:rsidR="00BF026D" w:rsidRPr="00BD13C0" w:rsidRDefault="00623546" w:rsidP="00140C73">
            <w:pPr>
              <w:jc w:val="center"/>
              <w:rPr>
                <w:rFonts w:ascii="Arial" w:hAnsi="Arial" w:cs="Arial"/>
                <w:sz w:val="24"/>
                <w:szCs w:val="24"/>
              </w:rPr>
            </w:pPr>
            <w:r>
              <w:rPr>
                <w:rFonts w:ascii="Arial" w:hAnsi="Arial" w:cs="Arial"/>
                <w:sz w:val="24"/>
                <w:szCs w:val="24"/>
              </w:rPr>
              <w:t>6.32</w:t>
            </w:r>
          </w:p>
        </w:tc>
      </w:tr>
      <w:tr w:rsidR="00BF026D" w:rsidRPr="00986548" w:rsidTr="00BF026D">
        <w:trPr>
          <w:tblCellSpacing w:w="20" w:type="dxa"/>
          <w:jc w:val="center"/>
        </w:trPr>
        <w:tc>
          <w:tcPr>
            <w:tcW w:w="1406" w:type="dxa"/>
            <w:vMerge/>
            <w:shd w:val="clear" w:color="auto" w:fill="auto"/>
          </w:tcPr>
          <w:p w:rsidR="00BF026D" w:rsidRPr="00986548" w:rsidRDefault="00BF026D" w:rsidP="00DF0915">
            <w:pPr>
              <w:jc w:val="center"/>
              <w:rPr>
                <w:rFonts w:ascii="Arial" w:hAnsi="Arial" w:cs="Arial"/>
                <w:sz w:val="24"/>
                <w:szCs w:val="24"/>
              </w:rPr>
            </w:pPr>
          </w:p>
        </w:tc>
        <w:tc>
          <w:tcPr>
            <w:tcW w:w="1247" w:type="dxa"/>
            <w:tcBorders>
              <w:right w:val="inset" w:sz="6" w:space="0" w:color="auto"/>
            </w:tcBorders>
            <w:shd w:val="clear" w:color="auto" w:fill="auto"/>
            <w:vAlign w:val="center"/>
          </w:tcPr>
          <w:p w:rsidR="00BF026D" w:rsidRPr="00986548" w:rsidRDefault="00BF026D" w:rsidP="00DF0915">
            <w:pPr>
              <w:jc w:val="center"/>
              <w:rPr>
                <w:rFonts w:ascii="Arial" w:hAnsi="Arial" w:cs="Arial"/>
                <w:sz w:val="24"/>
                <w:szCs w:val="24"/>
              </w:rPr>
            </w:pPr>
            <w:r w:rsidRPr="00986548">
              <w:rPr>
                <w:rFonts w:ascii="Arial" w:hAnsi="Arial" w:cs="Arial"/>
                <w:sz w:val="24"/>
                <w:szCs w:val="24"/>
              </w:rPr>
              <w:t>CT4-Trafic</w:t>
            </w:r>
          </w:p>
        </w:tc>
        <w:tc>
          <w:tcPr>
            <w:tcW w:w="847" w:type="dxa"/>
            <w:tcBorders>
              <w:left w:val="inset" w:sz="6" w:space="0" w:color="auto"/>
            </w:tcBorders>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12,92</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5,73</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righ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vAlign w:val="center"/>
          </w:tcPr>
          <w:p w:rsidR="00BF026D" w:rsidRPr="00986548" w:rsidRDefault="00BF026D" w:rsidP="000B26B9">
            <w:pPr>
              <w:tabs>
                <w:tab w:val="center" w:pos="4680"/>
                <w:tab w:val="right" w:pos="9000"/>
              </w:tabs>
              <w:jc w:val="center"/>
              <w:rPr>
                <w:rFonts w:ascii="Arial" w:hAnsi="Arial" w:cs="Arial"/>
                <w:sz w:val="24"/>
                <w:szCs w:val="24"/>
              </w:rPr>
            </w:pPr>
            <w:r w:rsidRPr="00986548">
              <w:rPr>
                <w:rFonts w:ascii="Arial" w:hAnsi="Arial" w:cs="Arial"/>
                <w:sz w:val="24"/>
                <w:szCs w:val="24"/>
              </w:rPr>
              <w:t>7,4</w:t>
            </w:r>
          </w:p>
        </w:tc>
        <w:tc>
          <w:tcPr>
            <w:tcW w:w="780" w:type="dxa"/>
            <w:tcBorders>
              <w:left w:val="inset" w:sz="6" w:space="0" w:color="auto"/>
              <w:right w:val="inset" w:sz="6" w:space="0" w:color="auto"/>
            </w:tcBorders>
            <w:vAlign w:val="center"/>
          </w:tcPr>
          <w:p w:rsidR="00BF026D" w:rsidRPr="00986548" w:rsidRDefault="00BF026D" w:rsidP="000B26B9">
            <w:pPr>
              <w:jc w:val="center"/>
              <w:rPr>
                <w:rFonts w:ascii="Arial" w:hAnsi="Arial" w:cs="Arial"/>
                <w:sz w:val="24"/>
                <w:szCs w:val="24"/>
              </w:rPr>
            </w:pPr>
            <w:r>
              <w:rPr>
                <w:rFonts w:ascii="Arial" w:hAnsi="Arial" w:cs="Arial"/>
                <w:sz w:val="24"/>
                <w:szCs w:val="24"/>
              </w:rPr>
              <w:t>6.89</w:t>
            </w:r>
          </w:p>
        </w:tc>
        <w:tc>
          <w:tcPr>
            <w:tcW w:w="847" w:type="dxa"/>
            <w:tcBorders>
              <w:left w:val="inset" w:sz="6" w:space="0" w:color="auto"/>
            </w:tcBorders>
            <w:vAlign w:val="center"/>
          </w:tcPr>
          <w:p w:rsidR="00BF026D" w:rsidRPr="00405BA8" w:rsidRDefault="00BF026D" w:rsidP="000B26B9">
            <w:pPr>
              <w:jc w:val="center"/>
              <w:rPr>
                <w:rFonts w:ascii="Arial" w:hAnsi="Arial" w:cs="Arial"/>
                <w:sz w:val="24"/>
                <w:szCs w:val="24"/>
              </w:rPr>
            </w:pPr>
            <w:r w:rsidRPr="00405BA8">
              <w:rPr>
                <w:rFonts w:ascii="Arial" w:hAnsi="Arial" w:cs="Arial"/>
                <w:sz w:val="24"/>
                <w:szCs w:val="24"/>
              </w:rPr>
              <w:t>***</w:t>
            </w:r>
          </w:p>
        </w:tc>
        <w:tc>
          <w:tcPr>
            <w:tcW w:w="800" w:type="dxa"/>
            <w:tcBorders>
              <w:left w:val="inset" w:sz="6" w:space="0" w:color="auto"/>
            </w:tcBorders>
            <w:vAlign w:val="center"/>
          </w:tcPr>
          <w:p w:rsidR="00BF026D" w:rsidRDefault="00BF026D" w:rsidP="00140C73">
            <w:pPr>
              <w:jc w:val="center"/>
            </w:pPr>
            <w:r w:rsidRPr="00BD13C0">
              <w:rPr>
                <w:rFonts w:ascii="Arial" w:hAnsi="Arial" w:cs="Arial"/>
                <w:sz w:val="24"/>
                <w:szCs w:val="24"/>
              </w:rPr>
              <w:t>***</w:t>
            </w:r>
          </w:p>
        </w:tc>
        <w:tc>
          <w:tcPr>
            <w:tcW w:w="780" w:type="dxa"/>
            <w:tcBorders>
              <w:left w:val="inset" w:sz="6" w:space="0" w:color="auto"/>
            </w:tcBorders>
          </w:tcPr>
          <w:p w:rsidR="00BF026D" w:rsidRPr="00BD13C0" w:rsidRDefault="00623546" w:rsidP="00140C73">
            <w:pPr>
              <w:jc w:val="center"/>
              <w:rPr>
                <w:rFonts w:ascii="Arial" w:hAnsi="Arial" w:cs="Arial"/>
                <w:sz w:val="24"/>
                <w:szCs w:val="24"/>
              </w:rPr>
            </w:pPr>
            <w:r>
              <w:rPr>
                <w:rFonts w:ascii="Arial" w:hAnsi="Arial" w:cs="Arial"/>
                <w:sz w:val="24"/>
                <w:szCs w:val="24"/>
              </w:rPr>
              <w:t>6.41</w:t>
            </w:r>
          </w:p>
        </w:tc>
      </w:tr>
      <w:tr w:rsidR="00BF026D" w:rsidRPr="00986548" w:rsidTr="00BF026D">
        <w:trPr>
          <w:tblCellSpacing w:w="20" w:type="dxa"/>
          <w:jc w:val="center"/>
        </w:trPr>
        <w:tc>
          <w:tcPr>
            <w:tcW w:w="1406" w:type="dxa"/>
            <w:vMerge/>
            <w:shd w:val="clear" w:color="auto" w:fill="auto"/>
          </w:tcPr>
          <w:p w:rsidR="00BF026D" w:rsidRPr="00986548" w:rsidRDefault="00BF026D" w:rsidP="00DF0915">
            <w:pPr>
              <w:jc w:val="center"/>
              <w:rPr>
                <w:rFonts w:ascii="Arial" w:hAnsi="Arial" w:cs="Arial"/>
                <w:sz w:val="24"/>
                <w:szCs w:val="24"/>
              </w:rPr>
            </w:pPr>
          </w:p>
        </w:tc>
        <w:tc>
          <w:tcPr>
            <w:tcW w:w="1247" w:type="dxa"/>
            <w:tcBorders>
              <w:right w:val="inset" w:sz="6" w:space="0" w:color="auto"/>
            </w:tcBorders>
            <w:shd w:val="clear" w:color="auto" w:fill="auto"/>
            <w:vAlign w:val="center"/>
          </w:tcPr>
          <w:p w:rsidR="00BF026D" w:rsidRPr="00986548" w:rsidRDefault="00BF026D" w:rsidP="00DF0915">
            <w:pPr>
              <w:jc w:val="center"/>
              <w:rPr>
                <w:rFonts w:ascii="Arial" w:hAnsi="Arial" w:cs="Arial"/>
                <w:sz w:val="24"/>
                <w:szCs w:val="24"/>
              </w:rPr>
            </w:pPr>
            <w:r w:rsidRPr="00986548">
              <w:rPr>
                <w:rFonts w:ascii="Arial" w:hAnsi="Arial" w:cs="Arial"/>
                <w:sz w:val="24"/>
                <w:szCs w:val="24"/>
              </w:rPr>
              <w:t>CT5-Industrial</w:t>
            </w:r>
          </w:p>
        </w:tc>
        <w:tc>
          <w:tcPr>
            <w:tcW w:w="847" w:type="dxa"/>
            <w:tcBorders>
              <w:left w:val="inset" w:sz="6" w:space="0" w:color="auto"/>
            </w:tcBorders>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8,47</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5,02</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6,43</w:t>
            </w:r>
          </w:p>
        </w:tc>
        <w:tc>
          <w:tcPr>
            <w:tcW w:w="847" w:type="dxa"/>
            <w:tcBorders>
              <w:righ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sidRPr="00986548">
              <w:rPr>
                <w:rFonts w:ascii="Arial" w:hAnsi="Arial" w:cs="Arial"/>
                <w:sz w:val="24"/>
                <w:szCs w:val="24"/>
              </w:rPr>
              <w:t>6,32</w:t>
            </w:r>
          </w:p>
        </w:tc>
        <w:tc>
          <w:tcPr>
            <w:tcW w:w="780" w:type="dxa"/>
            <w:tcBorders>
              <w:lef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right w:val="inset" w:sz="6" w:space="0" w:color="auto"/>
            </w:tcBorders>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left w:val="inset" w:sz="6" w:space="0" w:color="auto"/>
            </w:tcBorders>
            <w:vAlign w:val="center"/>
          </w:tcPr>
          <w:p w:rsidR="00BF026D" w:rsidRPr="00405BA8" w:rsidRDefault="00BF026D" w:rsidP="000B26B9">
            <w:pPr>
              <w:jc w:val="center"/>
              <w:rPr>
                <w:rFonts w:ascii="Arial" w:hAnsi="Arial" w:cs="Arial"/>
                <w:sz w:val="24"/>
                <w:szCs w:val="24"/>
              </w:rPr>
            </w:pPr>
            <w:r w:rsidRPr="00405BA8">
              <w:rPr>
                <w:rFonts w:ascii="Arial" w:hAnsi="Arial" w:cs="Arial"/>
                <w:sz w:val="24"/>
                <w:szCs w:val="24"/>
              </w:rPr>
              <w:t>5,753</w:t>
            </w:r>
          </w:p>
        </w:tc>
        <w:tc>
          <w:tcPr>
            <w:tcW w:w="800" w:type="dxa"/>
            <w:tcBorders>
              <w:left w:val="inset" w:sz="6" w:space="0" w:color="auto"/>
            </w:tcBorders>
            <w:vAlign w:val="center"/>
          </w:tcPr>
          <w:p w:rsidR="00BF026D" w:rsidRDefault="00BF026D" w:rsidP="00140C73">
            <w:pPr>
              <w:jc w:val="center"/>
            </w:pPr>
            <w:r w:rsidRPr="00BD13C0">
              <w:rPr>
                <w:rFonts w:ascii="Arial" w:hAnsi="Arial" w:cs="Arial"/>
                <w:sz w:val="24"/>
                <w:szCs w:val="24"/>
              </w:rPr>
              <w:t>***</w:t>
            </w:r>
          </w:p>
        </w:tc>
        <w:tc>
          <w:tcPr>
            <w:tcW w:w="780" w:type="dxa"/>
            <w:tcBorders>
              <w:left w:val="inset" w:sz="6" w:space="0" w:color="auto"/>
            </w:tcBorders>
          </w:tcPr>
          <w:p w:rsidR="00BF026D" w:rsidRPr="00BD13C0" w:rsidRDefault="00623546" w:rsidP="00140C73">
            <w:pPr>
              <w:jc w:val="center"/>
              <w:rPr>
                <w:rFonts w:ascii="Arial" w:hAnsi="Arial" w:cs="Arial"/>
                <w:sz w:val="24"/>
                <w:szCs w:val="24"/>
              </w:rPr>
            </w:pPr>
            <w:r>
              <w:rPr>
                <w:rFonts w:ascii="Arial" w:hAnsi="Arial" w:cs="Arial"/>
                <w:sz w:val="24"/>
                <w:szCs w:val="24"/>
              </w:rPr>
              <w:t>7.06</w:t>
            </w:r>
          </w:p>
        </w:tc>
      </w:tr>
      <w:tr w:rsidR="00BF026D" w:rsidRPr="00986548" w:rsidTr="00BF026D">
        <w:trPr>
          <w:tblCellSpacing w:w="20" w:type="dxa"/>
          <w:jc w:val="center"/>
        </w:trPr>
        <w:tc>
          <w:tcPr>
            <w:tcW w:w="1406" w:type="dxa"/>
            <w:vMerge/>
            <w:shd w:val="clear" w:color="auto" w:fill="auto"/>
          </w:tcPr>
          <w:p w:rsidR="00BF026D" w:rsidRPr="00986548" w:rsidRDefault="00BF026D" w:rsidP="00DF0915">
            <w:pPr>
              <w:jc w:val="center"/>
              <w:rPr>
                <w:rFonts w:ascii="Arial" w:hAnsi="Arial" w:cs="Arial"/>
                <w:sz w:val="24"/>
                <w:szCs w:val="24"/>
              </w:rPr>
            </w:pPr>
          </w:p>
        </w:tc>
        <w:tc>
          <w:tcPr>
            <w:tcW w:w="1247" w:type="dxa"/>
            <w:tcBorders>
              <w:right w:val="inset" w:sz="6" w:space="0" w:color="auto"/>
            </w:tcBorders>
            <w:shd w:val="clear" w:color="auto" w:fill="auto"/>
            <w:vAlign w:val="center"/>
          </w:tcPr>
          <w:p w:rsidR="00BF026D" w:rsidRPr="00986548" w:rsidRDefault="00BF026D" w:rsidP="00DF0915">
            <w:pPr>
              <w:jc w:val="center"/>
              <w:rPr>
                <w:rFonts w:ascii="Arial" w:hAnsi="Arial" w:cs="Arial"/>
                <w:sz w:val="24"/>
                <w:szCs w:val="24"/>
              </w:rPr>
            </w:pPr>
            <w:r w:rsidRPr="00986548">
              <w:rPr>
                <w:rFonts w:ascii="Arial" w:hAnsi="Arial" w:cs="Arial"/>
                <w:sz w:val="24"/>
                <w:szCs w:val="24"/>
              </w:rPr>
              <w:t>CT6-Industrial</w:t>
            </w:r>
          </w:p>
        </w:tc>
        <w:tc>
          <w:tcPr>
            <w:tcW w:w="847" w:type="dxa"/>
            <w:tcBorders>
              <w:left w:val="inset" w:sz="6" w:space="0" w:color="auto"/>
            </w:tcBorders>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16,6</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7,51</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6,32</w:t>
            </w:r>
          </w:p>
        </w:tc>
        <w:tc>
          <w:tcPr>
            <w:tcW w:w="847" w:type="dxa"/>
            <w:tcBorders>
              <w:righ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sidRPr="00986548">
              <w:rPr>
                <w:rFonts w:ascii="Arial" w:hAnsi="Arial" w:cs="Arial"/>
                <w:sz w:val="24"/>
                <w:szCs w:val="24"/>
              </w:rPr>
              <w:t>12,39</w:t>
            </w:r>
          </w:p>
        </w:tc>
        <w:tc>
          <w:tcPr>
            <w:tcW w:w="780" w:type="dxa"/>
            <w:tcBorders>
              <w:lef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right w:val="inset" w:sz="6" w:space="0" w:color="auto"/>
            </w:tcBorders>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left w:val="inset" w:sz="6" w:space="0" w:color="auto"/>
            </w:tcBorders>
            <w:vAlign w:val="center"/>
          </w:tcPr>
          <w:p w:rsidR="00BF026D" w:rsidRPr="00405BA8" w:rsidRDefault="00BF026D" w:rsidP="000B26B9">
            <w:pPr>
              <w:jc w:val="center"/>
              <w:rPr>
                <w:rFonts w:ascii="Arial" w:hAnsi="Arial" w:cs="Arial"/>
                <w:sz w:val="24"/>
                <w:szCs w:val="24"/>
              </w:rPr>
            </w:pPr>
            <w:r w:rsidRPr="00405BA8">
              <w:rPr>
                <w:rFonts w:ascii="Arial" w:hAnsi="Arial" w:cs="Arial"/>
                <w:sz w:val="24"/>
                <w:szCs w:val="24"/>
              </w:rPr>
              <w:t>***</w:t>
            </w:r>
          </w:p>
        </w:tc>
        <w:tc>
          <w:tcPr>
            <w:tcW w:w="800" w:type="dxa"/>
            <w:tcBorders>
              <w:left w:val="inset" w:sz="6" w:space="0" w:color="auto"/>
            </w:tcBorders>
            <w:vAlign w:val="center"/>
          </w:tcPr>
          <w:p w:rsidR="00BF026D" w:rsidRDefault="00BF026D" w:rsidP="00140C73">
            <w:pPr>
              <w:jc w:val="center"/>
            </w:pPr>
            <w:r w:rsidRPr="00BD13C0">
              <w:rPr>
                <w:rFonts w:ascii="Arial" w:hAnsi="Arial" w:cs="Arial"/>
                <w:sz w:val="24"/>
                <w:szCs w:val="24"/>
              </w:rPr>
              <w:t>***</w:t>
            </w:r>
          </w:p>
        </w:tc>
        <w:tc>
          <w:tcPr>
            <w:tcW w:w="780" w:type="dxa"/>
            <w:tcBorders>
              <w:left w:val="inset" w:sz="6" w:space="0" w:color="auto"/>
            </w:tcBorders>
          </w:tcPr>
          <w:p w:rsidR="00BF026D" w:rsidRPr="00BD13C0" w:rsidRDefault="00623546" w:rsidP="00140C73">
            <w:pPr>
              <w:jc w:val="center"/>
              <w:rPr>
                <w:rFonts w:ascii="Arial" w:hAnsi="Arial" w:cs="Arial"/>
                <w:sz w:val="24"/>
                <w:szCs w:val="24"/>
              </w:rPr>
            </w:pPr>
            <w:r>
              <w:rPr>
                <w:rFonts w:ascii="Arial" w:hAnsi="Arial" w:cs="Arial"/>
                <w:sz w:val="24"/>
                <w:szCs w:val="24"/>
              </w:rPr>
              <w:t>6.73</w:t>
            </w:r>
          </w:p>
        </w:tc>
      </w:tr>
      <w:tr w:rsidR="00BF026D" w:rsidRPr="00986548" w:rsidTr="00BF026D">
        <w:trPr>
          <w:tblCellSpacing w:w="20" w:type="dxa"/>
          <w:jc w:val="center"/>
        </w:trPr>
        <w:tc>
          <w:tcPr>
            <w:tcW w:w="1406" w:type="dxa"/>
            <w:vMerge/>
            <w:shd w:val="clear" w:color="auto" w:fill="auto"/>
          </w:tcPr>
          <w:p w:rsidR="00BF026D" w:rsidRPr="00986548" w:rsidRDefault="00BF026D" w:rsidP="00DF0915">
            <w:pPr>
              <w:jc w:val="center"/>
              <w:rPr>
                <w:rFonts w:ascii="Arial" w:hAnsi="Arial" w:cs="Arial"/>
                <w:sz w:val="24"/>
                <w:szCs w:val="24"/>
              </w:rPr>
            </w:pPr>
          </w:p>
        </w:tc>
        <w:tc>
          <w:tcPr>
            <w:tcW w:w="1247" w:type="dxa"/>
            <w:tcBorders>
              <w:right w:val="inset" w:sz="6" w:space="0" w:color="auto"/>
            </w:tcBorders>
            <w:shd w:val="clear" w:color="auto" w:fill="auto"/>
            <w:vAlign w:val="center"/>
          </w:tcPr>
          <w:p w:rsidR="00BF026D" w:rsidRPr="00986548" w:rsidRDefault="00BF026D" w:rsidP="00DF0915">
            <w:pPr>
              <w:jc w:val="center"/>
              <w:rPr>
                <w:rFonts w:ascii="Arial" w:hAnsi="Arial" w:cs="Arial"/>
                <w:sz w:val="24"/>
                <w:szCs w:val="24"/>
              </w:rPr>
            </w:pPr>
            <w:r w:rsidRPr="00986548">
              <w:rPr>
                <w:rFonts w:ascii="Arial" w:hAnsi="Arial" w:cs="Arial"/>
                <w:sz w:val="24"/>
                <w:szCs w:val="24"/>
              </w:rPr>
              <w:t>CT7-Industrial</w:t>
            </w:r>
          </w:p>
        </w:tc>
        <w:tc>
          <w:tcPr>
            <w:tcW w:w="847" w:type="dxa"/>
            <w:tcBorders>
              <w:left w:val="inset" w:sz="6" w:space="0" w:color="auto"/>
            </w:tcBorders>
            <w:shd w:val="clear" w:color="auto" w:fill="auto"/>
            <w:vAlign w:val="center"/>
          </w:tcPr>
          <w:p w:rsidR="00BF026D" w:rsidRPr="00986548" w:rsidRDefault="00BF026D" w:rsidP="000B26B9">
            <w:pPr>
              <w:jc w:val="center"/>
              <w:rPr>
                <w:rFonts w:ascii="Arial" w:hAnsi="Arial" w:cs="Arial"/>
                <w:sz w:val="24"/>
                <w:szCs w:val="24"/>
              </w:rPr>
            </w:pPr>
            <w:r w:rsidRPr="00986548">
              <w:rPr>
                <w:rFonts w:ascii="Arial" w:hAnsi="Arial" w:cs="Arial"/>
                <w:sz w:val="24"/>
                <w:szCs w:val="24"/>
              </w:rPr>
              <w:t>2,56</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righ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shd w:val="clear" w:color="auto" w:fill="auto"/>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tcBorders>
            <w:vAlign w:val="center"/>
          </w:tcPr>
          <w:p w:rsidR="00BF026D" w:rsidRPr="00986548" w:rsidRDefault="00BF026D" w:rsidP="000B26B9">
            <w:pPr>
              <w:tabs>
                <w:tab w:val="center" w:pos="4680"/>
                <w:tab w:val="right" w:pos="9000"/>
              </w:tabs>
              <w:jc w:val="center"/>
              <w:rPr>
                <w:rFonts w:ascii="Arial" w:hAnsi="Arial" w:cs="Arial"/>
                <w:sz w:val="24"/>
                <w:szCs w:val="24"/>
              </w:rPr>
            </w:pPr>
            <w:r>
              <w:rPr>
                <w:rFonts w:ascii="Arial" w:hAnsi="Arial" w:cs="Arial"/>
                <w:sz w:val="24"/>
                <w:szCs w:val="24"/>
              </w:rPr>
              <w:t>**</w:t>
            </w:r>
          </w:p>
        </w:tc>
        <w:tc>
          <w:tcPr>
            <w:tcW w:w="780" w:type="dxa"/>
            <w:tcBorders>
              <w:left w:val="inset" w:sz="6" w:space="0" w:color="auto"/>
              <w:right w:val="inset" w:sz="6" w:space="0" w:color="auto"/>
            </w:tcBorders>
            <w:vAlign w:val="center"/>
          </w:tcPr>
          <w:p w:rsidR="00BF026D" w:rsidRPr="00986548" w:rsidRDefault="00BF026D" w:rsidP="000B26B9">
            <w:pPr>
              <w:jc w:val="center"/>
              <w:rPr>
                <w:rFonts w:ascii="Arial" w:hAnsi="Arial" w:cs="Arial"/>
                <w:sz w:val="24"/>
                <w:szCs w:val="24"/>
              </w:rPr>
            </w:pPr>
            <w:r>
              <w:rPr>
                <w:rFonts w:ascii="Arial" w:hAnsi="Arial" w:cs="Arial"/>
                <w:sz w:val="24"/>
                <w:szCs w:val="24"/>
              </w:rPr>
              <w:t>**</w:t>
            </w:r>
          </w:p>
        </w:tc>
        <w:tc>
          <w:tcPr>
            <w:tcW w:w="847" w:type="dxa"/>
            <w:tcBorders>
              <w:left w:val="inset" w:sz="6" w:space="0" w:color="auto"/>
            </w:tcBorders>
            <w:vAlign w:val="center"/>
          </w:tcPr>
          <w:p w:rsidR="00BF026D" w:rsidRPr="00405BA8" w:rsidRDefault="00BF026D" w:rsidP="000B26B9">
            <w:pPr>
              <w:jc w:val="center"/>
              <w:rPr>
                <w:rFonts w:ascii="Arial" w:hAnsi="Arial" w:cs="Arial"/>
                <w:sz w:val="24"/>
                <w:szCs w:val="24"/>
              </w:rPr>
            </w:pPr>
            <w:r w:rsidRPr="00405BA8">
              <w:rPr>
                <w:rFonts w:ascii="Arial" w:hAnsi="Arial" w:cs="Arial"/>
                <w:sz w:val="24"/>
                <w:szCs w:val="24"/>
              </w:rPr>
              <w:t>**</w:t>
            </w:r>
          </w:p>
        </w:tc>
        <w:tc>
          <w:tcPr>
            <w:tcW w:w="800" w:type="dxa"/>
            <w:tcBorders>
              <w:left w:val="inset" w:sz="6" w:space="0" w:color="auto"/>
            </w:tcBorders>
            <w:vAlign w:val="center"/>
          </w:tcPr>
          <w:p w:rsidR="00BF026D" w:rsidRDefault="00BF026D" w:rsidP="00140C73">
            <w:pPr>
              <w:jc w:val="center"/>
            </w:pPr>
            <w:r w:rsidRPr="00BD13C0">
              <w:rPr>
                <w:rFonts w:ascii="Arial" w:hAnsi="Arial" w:cs="Arial"/>
                <w:sz w:val="24"/>
                <w:szCs w:val="24"/>
              </w:rPr>
              <w:t>***</w:t>
            </w:r>
          </w:p>
        </w:tc>
        <w:tc>
          <w:tcPr>
            <w:tcW w:w="780" w:type="dxa"/>
            <w:tcBorders>
              <w:left w:val="inset" w:sz="6" w:space="0" w:color="auto"/>
            </w:tcBorders>
          </w:tcPr>
          <w:p w:rsidR="00BF026D" w:rsidRPr="00BD13C0" w:rsidRDefault="00623546" w:rsidP="00140C73">
            <w:pPr>
              <w:jc w:val="center"/>
              <w:rPr>
                <w:rFonts w:ascii="Arial" w:hAnsi="Arial" w:cs="Arial"/>
                <w:sz w:val="24"/>
                <w:szCs w:val="24"/>
              </w:rPr>
            </w:pPr>
            <w:r>
              <w:rPr>
                <w:rFonts w:ascii="Arial" w:hAnsi="Arial" w:cs="Arial"/>
                <w:sz w:val="24"/>
                <w:szCs w:val="24"/>
              </w:rPr>
              <w:t>6.71</w:t>
            </w:r>
          </w:p>
        </w:tc>
      </w:tr>
    </w:tbl>
    <w:p w:rsidR="00C042FD" w:rsidRDefault="00623546" w:rsidP="003C4AC8">
      <w:pPr>
        <w:autoSpaceDE w:val="0"/>
        <w:autoSpaceDN w:val="0"/>
        <w:adjustRightInd w:val="0"/>
        <w:jc w:val="both"/>
        <w:rPr>
          <w:rFonts w:ascii="Arial" w:hAnsi="Arial" w:cs="Arial"/>
          <w:sz w:val="24"/>
          <w:szCs w:val="24"/>
        </w:rPr>
      </w:pPr>
      <w:r>
        <w:rPr>
          <w:rFonts w:ascii="Arial" w:hAnsi="Arial" w:cs="Arial"/>
          <w:i/>
          <w:sz w:val="24"/>
          <w:szCs w:val="24"/>
          <w:lang w:val="ro-RO"/>
        </w:rPr>
        <w:t xml:space="preserve">                                                                                                                      Tabel 1.1.1.2.2.</w:t>
      </w:r>
    </w:p>
    <w:p w:rsidR="003C4AC8" w:rsidRDefault="003C4AC8" w:rsidP="003C4AC8">
      <w:pPr>
        <w:autoSpaceDE w:val="0"/>
        <w:autoSpaceDN w:val="0"/>
        <w:adjustRightInd w:val="0"/>
        <w:jc w:val="both"/>
        <w:rPr>
          <w:rFonts w:ascii="Arial" w:hAnsi="Arial" w:cs="Arial"/>
          <w:bCs/>
          <w:sz w:val="24"/>
          <w:szCs w:val="24"/>
          <w:lang w:val="it-IT"/>
        </w:rPr>
      </w:pPr>
      <w:r w:rsidRPr="00140C73">
        <w:rPr>
          <w:rFonts w:ascii="Arial" w:hAnsi="Arial" w:cs="Arial"/>
          <w:sz w:val="24"/>
          <w:szCs w:val="24"/>
        </w:rPr>
        <w:t xml:space="preserve">Din motive tehnice, pentru statiile care nu apar in grafic </w:t>
      </w:r>
      <w:r w:rsidR="00623546">
        <w:rPr>
          <w:rFonts w:ascii="Arial" w:hAnsi="Arial" w:cs="Arial"/>
          <w:sz w:val="24"/>
          <w:szCs w:val="24"/>
        </w:rPr>
        <w:t xml:space="preserve">in anii anteriori </w:t>
      </w:r>
      <w:r w:rsidRPr="00140C73">
        <w:rPr>
          <w:rFonts w:ascii="Arial" w:hAnsi="Arial" w:cs="Arial"/>
          <w:sz w:val="24"/>
          <w:szCs w:val="24"/>
        </w:rPr>
        <w:t xml:space="preserve">nu exista </w:t>
      </w:r>
      <w:r w:rsidRPr="00140C73">
        <w:rPr>
          <w:rFonts w:ascii="Arial" w:hAnsi="Arial" w:cs="Arial"/>
          <w:bCs/>
          <w:sz w:val="24"/>
          <w:szCs w:val="24"/>
          <w:lang w:val="it-IT"/>
        </w:rPr>
        <w:t>date/datele validate sunt insuficiente pentru a respecta criteriile de calitate conform Legii 104/2011 (captura de date pentru minim 75% din intervalul de timp calendaristic).</w:t>
      </w:r>
    </w:p>
    <w:p w:rsidR="0024604C" w:rsidRDefault="0024604C" w:rsidP="003C4AC8">
      <w:pPr>
        <w:autoSpaceDE w:val="0"/>
        <w:autoSpaceDN w:val="0"/>
        <w:adjustRightInd w:val="0"/>
        <w:jc w:val="both"/>
        <w:rPr>
          <w:rFonts w:ascii="Arial" w:hAnsi="Arial" w:cs="Arial"/>
          <w:bCs/>
          <w:sz w:val="24"/>
          <w:szCs w:val="24"/>
          <w:lang w:val="it-IT"/>
        </w:rPr>
      </w:pPr>
    </w:p>
    <w:p w:rsidR="0024604C" w:rsidRDefault="0024604C" w:rsidP="003C4AC8">
      <w:pPr>
        <w:autoSpaceDE w:val="0"/>
        <w:autoSpaceDN w:val="0"/>
        <w:adjustRightInd w:val="0"/>
        <w:jc w:val="both"/>
        <w:rPr>
          <w:rFonts w:ascii="Arial" w:hAnsi="Arial" w:cs="Arial"/>
          <w:bCs/>
          <w:sz w:val="24"/>
          <w:szCs w:val="24"/>
          <w:lang w:val="it-IT"/>
        </w:rPr>
      </w:pPr>
      <w:r w:rsidRPr="0024604C">
        <w:rPr>
          <w:rFonts w:ascii="Arial" w:hAnsi="Arial" w:cs="Arial"/>
          <w:bCs/>
          <w:noProof/>
          <w:sz w:val="24"/>
          <w:szCs w:val="24"/>
        </w:rPr>
        <w:drawing>
          <wp:inline distT="0" distB="0" distL="0" distR="0">
            <wp:extent cx="5943600" cy="3832225"/>
            <wp:effectExtent l="19050" t="0" r="19050" b="0"/>
            <wp:docPr id="5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6142" w:rsidRPr="00F56142" w:rsidRDefault="00E76EAE" w:rsidP="00F56142">
      <w:pPr>
        <w:autoSpaceDE w:val="0"/>
        <w:autoSpaceDN w:val="0"/>
        <w:adjustRightInd w:val="0"/>
        <w:ind w:left="6480"/>
        <w:jc w:val="both"/>
        <w:rPr>
          <w:rFonts w:ascii="Arial" w:hAnsi="Arial" w:cs="Arial"/>
          <w:bCs/>
          <w:i/>
          <w:sz w:val="24"/>
          <w:szCs w:val="24"/>
          <w:lang w:val="it-IT"/>
        </w:rPr>
      </w:pPr>
      <w:r>
        <w:rPr>
          <w:rFonts w:ascii="Arial" w:hAnsi="Arial" w:cs="Arial"/>
          <w:i/>
          <w:sz w:val="24"/>
          <w:szCs w:val="24"/>
          <w:lang w:val="ro-RO" w:eastAsia="ro-RO"/>
        </w:rPr>
        <w:t xml:space="preserve">                 </w:t>
      </w:r>
      <w:r w:rsidR="00831002" w:rsidRPr="00F56142">
        <w:rPr>
          <w:rFonts w:ascii="Arial" w:hAnsi="Arial" w:cs="Arial"/>
          <w:i/>
          <w:sz w:val="24"/>
          <w:szCs w:val="24"/>
          <w:lang w:val="ro-RO" w:eastAsia="ro-RO"/>
        </w:rPr>
        <w:t xml:space="preserve"> </w:t>
      </w:r>
      <w:r w:rsidR="00F56142" w:rsidRPr="00F56142">
        <w:rPr>
          <w:rFonts w:ascii="Arial" w:hAnsi="Arial" w:cs="Arial"/>
          <w:bCs/>
          <w:i/>
          <w:sz w:val="24"/>
          <w:szCs w:val="24"/>
          <w:lang w:val="it-IT"/>
        </w:rPr>
        <w:t>Figura 1.1.1.2.</w:t>
      </w:r>
      <w:r w:rsidR="00F56142">
        <w:rPr>
          <w:rFonts w:ascii="Arial" w:hAnsi="Arial" w:cs="Arial"/>
          <w:bCs/>
          <w:i/>
          <w:sz w:val="24"/>
          <w:szCs w:val="24"/>
          <w:lang w:val="it-IT"/>
        </w:rPr>
        <w:t>2</w:t>
      </w:r>
    </w:p>
    <w:p w:rsidR="00831002" w:rsidRPr="00D572F6" w:rsidRDefault="00831002" w:rsidP="00831002">
      <w:pPr>
        <w:tabs>
          <w:tab w:val="num" w:pos="0"/>
        </w:tabs>
        <w:jc w:val="center"/>
        <w:rPr>
          <w:rFonts w:ascii="Arial" w:hAnsi="Arial" w:cs="Arial"/>
          <w:i/>
          <w:sz w:val="24"/>
          <w:szCs w:val="24"/>
          <w:lang w:val="ro-RO" w:eastAsia="ro-RO"/>
        </w:rPr>
      </w:pPr>
    </w:p>
    <w:p w:rsidR="00831002" w:rsidRPr="00965178" w:rsidRDefault="00EA361C" w:rsidP="009776CE">
      <w:pPr>
        <w:tabs>
          <w:tab w:val="num" w:pos="0"/>
        </w:tabs>
        <w:jc w:val="both"/>
        <w:rPr>
          <w:rFonts w:ascii="Arial" w:hAnsi="Arial" w:cs="Arial"/>
          <w:b/>
          <w:sz w:val="24"/>
          <w:szCs w:val="24"/>
          <w:lang w:val="ro-RO" w:eastAsia="ro-RO"/>
        </w:rPr>
      </w:pPr>
      <w:r w:rsidRPr="00965178">
        <w:rPr>
          <w:rFonts w:ascii="Arial" w:hAnsi="Arial" w:cs="Arial"/>
          <w:sz w:val="24"/>
          <w:szCs w:val="24"/>
          <w:lang w:val="ro-RO" w:eastAsia="ro-RO"/>
        </w:rPr>
        <w:t xml:space="preserve">Pentru judetul Constanta nu exista </w:t>
      </w:r>
      <w:r w:rsidR="009C0F24" w:rsidRPr="00965178">
        <w:rPr>
          <w:rFonts w:ascii="Arial" w:hAnsi="Arial" w:cs="Arial"/>
          <w:sz w:val="24"/>
          <w:szCs w:val="24"/>
          <w:lang w:val="ro-RO" w:eastAsia="ro-RO"/>
        </w:rPr>
        <w:t>depasiri pentru poluantul SO2.</w:t>
      </w:r>
    </w:p>
    <w:p w:rsidR="00AC7D51" w:rsidRDefault="00AC7D51" w:rsidP="009776CE">
      <w:pPr>
        <w:tabs>
          <w:tab w:val="num" w:pos="0"/>
        </w:tabs>
        <w:jc w:val="both"/>
        <w:rPr>
          <w:rFonts w:ascii="Arial" w:hAnsi="Arial" w:cs="Arial"/>
          <w:b/>
          <w:sz w:val="24"/>
          <w:szCs w:val="24"/>
          <w:lang w:val="ro-RO" w:eastAsia="ro-RO"/>
        </w:rPr>
      </w:pPr>
    </w:p>
    <w:p w:rsidR="00DD6A13" w:rsidRDefault="00DD6A13" w:rsidP="00DD6A13">
      <w:pPr>
        <w:tabs>
          <w:tab w:val="num" w:pos="0"/>
        </w:tabs>
        <w:jc w:val="both"/>
        <w:rPr>
          <w:rFonts w:ascii="Arial" w:hAnsi="Arial" w:cs="Arial"/>
          <w:b/>
          <w:sz w:val="24"/>
          <w:szCs w:val="24"/>
          <w:lang w:val="ro-RO"/>
        </w:rPr>
      </w:pPr>
      <w:r w:rsidRPr="007B7830">
        <w:rPr>
          <w:rFonts w:ascii="Arial" w:hAnsi="Arial" w:cs="Arial"/>
          <w:b/>
          <w:sz w:val="24"/>
          <w:szCs w:val="24"/>
          <w:lang w:val="ro-RO"/>
        </w:rPr>
        <w:t xml:space="preserve">  Monoxidul de carbon</w:t>
      </w:r>
    </w:p>
    <w:p w:rsidR="00DD6A13" w:rsidRDefault="00DD6A13" w:rsidP="00DD6A13">
      <w:pPr>
        <w:tabs>
          <w:tab w:val="num" w:pos="0"/>
        </w:tabs>
        <w:jc w:val="both"/>
        <w:rPr>
          <w:rFonts w:ascii="Arial" w:hAnsi="Arial" w:cs="Arial"/>
          <w:b/>
          <w:sz w:val="24"/>
          <w:szCs w:val="24"/>
          <w:lang w:val="ro-RO"/>
        </w:rPr>
      </w:pPr>
    </w:p>
    <w:p w:rsidR="00DD6A13" w:rsidRPr="00D572F6" w:rsidRDefault="00DD6A13" w:rsidP="00DD6A13">
      <w:pPr>
        <w:tabs>
          <w:tab w:val="num" w:pos="0"/>
        </w:tabs>
        <w:jc w:val="both"/>
        <w:rPr>
          <w:rFonts w:ascii="Arial" w:hAnsi="Arial" w:cs="Arial"/>
          <w:i/>
          <w:sz w:val="24"/>
          <w:szCs w:val="24"/>
          <w:lang w:val="ro-RO"/>
        </w:rPr>
      </w:pPr>
      <w:r>
        <w:rPr>
          <w:rFonts w:ascii="Arial" w:hAnsi="Arial" w:cs="Arial"/>
          <w:sz w:val="24"/>
          <w:szCs w:val="24"/>
          <w:lang w:val="ro-RO"/>
        </w:rPr>
        <w:t xml:space="preserve">                                                                                                             </w:t>
      </w:r>
      <w:r w:rsidR="00CE368A">
        <w:rPr>
          <w:rFonts w:ascii="Arial" w:hAnsi="Arial" w:cs="Arial"/>
          <w:sz w:val="24"/>
          <w:szCs w:val="24"/>
          <w:lang w:val="ro-RO"/>
        </w:rPr>
        <w:t xml:space="preserve">      </w:t>
      </w:r>
      <w:r>
        <w:rPr>
          <w:rFonts w:ascii="Arial" w:hAnsi="Arial" w:cs="Arial"/>
          <w:i/>
          <w:sz w:val="24"/>
          <w:szCs w:val="24"/>
          <w:lang w:val="ro-RO"/>
        </w:rPr>
        <w:t>.</w:t>
      </w:r>
    </w:p>
    <w:tbl>
      <w:tblPr>
        <w:tblW w:w="1105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66"/>
        <w:gridCol w:w="1204"/>
        <w:gridCol w:w="820"/>
        <w:gridCol w:w="820"/>
        <w:gridCol w:w="820"/>
        <w:gridCol w:w="820"/>
        <w:gridCol w:w="837"/>
        <w:gridCol w:w="820"/>
        <w:gridCol w:w="837"/>
        <w:gridCol w:w="820"/>
        <w:gridCol w:w="40"/>
        <w:gridCol w:w="857"/>
        <w:gridCol w:w="897"/>
      </w:tblGrid>
      <w:tr w:rsidR="007B5806" w:rsidRPr="00986548" w:rsidTr="007B5806">
        <w:trPr>
          <w:tblCellSpacing w:w="20" w:type="dxa"/>
          <w:jc w:val="center"/>
        </w:trPr>
        <w:tc>
          <w:tcPr>
            <w:tcW w:w="1406" w:type="dxa"/>
            <w:vMerge w:val="restart"/>
            <w:shd w:val="clear" w:color="auto" w:fill="FFFFCC"/>
            <w:vAlign w:val="center"/>
          </w:tcPr>
          <w:p w:rsidR="007B5806" w:rsidRPr="00986548" w:rsidRDefault="007B5806" w:rsidP="00E15AE8">
            <w:pPr>
              <w:jc w:val="center"/>
              <w:rPr>
                <w:rFonts w:ascii="Arial" w:hAnsi="Arial" w:cs="Arial"/>
                <w:b/>
                <w:sz w:val="24"/>
                <w:szCs w:val="24"/>
              </w:rPr>
            </w:pPr>
            <w:r w:rsidRPr="00986548">
              <w:rPr>
                <w:rFonts w:ascii="Arial" w:hAnsi="Arial" w:cs="Arial"/>
                <w:b/>
                <w:sz w:val="24"/>
                <w:szCs w:val="24"/>
              </w:rPr>
              <w:t>POLUANT</w:t>
            </w:r>
          </w:p>
        </w:tc>
        <w:tc>
          <w:tcPr>
            <w:tcW w:w="1164" w:type="dxa"/>
            <w:vMerge w:val="restart"/>
            <w:tcBorders>
              <w:right w:val="outset" w:sz="6" w:space="0" w:color="auto"/>
            </w:tcBorders>
            <w:shd w:val="clear" w:color="auto" w:fill="FFFFCC"/>
            <w:vAlign w:val="center"/>
          </w:tcPr>
          <w:p w:rsidR="007B5806" w:rsidRPr="00986548" w:rsidRDefault="007B5806" w:rsidP="00E15AE8">
            <w:pPr>
              <w:jc w:val="center"/>
              <w:rPr>
                <w:rFonts w:ascii="Arial" w:hAnsi="Arial" w:cs="Arial"/>
                <w:b/>
                <w:sz w:val="24"/>
                <w:szCs w:val="24"/>
              </w:rPr>
            </w:pPr>
            <w:r w:rsidRPr="00986548">
              <w:rPr>
                <w:rFonts w:ascii="Arial" w:hAnsi="Arial" w:cs="Arial"/>
                <w:b/>
                <w:sz w:val="24"/>
                <w:szCs w:val="24"/>
              </w:rPr>
              <w:t>Tip statie</w:t>
            </w:r>
          </w:p>
        </w:tc>
        <w:tc>
          <w:tcPr>
            <w:tcW w:w="8328" w:type="dxa"/>
            <w:gridSpan w:val="11"/>
            <w:tcBorders>
              <w:left w:val="outset" w:sz="6" w:space="0" w:color="auto"/>
              <w:bottom w:val="outset" w:sz="6" w:space="0" w:color="auto"/>
              <w:right w:val="outset" w:sz="6" w:space="0" w:color="A0A0A0"/>
            </w:tcBorders>
            <w:shd w:val="clear" w:color="auto" w:fill="FFFFCC"/>
            <w:vAlign w:val="center"/>
          </w:tcPr>
          <w:p w:rsidR="007B5806" w:rsidRPr="00986548" w:rsidRDefault="007B5806" w:rsidP="00E15AE8">
            <w:pPr>
              <w:jc w:val="center"/>
              <w:rPr>
                <w:rFonts w:ascii="Arial" w:hAnsi="Arial" w:cs="Arial"/>
                <w:b/>
                <w:sz w:val="24"/>
                <w:szCs w:val="24"/>
              </w:rPr>
            </w:pPr>
            <w:r w:rsidRPr="00986548">
              <w:rPr>
                <w:rFonts w:ascii="Arial" w:hAnsi="Arial" w:cs="Arial"/>
                <w:b/>
                <w:sz w:val="24"/>
                <w:szCs w:val="24"/>
              </w:rPr>
              <w:t>Concentratia medie anuala</w:t>
            </w:r>
          </w:p>
        </w:tc>
      </w:tr>
      <w:tr w:rsidR="007B5806" w:rsidRPr="00986548" w:rsidTr="007B5806">
        <w:trPr>
          <w:tblCellSpacing w:w="20" w:type="dxa"/>
          <w:jc w:val="center"/>
        </w:trPr>
        <w:tc>
          <w:tcPr>
            <w:tcW w:w="1406" w:type="dxa"/>
            <w:vMerge/>
            <w:shd w:val="clear" w:color="auto" w:fill="FFFFCC"/>
            <w:vAlign w:val="center"/>
          </w:tcPr>
          <w:p w:rsidR="007B5806" w:rsidRPr="00986548" w:rsidRDefault="007B5806" w:rsidP="00E15AE8">
            <w:pPr>
              <w:jc w:val="center"/>
              <w:rPr>
                <w:rFonts w:ascii="Arial" w:hAnsi="Arial" w:cs="Arial"/>
                <w:sz w:val="24"/>
                <w:szCs w:val="24"/>
              </w:rPr>
            </w:pPr>
          </w:p>
        </w:tc>
        <w:tc>
          <w:tcPr>
            <w:tcW w:w="1164" w:type="dxa"/>
            <w:vMerge/>
            <w:tcBorders>
              <w:right w:val="outset" w:sz="6" w:space="0" w:color="auto"/>
            </w:tcBorders>
            <w:shd w:val="clear" w:color="auto" w:fill="FFFFCC"/>
            <w:vAlign w:val="center"/>
          </w:tcPr>
          <w:p w:rsidR="007B5806" w:rsidRPr="00986548" w:rsidRDefault="007B5806" w:rsidP="00E15AE8">
            <w:pPr>
              <w:jc w:val="center"/>
              <w:rPr>
                <w:rFonts w:ascii="Arial" w:hAnsi="Arial" w:cs="Arial"/>
                <w:sz w:val="24"/>
                <w:szCs w:val="24"/>
              </w:rPr>
            </w:pPr>
          </w:p>
        </w:tc>
        <w:tc>
          <w:tcPr>
            <w:tcW w:w="780" w:type="dxa"/>
            <w:tcBorders>
              <w:top w:val="outset" w:sz="6" w:space="0" w:color="auto"/>
              <w:left w:val="outset" w:sz="6" w:space="0" w:color="auto"/>
            </w:tcBorders>
            <w:shd w:val="clear" w:color="auto" w:fill="FFFFCC"/>
            <w:vAlign w:val="center"/>
          </w:tcPr>
          <w:p w:rsidR="007B5806" w:rsidRPr="00366908" w:rsidRDefault="007B5806" w:rsidP="00E15AE8">
            <w:pPr>
              <w:jc w:val="center"/>
              <w:rPr>
                <w:rFonts w:ascii="Arial" w:hAnsi="Arial" w:cs="Arial"/>
                <w:sz w:val="24"/>
                <w:szCs w:val="24"/>
              </w:rPr>
            </w:pPr>
            <w:r w:rsidRPr="00366908">
              <w:rPr>
                <w:rFonts w:ascii="Arial" w:hAnsi="Arial" w:cs="Arial"/>
                <w:sz w:val="24"/>
                <w:szCs w:val="24"/>
              </w:rPr>
              <w:t>2008</w:t>
            </w:r>
          </w:p>
        </w:tc>
        <w:tc>
          <w:tcPr>
            <w:tcW w:w="780" w:type="dxa"/>
            <w:shd w:val="clear" w:color="auto" w:fill="FFFFCC"/>
            <w:vAlign w:val="center"/>
          </w:tcPr>
          <w:p w:rsidR="007B5806" w:rsidRPr="00366908" w:rsidRDefault="007B5806" w:rsidP="00E15AE8">
            <w:pPr>
              <w:jc w:val="center"/>
              <w:rPr>
                <w:rFonts w:ascii="Arial" w:hAnsi="Arial" w:cs="Arial"/>
                <w:sz w:val="24"/>
                <w:szCs w:val="24"/>
              </w:rPr>
            </w:pPr>
            <w:r w:rsidRPr="00366908">
              <w:rPr>
                <w:rFonts w:ascii="Arial" w:hAnsi="Arial" w:cs="Arial"/>
                <w:sz w:val="24"/>
                <w:szCs w:val="24"/>
              </w:rPr>
              <w:t>2009</w:t>
            </w:r>
          </w:p>
        </w:tc>
        <w:tc>
          <w:tcPr>
            <w:tcW w:w="780" w:type="dxa"/>
            <w:shd w:val="clear" w:color="auto" w:fill="FFFFCC"/>
            <w:vAlign w:val="center"/>
          </w:tcPr>
          <w:p w:rsidR="007B5806" w:rsidRPr="00366908" w:rsidRDefault="007B5806" w:rsidP="00E15AE8">
            <w:pPr>
              <w:jc w:val="center"/>
              <w:rPr>
                <w:rFonts w:ascii="Arial" w:hAnsi="Arial" w:cs="Arial"/>
                <w:sz w:val="24"/>
                <w:szCs w:val="24"/>
              </w:rPr>
            </w:pPr>
            <w:r w:rsidRPr="00366908">
              <w:rPr>
                <w:rFonts w:ascii="Arial" w:hAnsi="Arial" w:cs="Arial"/>
                <w:sz w:val="24"/>
                <w:szCs w:val="24"/>
              </w:rPr>
              <w:t>2010</w:t>
            </w:r>
          </w:p>
        </w:tc>
        <w:tc>
          <w:tcPr>
            <w:tcW w:w="780" w:type="dxa"/>
            <w:tcBorders>
              <w:right w:val="outset" w:sz="6" w:space="0" w:color="auto"/>
            </w:tcBorders>
            <w:shd w:val="clear" w:color="auto" w:fill="FFFFCC"/>
            <w:vAlign w:val="center"/>
          </w:tcPr>
          <w:p w:rsidR="007B5806" w:rsidRPr="00366908" w:rsidRDefault="007B5806" w:rsidP="00E15AE8">
            <w:pPr>
              <w:jc w:val="center"/>
              <w:rPr>
                <w:rFonts w:ascii="Arial" w:hAnsi="Arial" w:cs="Arial"/>
                <w:sz w:val="24"/>
                <w:szCs w:val="24"/>
              </w:rPr>
            </w:pPr>
            <w:r w:rsidRPr="00366908">
              <w:rPr>
                <w:rFonts w:ascii="Arial" w:hAnsi="Arial" w:cs="Arial"/>
                <w:sz w:val="24"/>
                <w:szCs w:val="24"/>
              </w:rPr>
              <w:t>2011</w:t>
            </w:r>
          </w:p>
        </w:tc>
        <w:tc>
          <w:tcPr>
            <w:tcW w:w="797" w:type="dxa"/>
            <w:tcBorders>
              <w:left w:val="outset" w:sz="6" w:space="0" w:color="auto"/>
            </w:tcBorders>
            <w:shd w:val="clear" w:color="auto" w:fill="FFFFCC"/>
            <w:vAlign w:val="center"/>
          </w:tcPr>
          <w:p w:rsidR="007B5806" w:rsidRPr="00366908" w:rsidRDefault="007B5806" w:rsidP="00E15AE8">
            <w:pPr>
              <w:jc w:val="center"/>
              <w:rPr>
                <w:rFonts w:ascii="Arial" w:hAnsi="Arial" w:cs="Arial"/>
                <w:sz w:val="24"/>
                <w:szCs w:val="24"/>
              </w:rPr>
            </w:pPr>
            <w:r w:rsidRPr="00366908">
              <w:rPr>
                <w:rFonts w:ascii="Arial" w:hAnsi="Arial" w:cs="Arial"/>
                <w:sz w:val="24"/>
                <w:szCs w:val="24"/>
              </w:rPr>
              <w:t>2012</w:t>
            </w:r>
          </w:p>
        </w:tc>
        <w:tc>
          <w:tcPr>
            <w:tcW w:w="780" w:type="dxa"/>
            <w:tcBorders>
              <w:left w:val="outset" w:sz="6" w:space="0" w:color="auto"/>
              <w:right w:val="outset" w:sz="6" w:space="0" w:color="auto"/>
            </w:tcBorders>
            <w:shd w:val="clear" w:color="auto" w:fill="FFFFCC"/>
          </w:tcPr>
          <w:p w:rsidR="007B5806" w:rsidRPr="00366908" w:rsidRDefault="007B5806" w:rsidP="00E15AE8">
            <w:pPr>
              <w:jc w:val="center"/>
              <w:rPr>
                <w:rFonts w:ascii="Arial" w:hAnsi="Arial" w:cs="Arial"/>
                <w:sz w:val="24"/>
                <w:szCs w:val="24"/>
              </w:rPr>
            </w:pPr>
            <w:r w:rsidRPr="00366908">
              <w:rPr>
                <w:rFonts w:ascii="Arial" w:hAnsi="Arial" w:cs="Arial"/>
                <w:sz w:val="24"/>
                <w:szCs w:val="24"/>
              </w:rPr>
              <w:t>2013</w:t>
            </w:r>
          </w:p>
        </w:tc>
        <w:tc>
          <w:tcPr>
            <w:tcW w:w="797" w:type="dxa"/>
            <w:tcBorders>
              <w:left w:val="outset" w:sz="6" w:space="0" w:color="auto"/>
              <w:right w:val="outset" w:sz="6" w:space="0" w:color="auto"/>
            </w:tcBorders>
            <w:shd w:val="clear" w:color="auto" w:fill="FFFFCC"/>
          </w:tcPr>
          <w:p w:rsidR="007B5806" w:rsidRPr="00366908" w:rsidRDefault="007B5806" w:rsidP="00E15AE8">
            <w:pPr>
              <w:jc w:val="center"/>
              <w:rPr>
                <w:rFonts w:ascii="Arial" w:hAnsi="Arial" w:cs="Arial"/>
                <w:sz w:val="24"/>
                <w:szCs w:val="24"/>
              </w:rPr>
            </w:pPr>
            <w:r>
              <w:rPr>
                <w:rFonts w:ascii="Arial" w:hAnsi="Arial" w:cs="Arial"/>
                <w:sz w:val="24"/>
                <w:szCs w:val="24"/>
              </w:rPr>
              <w:t>2014</w:t>
            </w:r>
          </w:p>
        </w:tc>
        <w:tc>
          <w:tcPr>
            <w:tcW w:w="780" w:type="dxa"/>
            <w:tcBorders>
              <w:left w:val="outset" w:sz="6" w:space="0" w:color="auto"/>
            </w:tcBorders>
            <w:shd w:val="clear" w:color="auto" w:fill="FFFFCC"/>
          </w:tcPr>
          <w:p w:rsidR="007B5806" w:rsidRPr="00366908" w:rsidRDefault="007B5806" w:rsidP="00E15AE8">
            <w:pPr>
              <w:jc w:val="center"/>
              <w:rPr>
                <w:rFonts w:ascii="Arial" w:hAnsi="Arial" w:cs="Arial"/>
                <w:sz w:val="24"/>
                <w:szCs w:val="24"/>
              </w:rPr>
            </w:pPr>
            <w:r>
              <w:rPr>
                <w:rFonts w:ascii="Arial" w:hAnsi="Arial" w:cs="Arial"/>
                <w:sz w:val="24"/>
                <w:szCs w:val="24"/>
              </w:rPr>
              <w:t>2015</w:t>
            </w:r>
          </w:p>
        </w:tc>
        <w:tc>
          <w:tcPr>
            <w:tcW w:w="857" w:type="dxa"/>
            <w:gridSpan w:val="2"/>
            <w:tcBorders>
              <w:left w:val="outset" w:sz="6" w:space="0" w:color="auto"/>
            </w:tcBorders>
            <w:shd w:val="clear" w:color="auto" w:fill="FFFFCC"/>
          </w:tcPr>
          <w:p w:rsidR="007B5806" w:rsidRDefault="007B5806" w:rsidP="00E15AE8">
            <w:pPr>
              <w:jc w:val="center"/>
              <w:rPr>
                <w:rFonts w:ascii="Arial" w:hAnsi="Arial" w:cs="Arial"/>
                <w:sz w:val="24"/>
                <w:szCs w:val="24"/>
              </w:rPr>
            </w:pPr>
            <w:r>
              <w:rPr>
                <w:rFonts w:ascii="Arial" w:hAnsi="Arial" w:cs="Arial"/>
                <w:sz w:val="24"/>
                <w:szCs w:val="24"/>
              </w:rPr>
              <w:t>2016</w:t>
            </w:r>
          </w:p>
        </w:tc>
        <w:tc>
          <w:tcPr>
            <w:tcW w:w="837" w:type="dxa"/>
            <w:tcBorders>
              <w:left w:val="outset" w:sz="6" w:space="0" w:color="auto"/>
            </w:tcBorders>
            <w:shd w:val="clear" w:color="auto" w:fill="FFFFCC"/>
          </w:tcPr>
          <w:p w:rsidR="007B5806" w:rsidRDefault="007B5806" w:rsidP="00E15AE8">
            <w:pPr>
              <w:jc w:val="center"/>
              <w:rPr>
                <w:rFonts w:ascii="Arial" w:hAnsi="Arial" w:cs="Arial"/>
                <w:sz w:val="24"/>
                <w:szCs w:val="24"/>
              </w:rPr>
            </w:pPr>
            <w:r>
              <w:rPr>
                <w:rFonts w:ascii="Arial" w:hAnsi="Arial" w:cs="Arial"/>
                <w:sz w:val="24"/>
                <w:szCs w:val="24"/>
              </w:rPr>
              <w:t>2017</w:t>
            </w:r>
          </w:p>
        </w:tc>
      </w:tr>
      <w:tr w:rsidR="007B5806" w:rsidRPr="00986548" w:rsidTr="007B5806">
        <w:trPr>
          <w:tblCellSpacing w:w="20" w:type="dxa"/>
          <w:jc w:val="center"/>
        </w:trPr>
        <w:tc>
          <w:tcPr>
            <w:tcW w:w="1406" w:type="dxa"/>
            <w:vMerge w:val="restart"/>
            <w:shd w:val="clear" w:color="auto" w:fill="auto"/>
            <w:vAlign w:val="center"/>
          </w:tcPr>
          <w:p w:rsidR="007B5806" w:rsidRPr="0024604C" w:rsidRDefault="007B5806" w:rsidP="00E15AE8">
            <w:pPr>
              <w:jc w:val="center"/>
              <w:rPr>
                <w:rFonts w:ascii="Arial" w:hAnsi="Arial" w:cs="Arial"/>
                <w:sz w:val="22"/>
                <w:szCs w:val="22"/>
              </w:rPr>
            </w:pPr>
            <w:r w:rsidRPr="0024604C">
              <w:rPr>
                <w:rFonts w:ascii="Arial" w:hAnsi="Arial" w:cs="Arial"/>
                <w:sz w:val="22"/>
                <w:szCs w:val="22"/>
              </w:rPr>
              <w:t>CO</w:t>
            </w:r>
            <w:r w:rsidRPr="0024604C">
              <w:rPr>
                <w:rFonts w:ascii="Arial" w:hAnsi="Arial" w:cs="Arial"/>
                <w:sz w:val="22"/>
                <w:szCs w:val="22"/>
                <w:vertAlign w:val="subscript"/>
              </w:rPr>
              <w:t xml:space="preserve"> </w:t>
            </w:r>
            <w:r w:rsidRPr="0024604C">
              <w:rPr>
                <w:rFonts w:ascii="Arial" w:hAnsi="Arial" w:cs="Arial"/>
                <w:sz w:val="22"/>
                <w:szCs w:val="22"/>
              </w:rPr>
              <w:t>(mg/mc)</w:t>
            </w:r>
          </w:p>
        </w:tc>
        <w:tc>
          <w:tcPr>
            <w:tcW w:w="1164" w:type="dxa"/>
            <w:tcBorders>
              <w:right w:val="outset" w:sz="6" w:space="0" w:color="auto"/>
            </w:tcBorders>
            <w:shd w:val="clear" w:color="auto" w:fill="auto"/>
          </w:tcPr>
          <w:p w:rsidR="007B5806" w:rsidRPr="0024604C" w:rsidRDefault="007B5806" w:rsidP="00E15AE8">
            <w:pPr>
              <w:jc w:val="center"/>
              <w:rPr>
                <w:rFonts w:ascii="Arial" w:hAnsi="Arial" w:cs="Arial"/>
                <w:sz w:val="22"/>
                <w:szCs w:val="22"/>
              </w:rPr>
            </w:pPr>
            <w:r w:rsidRPr="0024604C">
              <w:rPr>
                <w:rFonts w:ascii="Arial" w:hAnsi="Arial" w:cs="Arial"/>
                <w:sz w:val="22"/>
                <w:szCs w:val="22"/>
              </w:rPr>
              <w:t>CT1-Trafic</w:t>
            </w:r>
          </w:p>
        </w:tc>
        <w:tc>
          <w:tcPr>
            <w:tcW w:w="780"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0,44</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0,28</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0,27</w:t>
            </w:r>
          </w:p>
        </w:tc>
        <w:tc>
          <w:tcPr>
            <w:tcW w:w="780" w:type="dxa"/>
            <w:tcBorders>
              <w:righ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Pr>
                <w:rFonts w:ascii="Arial" w:hAnsi="Arial" w:cs="Arial"/>
                <w:sz w:val="22"/>
                <w:szCs w:val="22"/>
              </w:rPr>
              <w:t>0,11</w:t>
            </w:r>
          </w:p>
        </w:tc>
        <w:tc>
          <w:tcPr>
            <w:tcW w:w="780" w:type="dxa"/>
            <w:tcBorders>
              <w:left w:val="outset" w:sz="6" w:space="0" w:color="auto"/>
              <w:righ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righ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20" w:type="dxa"/>
            <w:gridSpan w:val="2"/>
            <w:tcBorders>
              <w:lef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0,15</w:t>
            </w:r>
          </w:p>
        </w:tc>
        <w:tc>
          <w:tcPr>
            <w:tcW w:w="817" w:type="dxa"/>
            <w:tcBorders>
              <w:left w:val="outset" w:sz="6" w:space="0" w:color="auto"/>
            </w:tcBorders>
            <w:vAlign w:val="center"/>
          </w:tcPr>
          <w:p w:rsidR="007B5806" w:rsidRPr="0024604C" w:rsidRDefault="007B5806" w:rsidP="00965178">
            <w:pPr>
              <w:jc w:val="center"/>
              <w:rPr>
                <w:rFonts w:ascii="Arial" w:hAnsi="Arial" w:cs="Arial"/>
                <w:sz w:val="22"/>
                <w:szCs w:val="22"/>
              </w:rPr>
            </w:pPr>
            <w:r w:rsidRPr="0024604C">
              <w:rPr>
                <w:rFonts w:ascii="Arial" w:hAnsi="Arial" w:cs="Arial"/>
                <w:sz w:val="22"/>
                <w:szCs w:val="22"/>
              </w:rPr>
              <w:t>0,19</w:t>
            </w:r>
          </w:p>
        </w:tc>
        <w:tc>
          <w:tcPr>
            <w:tcW w:w="837" w:type="dxa"/>
            <w:tcBorders>
              <w:left w:val="outset" w:sz="6" w:space="0" w:color="auto"/>
            </w:tcBorders>
          </w:tcPr>
          <w:p w:rsidR="007B5806" w:rsidRPr="0024604C" w:rsidRDefault="007B5806" w:rsidP="00965178">
            <w:pPr>
              <w:jc w:val="center"/>
              <w:rPr>
                <w:rFonts w:ascii="Arial" w:hAnsi="Arial" w:cs="Arial"/>
                <w:sz w:val="22"/>
                <w:szCs w:val="22"/>
              </w:rPr>
            </w:pPr>
            <w:r>
              <w:rPr>
                <w:rFonts w:ascii="Arial" w:hAnsi="Arial" w:cs="Arial"/>
                <w:sz w:val="22"/>
                <w:szCs w:val="22"/>
              </w:rPr>
              <w:t>0.14</w:t>
            </w:r>
          </w:p>
        </w:tc>
      </w:tr>
      <w:tr w:rsidR="007B5806" w:rsidRPr="00986548" w:rsidTr="007B5806">
        <w:trPr>
          <w:tblCellSpacing w:w="20" w:type="dxa"/>
          <w:jc w:val="center"/>
        </w:trPr>
        <w:tc>
          <w:tcPr>
            <w:tcW w:w="1406" w:type="dxa"/>
            <w:vMerge/>
            <w:shd w:val="clear" w:color="auto" w:fill="auto"/>
          </w:tcPr>
          <w:p w:rsidR="007B5806" w:rsidRPr="0024604C" w:rsidRDefault="007B5806" w:rsidP="00E15AE8">
            <w:pPr>
              <w:jc w:val="center"/>
              <w:rPr>
                <w:rFonts w:ascii="Arial" w:hAnsi="Arial" w:cs="Arial"/>
                <w:sz w:val="22"/>
                <w:szCs w:val="22"/>
              </w:rPr>
            </w:pPr>
          </w:p>
        </w:tc>
        <w:tc>
          <w:tcPr>
            <w:tcW w:w="1164" w:type="dxa"/>
            <w:tcBorders>
              <w:right w:val="outset" w:sz="6" w:space="0" w:color="auto"/>
            </w:tcBorders>
            <w:shd w:val="clear" w:color="auto" w:fill="auto"/>
          </w:tcPr>
          <w:p w:rsidR="007B5806" w:rsidRPr="0024604C" w:rsidRDefault="007B5806" w:rsidP="00E15AE8">
            <w:pPr>
              <w:jc w:val="center"/>
              <w:rPr>
                <w:rFonts w:ascii="Arial" w:hAnsi="Arial" w:cs="Arial"/>
                <w:sz w:val="22"/>
                <w:szCs w:val="22"/>
              </w:rPr>
            </w:pPr>
            <w:r w:rsidRPr="0024604C">
              <w:rPr>
                <w:rFonts w:ascii="Arial" w:hAnsi="Arial" w:cs="Arial"/>
                <w:sz w:val="22"/>
                <w:szCs w:val="22"/>
              </w:rPr>
              <w:t>CT2-Fond urban</w:t>
            </w:r>
          </w:p>
        </w:tc>
        <w:tc>
          <w:tcPr>
            <w:tcW w:w="780"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0,09</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80" w:type="dxa"/>
            <w:tcBorders>
              <w:righ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0,07</w:t>
            </w:r>
          </w:p>
        </w:tc>
        <w:tc>
          <w:tcPr>
            <w:tcW w:w="797"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Pr>
                <w:rFonts w:ascii="Arial" w:hAnsi="Arial" w:cs="Arial"/>
                <w:sz w:val="22"/>
                <w:szCs w:val="22"/>
              </w:rPr>
              <w:t>0,08</w:t>
            </w:r>
          </w:p>
        </w:tc>
        <w:tc>
          <w:tcPr>
            <w:tcW w:w="780" w:type="dxa"/>
            <w:tcBorders>
              <w:left w:val="outset" w:sz="6" w:space="0" w:color="auto"/>
              <w:righ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0,08</w:t>
            </w:r>
          </w:p>
        </w:tc>
        <w:tc>
          <w:tcPr>
            <w:tcW w:w="797" w:type="dxa"/>
            <w:tcBorders>
              <w:left w:val="outset" w:sz="6" w:space="0" w:color="auto"/>
              <w:righ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20" w:type="dxa"/>
            <w:gridSpan w:val="2"/>
            <w:tcBorders>
              <w:lef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0,08</w:t>
            </w:r>
          </w:p>
        </w:tc>
        <w:tc>
          <w:tcPr>
            <w:tcW w:w="817" w:type="dxa"/>
            <w:tcBorders>
              <w:left w:val="outset" w:sz="6" w:space="0" w:color="auto"/>
            </w:tcBorders>
            <w:vAlign w:val="center"/>
          </w:tcPr>
          <w:p w:rsidR="007B5806" w:rsidRPr="0024604C" w:rsidRDefault="007B5806" w:rsidP="00965178">
            <w:pPr>
              <w:jc w:val="center"/>
              <w:rPr>
                <w:rFonts w:ascii="Arial" w:hAnsi="Arial" w:cs="Arial"/>
                <w:sz w:val="22"/>
                <w:szCs w:val="22"/>
              </w:rPr>
            </w:pPr>
            <w:r w:rsidRPr="0024604C">
              <w:rPr>
                <w:rFonts w:ascii="Arial" w:hAnsi="Arial" w:cs="Arial"/>
                <w:sz w:val="22"/>
                <w:szCs w:val="22"/>
              </w:rPr>
              <w:t>0,11</w:t>
            </w:r>
          </w:p>
        </w:tc>
        <w:tc>
          <w:tcPr>
            <w:tcW w:w="837" w:type="dxa"/>
            <w:tcBorders>
              <w:left w:val="outset" w:sz="6" w:space="0" w:color="auto"/>
            </w:tcBorders>
          </w:tcPr>
          <w:p w:rsidR="007B5806" w:rsidRPr="0024604C" w:rsidRDefault="007B5806" w:rsidP="00965178">
            <w:pPr>
              <w:jc w:val="center"/>
              <w:rPr>
                <w:rFonts w:ascii="Arial" w:hAnsi="Arial" w:cs="Arial"/>
                <w:sz w:val="22"/>
                <w:szCs w:val="22"/>
              </w:rPr>
            </w:pPr>
            <w:r>
              <w:rPr>
                <w:rFonts w:ascii="Arial" w:hAnsi="Arial" w:cs="Arial"/>
                <w:sz w:val="22"/>
                <w:szCs w:val="22"/>
              </w:rPr>
              <w:t>0.1</w:t>
            </w:r>
          </w:p>
        </w:tc>
      </w:tr>
      <w:tr w:rsidR="007B5806" w:rsidRPr="00986548" w:rsidTr="007B5806">
        <w:trPr>
          <w:tblCellSpacing w:w="20" w:type="dxa"/>
          <w:jc w:val="center"/>
        </w:trPr>
        <w:tc>
          <w:tcPr>
            <w:tcW w:w="1406" w:type="dxa"/>
            <w:vMerge/>
            <w:shd w:val="clear" w:color="auto" w:fill="auto"/>
          </w:tcPr>
          <w:p w:rsidR="007B5806" w:rsidRPr="0024604C" w:rsidRDefault="007B5806" w:rsidP="00E15AE8">
            <w:pPr>
              <w:jc w:val="center"/>
              <w:rPr>
                <w:rFonts w:ascii="Arial" w:hAnsi="Arial" w:cs="Arial"/>
                <w:sz w:val="22"/>
                <w:szCs w:val="22"/>
              </w:rPr>
            </w:pPr>
          </w:p>
        </w:tc>
        <w:tc>
          <w:tcPr>
            <w:tcW w:w="1164" w:type="dxa"/>
            <w:tcBorders>
              <w:right w:val="outset" w:sz="6" w:space="0" w:color="auto"/>
            </w:tcBorders>
            <w:shd w:val="clear" w:color="auto" w:fill="auto"/>
          </w:tcPr>
          <w:p w:rsidR="007B5806" w:rsidRPr="0024604C" w:rsidRDefault="007B5806" w:rsidP="00E15AE8">
            <w:pPr>
              <w:jc w:val="center"/>
              <w:rPr>
                <w:rFonts w:ascii="Arial" w:hAnsi="Arial" w:cs="Arial"/>
                <w:sz w:val="22"/>
                <w:szCs w:val="22"/>
              </w:rPr>
            </w:pPr>
            <w:r w:rsidRPr="0024604C">
              <w:rPr>
                <w:rFonts w:ascii="Arial" w:hAnsi="Arial" w:cs="Arial"/>
                <w:sz w:val="22"/>
                <w:szCs w:val="22"/>
              </w:rPr>
              <w:t>CT3-Fond suburban</w:t>
            </w:r>
          </w:p>
        </w:tc>
        <w:tc>
          <w:tcPr>
            <w:tcW w:w="780"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0,06</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80" w:type="dxa"/>
            <w:shd w:val="clear" w:color="auto" w:fill="auto"/>
            <w:vAlign w:val="center"/>
          </w:tcPr>
          <w:p w:rsidR="007B5806" w:rsidRPr="0024604C" w:rsidRDefault="007B5806" w:rsidP="0037402F">
            <w:pPr>
              <w:jc w:val="center"/>
              <w:rPr>
                <w:rFonts w:ascii="Arial" w:hAnsi="Arial" w:cs="Arial"/>
                <w:color w:val="000000"/>
                <w:sz w:val="22"/>
                <w:szCs w:val="22"/>
              </w:rPr>
            </w:pPr>
            <w:r w:rsidRPr="0024604C">
              <w:rPr>
                <w:rFonts w:ascii="Arial" w:hAnsi="Arial" w:cs="Arial"/>
                <w:color w:val="000000"/>
                <w:sz w:val="22"/>
                <w:szCs w:val="22"/>
              </w:rPr>
              <w:t>0,08</w:t>
            </w:r>
          </w:p>
        </w:tc>
        <w:tc>
          <w:tcPr>
            <w:tcW w:w="780" w:type="dxa"/>
            <w:tcBorders>
              <w:righ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80" w:type="dxa"/>
            <w:tcBorders>
              <w:left w:val="outset" w:sz="6" w:space="0" w:color="auto"/>
              <w:righ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righ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20" w:type="dxa"/>
            <w:gridSpan w:val="2"/>
            <w:tcBorders>
              <w:lef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17" w:type="dxa"/>
            <w:tcBorders>
              <w:left w:val="outset" w:sz="6" w:space="0" w:color="auto"/>
            </w:tcBorders>
            <w:vAlign w:val="center"/>
          </w:tcPr>
          <w:p w:rsidR="007B5806" w:rsidRPr="0024604C" w:rsidRDefault="007B5806" w:rsidP="00965178">
            <w:pPr>
              <w:jc w:val="center"/>
              <w:rPr>
                <w:rFonts w:ascii="Arial" w:hAnsi="Arial" w:cs="Arial"/>
                <w:sz w:val="22"/>
                <w:szCs w:val="22"/>
              </w:rPr>
            </w:pPr>
            <w:r w:rsidRPr="0024604C">
              <w:rPr>
                <w:rFonts w:ascii="Arial" w:hAnsi="Arial" w:cs="Arial"/>
                <w:sz w:val="22"/>
                <w:szCs w:val="22"/>
              </w:rPr>
              <w:br/>
              <w:t>***</w:t>
            </w:r>
          </w:p>
        </w:tc>
        <w:tc>
          <w:tcPr>
            <w:tcW w:w="837" w:type="dxa"/>
            <w:tcBorders>
              <w:left w:val="outset" w:sz="6" w:space="0" w:color="auto"/>
            </w:tcBorders>
          </w:tcPr>
          <w:p w:rsidR="007B5806" w:rsidRPr="0024604C" w:rsidRDefault="007B5806" w:rsidP="00965178">
            <w:pPr>
              <w:jc w:val="center"/>
              <w:rPr>
                <w:rFonts w:ascii="Arial" w:hAnsi="Arial" w:cs="Arial"/>
                <w:sz w:val="22"/>
                <w:szCs w:val="22"/>
              </w:rPr>
            </w:pPr>
            <w:r>
              <w:rPr>
                <w:rFonts w:ascii="Arial" w:hAnsi="Arial" w:cs="Arial"/>
                <w:sz w:val="22"/>
                <w:szCs w:val="22"/>
              </w:rPr>
              <w:t>0.05</w:t>
            </w:r>
          </w:p>
        </w:tc>
      </w:tr>
      <w:tr w:rsidR="007B5806" w:rsidRPr="00986548" w:rsidTr="007B5806">
        <w:trPr>
          <w:tblCellSpacing w:w="20" w:type="dxa"/>
          <w:jc w:val="center"/>
        </w:trPr>
        <w:tc>
          <w:tcPr>
            <w:tcW w:w="1406" w:type="dxa"/>
            <w:vMerge/>
            <w:shd w:val="clear" w:color="auto" w:fill="auto"/>
          </w:tcPr>
          <w:p w:rsidR="007B5806" w:rsidRPr="0024604C" w:rsidRDefault="007B5806" w:rsidP="00E15AE8">
            <w:pPr>
              <w:jc w:val="center"/>
              <w:rPr>
                <w:rFonts w:ascii="Arial" w:hAnsi="Arial" w:cs="Arial"/>
                <w:sz w:val="22"/>
                <w:szCs w:val="22"/>
              </w:rPr>
            </w:pPr>
          </w:p>
        </w:tc>
        <w:tc>
          <w:tcPr>
            <w:tcW w:w="1164" w:type="dxa"/>
            <w:tcBorders>
              <w:right w:val="outset" w:sz="6" w:space="0" w:color="auto"/>
            </w:tcBorders>
            <w:shd w:val="clear" w:color="auto" w:fill="auto"/>
          </w:tcPr>
          <w:p w:rsidR="007B5806" w:rsidRPr="0024604C" w:rsidRDefault="007B5806" w:rsidP="00E15AE8">
            <w:pPr>
              <w:jc w:val="center"/>
              <w:rPr>
                <w:rFonts w:ascii="Arial" w:hAnsi="Arial" w:cs="Arial"/>
                <w:sz w:val="22"/>
                <w:szCs w:val="22"/>
              </w:rPr>
            </w:pPr>
            <w:r w:rsidRPr="0024604C">
              <w:rPr>
                <w:rFonts w:ascii="Arial" w:hAnsi="Arial" w:cs="Arial"/>
                <w:sz w:val="22"/>
                <w:szCs w:val="22"/>
              </w:rPr>
              <w:t>CT4-Trafic</w:t>
            </w:r>
          </w:p>
        </w:tc>
        <w:tc>
          <w:tcPr>
            <w:tcW w:w="780"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0,21</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0,17</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80" w:type="dxa"/>
            <w:tcBorders>
              <w:righ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tcBorders>
            <w:shd w:val="clear" w:color="auto" w:fill="auto"/>
            <w:vAlign w:val="center"/>
          </w:tcPr>
          <w:p w:rsidR="007B5806" w:rsidRPr="0024604C" w:rsidRDefault="007B5806" w:rsidP="0037402F">
            <w:pPr>
              <w:jc w:val="center"/>
              <w:rPr>
                <w:sz w:val="22"/>
                <w:szCs w:val="22"/>
              </w:rPr>
            </w:pPr>
            <w:r>
              <w:rPr>
                <w:sz w:val="22"/>
                <w:szCs w:val="22"/>
              </w:rPr>
              <w:t>0,08</w:t>
            </w:r>
          </w:p>
        </w:tc>
        <w:tc>
          <w:tcPr>
            <w:tcW w:w="780" w:type="dxa"/>
            <w:tcBorders>
              <w:left w:val="outset" w:sz="6" w:space="0" w:color="auto"/>
              <w:righ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righ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20" w:type="dxa"/>
            <w:gridSpan w:val="2"/>
            <w:tcBorders>
              <w:lef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17" w:type="dxa"/>
            <w:tcBorders>
              <w:left w:val="outset" w:sz="6" w:space="0" w:color="auto"/>
            </w:tcBorders>
            <w:vAlign w:val="center"/>
          </w:tcPr>
          <w:p w:rsidR="007B5806" w:rsidRPr="0024604C" w:rsidRDefault="007B5806" w:rsidP="00965178">
            <w:pPr>
              <w:jc w:val="center"/>
              <w:rPr>
                <w:rFonts w:ascii="Arial" w:hAnsi="Arial" w:cs="Arial"/>
                <w:sz w:val="22"/>
                <w:szCs w:val="22"/>
              </w:rPr>
            </w:pPr>
            <w:r w:rsidRPr="0024604C">
              <w:rPr>
                <w:rFonts w:ascii="Arial" w:hAnsi="Arial" w:cs="Arial"/>
                <w:sz w:val="22"/>
                <w:szCs w:val="22"/>
              </w:rPr>
              <w:t>***</w:t>
            </w:r>
          </w:p>
        </w:tc>
        <w:tc>
          <w:tcPr>
            <w:tcW w:w="837" w:type="dxa"/>
            <w:tcBorders>
              <w:left w:val="outset" w:sz="6" w:space="0" w:color="auto"/>
            </w:tcBorders>
          </w:tcPr>
          <w:p w:rsidR="007B5806" w:rsidRPr="0024604C" w:rsidRDefault="007B5806" w:rsidP="00965178">
            <w:pPr>
              <w:jc w:val="center"/>
              <w:rPr>
                <w:rFonts w:ascii="Arial" w:hAnsi="Arial" w:cs="Arial"/>
                <w:sz w:val="22"/>
                <w:szCs w:val="22"/>
              </w:rPr>
            </w:pPr>
            <w:r>
              <w:rPr>
                <w:rFonts w:ascii="Arial" w:hAnsi="Arial" w:cs="Arial"/>
                <w:sz w:val="22"/>
                <w:szCs w:val="22"/>
              </w:rPr>
              <w:t>0.13</w:t>
            </w:r>
          </w:p>
        </w:tc>
      </w:tr>
      <w:tr w:rsidR="007B5806" w:rsidRPr="00986548" w:rsidTr="007B5806">
        <w:trPr>
          <w:tblCellSpacing w:w="20" w:type="dxa"/>
          <w:jc w:val="center"/>
        </w:trPr>
        <w:tc>
          <w:tcPr>
            <w:tcW w:w="1406" w:type="dxa"/>
            <w:vMerge/>
            <w:shd w:val="clear" w:color="auto" w:fill="auto"/>
          </w:tcPr>
          <w:p w:rsidR="007B5806" w:rsidRPr="0024604C" w:rsidRDefault="007B5806" w:rsidP="00E15AE8">
            <w:pPr>
              <w:jc w:val="center"/>
              <w:rPr>
                <w:rFonts w:ascii="Arial" w:hAnsi="Arial" w:cs="Arial"/>
                <w:sz w:val="22"/>
                <w:szCs w:val="22"/>
              </w:rPr>
            </w:pPr>
          </w:p>
        </w:tc>
        <w:tc>
          <w:tcPr>
            <w:tcW w:w="1164" w:type="dxa"/>
            <w:tcBorders>
              <w:right w:val="outset" w:sz="6" w:space="0" w:color="auto"/>
            </w:tcBorders>
            <w:shd w:val="clear" w:color="auto" w:fill="auto"/>
          </w:tcPr>
          <w:p w:rsidR="007B5806" w:rsidRPr="0024604C" w:rsidRDefault="007B5806" w:rsidP="00E15AE8">
            <w:pPr>
              <w:jc w:val="center"/>
              <w:rPr>
                <w:rFonts w:ascii="Arial" w:hAnsi="Arial" w:cs="Arial"/>
                <w:sz w:val="22"/>
                <w:szCs w:val="22"/>
              </w:rPr>
            </w:pPr>
            <w:r w:rsidRPr="0024604C">
              <w:rPr>
                <w:rFonts w:ascii="Arial" w:hAnsi="Arial" w:cs="Arial"/>
                <w:sz w:val="22"/>
                <w:szCs w:val="22"/>
              </w:rPr>
              <w:t>CT5-Industrial</w:t>
            </w:r>
          </w:p>
        </w:tc>
        <w:tc>
          <w:tcPr>
            <w:tcW w:w="780"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0,17</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0,14</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0,09</w:t>
            </w:r>
          </w:p>
        </w:tc>
        <w:tc>
          <w:tcPr>
            <w:tcW w:w="780" w:type="dxa"/>
            <w:tcBorders>
              <w:righ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0,07</w:t>
            </w:r>
          </w:p>
        </w:tc>
        <w:tc>
          <w:tcPr>
            <w:tcW w:w="797" w:type="dxa"/>
            <w:tcBorders>
              <w:left w:val="outset" w:sz="6" w:space="0" w:color="auto"/>
            </w:tcBorders>
            <w:shd w:val="clear" w:color="auto" w:fill="auto"/>
            <w:vAlign w:val="center"/>
          </w:tcPr>
          <w:p w:rsidR="007B5806" w:rsidRPr="0024604C" w:rsidRDefault="007B5806" w:rsidP="0037402F">
            <w:pPr>
              <w:jc w:val="center"/>
              <w:rPr>
                <w:sz w:val="22"/>
                <w:szCs w:val="22"/>
              </w:rPr>
            </w:pPr>
            <w:r>
              <w:rPr>
                <w:sz w:val="22"/>
                <w:szCs w:val="22"/>
              </w:rPr>
              <w:t>0,07</w:t>
            </w:r>
          </w:p>
        </w:tc>
        <w:tc>
          <w:tcPr>
            <w:tcW w:w="780" w:type="dxa"/>
            <w:tcBorders>
              <w:left w:val="outset" w:sz="6" w:space="0" w:color="auto"/>
              <w:righ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righ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20" w:type="dxa"/>
            <w:gridSpan w:val="2"/>
            <w:tcBorders>
              <w:lef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0,11</w:t>
            </w:r>
          </w:p>
        </w:tc>
        <w:tc>
          <w:tcPr>
            <w:tcW w:w="817" w:type="dxa"/>
            <w:tcBorders>
              <w:left w:val="outset" w:sz="6" w:space="0" w:color="auto"/>
            </w:tcBorders>
            <w:vAlign w:val="center"/>
          </w:tcPr>
          <w:p w:rsidR="007B5806" w:rsidRPr="0024604C" w:rsidRDefault="007B5806" w:rsidP="00965178">
            <w:pPr>
              <w:jc w:val="center"/>
              <w:rPr>
                <w:rFonts w:ascii="Arial" w:hAnsi="Arial" w:cs="Arial"/>
                <w:sz w:val="22"/>
                <w:szCs w:val="22"/>
              </w:rPr>
            </w:pPr>
            <w:r w:rsidRPr="0024604C">
              <w:rPr>
                <w:rFonts w:ascii="Arial" w:hAnsi="Arial" w:cs="Arial"/>
                <w:sz w:val="22"/>
                <w:szCs w:val="22"/>
              </w:rPr>
              <w:t>***</w:t>
            </w:r>
          </w:p>
        </w:tc>
        <w:tc>
          <w:tcPr>
            <w:tcW w:w="837" w:type="dxa"/>
            <w:tcBorders>
              <w:left w:val="outset" w:sz="6" w:space="0" w:color="auto"/>
            </w:tcBorders>
          </w:tcPr>
          <w:p w:rsidR="007B5806" w:rsidRPr="0024604C" w:rsidRDefault="007B5806" w:rsidP="00965178">
            <w:pPr>
              <w:jc w:val="center"/>
              <w:rPr>
                <w:rFonts w:ascii="Arial" w:hAnsi="Arial" w:cs="Arial"/>
                <w:sz w:val="22"/>
                <w:szCs w:val="22"/>
              </w:rPr>
            </w:pPr>
            <w:r>
              <w:rPr>
                <w:rFonts w:ascii="Arial" w:hAnsi="Arial" w:cs="Arial"/>
                <w:sz w:val="22"/>
                <w:szCs w:val="22"/>
              </w:rPr>
              <w:t>0.12</w:t>
            </w:r>
          </w:p>
        </w:tc>
      </w:tr>
      <w:tr w:rsidR="007B5806" w:rsidRPr="00986548" w:rsidTr="007B5806">
        <w:trPr>
          <w:tblCellSpacing w:w="20" w:type="dxa"/>
          <w:jc w:val="center"/>
        </w:trPr>
        <w:tc>
          <w:tcPr>
            <w:tcW w:w="1406" w:type="dxa"/>
            <w:vMerge/>
            <w:shd w:val="clear" w:color="auto" w:fill="auto"/>
          </w:tcPr>
          <w:p w:rsidR="007B5806" w:rsidRPr="0024604C" w:rsidRDefault="007B5806" w:rsidP="00E15AE8">
            <w:pPr>
              <w:jc w:val="center"/>
              <w:rPr>
                <w:rFonts w:ascii="Arial" w:hAnsi="Arial" w:cs="Arial"/>
                <w:sz w:val="22"/>
                <w:szCs w:val="22"/>
              </w:rPr>
            </w:pPr>
          </w:p>
        </w:tc>
        <w:tc>
          <w:tcPr>
            <w:tcW w:w="1164" w:type="dxa"/>
            <w:tcBorders>
              <w:right w:val="outset" w:sz="6" w:space="0" w:color="auto"/>
            </w:tcBorders>
            <w:shd w:val="clear" w:color="auto" w:fill="auto"/>
          </w:tcPr>
          <w:p w:rsidR="007B5806" w:rsidRPr="0024604C" w:rsidRDefault="007B5806" w:rsidP="00E15AE8">
            <w:pPr>
              <w:jc w:val="center"/>
              <w:rPr>
                <w:rFonts w:ascii="Arial" w:hAnsi="Arial" w:cs="Arial"/>
                <w:sz w:val="22"/>
                <w:szCs w:val="22"/>
              </w:rPr>
            </w:pPr>
            <w:r w:rsidRPr="0024604C">
              <w:rPr>
                <w:rFonts w:ascii="Arial" w:hAnsi="Arial" w:cs="Arial"/>
                <w:sz w:val="22"/>
                <w:szCs w:val="22"/>
              </w:rPr>
              <w:t>CT6-Industrial</w:t>
            </w:r>
          </w:p>
        </w:tc>
        <w:tc>
          <w:tcPr>
            <w:tcW w:w="780"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0,14</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0,11</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w:t>
            </w:r>
          </w:p>
        </w:tc>
        <w:tc>
          <w:tcPr>
            <w:tcW w:w="780" w:type="dxa"/>
            <w:tcBorders>
              <w:righ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0,07</w:t>
            </w:r>
          </w:p>
        </w:tc>
        <w:tc>
          <w:tcPr>
            <w:tcW w:w="797"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80" w:type="dxa"/>
            <w:tcBorders>
              <w:left w:val="outset" w:sz="6" w:space="0" w:color="auto"/>
              <w:righ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righ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20" w:type="dxa"/>
            <w:gridSpan w:val="2"/>
            <w:tcBorders>
              <w:lef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17" w:type="dxa"/>
            <w:tcBorders>
              <w:left w:val="outset" w:sz="6" w:space="0" w:color="auto"/>
            </w:tcBorders>
            <w:vAlign w:val="center"/>
          </w:tcPr>
          <w:p w:rsidR="007B5806" w:rsidRPr="0024604C" w:rsidRDefault="007B5806" w:rsidP="00965178">
            <w:pPr>
              <w:jc w:val="center"/>
              <w:rPr>
                <w:rFonts w:ascii="Arial" w:hAnsi="Arial" w:cs="Arial"/>
                <w:sz w:val="22"/>
                <w:szCs w:val="22"/>
              </w:rPr>
            </w:pPr>
            <w:r w:rsidRPr="0024604C">
              <w:rPr>
                <w:rFonts w:ascii="Arial" w:hAnsi="Arial" w:cs="Arial"/>
                <w:sz w:val="22"/>
                <w:szCs w:val="22"/>
              </w:rPr>
              <w:t>***</w:t>
            </w:r>
          </w:p>
        </w:tc>
        <w:tc>
          <w:tcPr>
            <w:tcW w:w="837" w:type="dxa"/>
            <w:tcBorders>
              <w:left w:val="outset" w:sz="6" w:space="0" w:color="auto"/>
            </w:tcBorders>
          </w:tcPr>
          <w:p w:rsidR="007B5806" w:rsidRPr="0024604C" w:rsidRDefault="007B5806" w:rsidP="00965178">
            <w:pPr>
              <w:jc w:val="center"/>
              <w:rPr>
                <w:rFonts w:ascii="Arial" w:hAnsi="Arial" w:cs="Arial"/>
                <w:sz w:val="22"/>
                <w:szCs w:val="22"/>
              </w:rPr>
            </w:pPr>
            <w:r>
              <w:rPr>
                <w:rFonts w:ascii="Arial" w:hAnsi="Arial" w:cs="Arial"/>
                <w:sz w:val="22"/>
                <w:szCs w:val="22"/>
              </w:rPr>
              <w:t>0.09</w:t>
            </w:r>
          </w:p>
        </w:tc>
      </w:tr>
      <w:tr w:rsidR="007B5806" w:rsidRPr="00986548" w:rsidTr="007B5806">
        <w:trPr>
          <w:tblCellSpacing w:w="20" w:type="dxa"/>
          <w:jc w:val="center"/>
        </w:trPr>
        <w:tc>
          <w:tcPr>
            <w:tcW w:w="1406" w:type="dxa"/>
            <w:vMerge/>
            <w:shd w:val="clear" w:color="auto" w:fill="auto"/>
          </w:tcPr>
          <w:p w:rsidR="007B5806" w:rsidRPr="0024604C" w:rsidRDefault="007B5806" w:rsidP="00E15AE8">
            <w:pPr>
              <w:jc w:val="center"/>
              <w:rPr>
                <w:rFonts w:ascii="Arial" w:hAnsi="Arial" w:cs="Arial"/>
                <w:sz w:val="22"/>
                <w:szCs w:val="22"/>
              </w:rPr>
            </w:pPr>
          </w:p>
        </w:tc>
        <w:tc>
          <w:tcPr>
            <w:tcW w:w="1164" w:type="dxa"/>
            <w:tcBorders>
              <w:right w:val="outset" w:sz="6" w:space="0" w:color="auto"/>
            </w:tcBorders>
            <w:shd w:val="clear" w:color="auto" w:fill="auto"/>
          </w:tcPr>
          <w:p w:rsidR="007B5806" w:rsidRPr="0024604C" w:rsidRDefault="007B5806" w:rsidP="00E15AE8">
            <w:pPr>
              <w:jc w:val="center"/>
              <w:rPr>
                <w:rFonts w:ascii="Arial" w:hAnsi="Arial" w:cs="Arial"/>
                <w:sz w:val="22"/>
                <w:szCs w:val="22"/>
              </w:rPr>
            </w:pPr>
            <w:r w:rsidRPr="0024604C">
              <w:rPr>
                <w:rFonts w:ascii="Arial" w:hAnsi="Arial" w:cs="Arial"/>
                <w:sz w:val="22"/>
                <w:szCs w:val="22"/>
              </w:rPr>
              <w:t>CT7-Industrial</w:t>
            </w:r>
          </w:p>
        </w:tc>
        <w:tc>
          <w:tcPr>
            <w:tcW w:w="780"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0,19</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0,11</w:t>
            </w:r>
          </w:p>
        </w:tc>
        <w:tc>
          <w:tcPr>
            <w:tcW w:w="780" w:type="dxa"/>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0,1</w:t>
            </w:r>
          </w:p>
        </w:tc>
        <w:tc>
          <w:tcPr>
            <w:tcW w:w="780" w:type="dxa"/>
            <w:tcBorders>
              <w:righ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97" w:type="dxa"/>
            <w:tcBorders>
              <w:left w:val="outset" w:sz="6" w:space="0" w:color="auto"/>
            </w:tcBorders>
            <w:shd w:val="clear" w:color="auto" w:fill="auto"/>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w:t>
            </w:r>
          </w:p>
        </w:tc>
        <w:tc>
          <w:tcPr>
            <w:tcW w:w="780" w:type="dxa"/>
            <w:tcBorders>
              <w:left w:val="outset" w:sz="6" w:space="0" w:color="auto"/>
              <w:righ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0,08</w:t>
            </w:r>
          </w:p>
        </w:tc>
        <w:tc>
          <w:tcPr>
            <w:tcW w:w="797" w:type="dxa"/>
            <w:tcBorders>
              <w:left w:val="outset" w:sz="6" w:space="0" w:color="auto"/>
              <w:right w:val="outset" w:sz="6" w:space="0" w:color="auto"/>
            </w:tcBorders>
            <w:vAlign w:val="center"/>
          </w:tcPr>
          <w:p w:rsidR="007B5806" w:rsidRPr="0024604C" w:rsidRDefault="007B5806" w:rsidP="0037402F">
            <w:pPr>
              <w:jc w:val="center"/>
              <w:rPr>
                <w:rFonts w:ascii="Arial" w:hAnsi="Arial" w:cs="Arial"/>
                <w:sz w:val="22"/>
                <w:szCs w:val="22"/>
              </w:rPr>
            </w:pPr>
            <w:r w:rsidRPr="0024604C">
              <w:rPr>
                <w:rFonts w:ascii="Arial" w:hAnsi="Arial" w:cs="Arial"/>
                <w:sz w:val="22"/>
                <w:szCs w:val="22"/>
              </w:rPr>
              <w:t>0.095</w:t>
            </w:r>
          </w:p>
        </w:tc>
        <w:tc>
          <w:tcPr>
            <w:tcW w:w="820" w:type="dxa"/>
            <w:gridSpan w:val="2"/>
            <w:tcBorders>
              <w:left w:val="outset" w:sz="6" w:space="0" w:color="auto"/>
            </w:tcBorders>
            <w:vAlign w:val="center"/>
          </w:tcPr>
          <w:p w:rsidR="007B5806" w:rsidRPr="0024604C" w:rsidRDefault="007B5806" w:rsidP="0037402F">
            <w:pPr>
              <w:jc w:val="center"/>
              <w:rPr>
                <w:sz w:val="22"/>
                <w:szCs w:val="22"/>
              </w:rPr>
            </w:pPr>
            <w:r w:rsidRPr="0024604C">
              <w:rPr>
                <w:rFonts w:ascii="Arial" w:hAnsi="Arial" w:cs="Arial"/>
                <w:sz w:val="22"/>
                <w:szCs w:val="22"/>
              </w:rPr>
              <w:t>***</w:t>
            </w:r>
          </w:p>
        </w:tc>
        <w:tc>
          <w:tcPr>
            <w:tcW w:w="817" w:type="dxa"/>
            <w:tcBorders>
              <w:left w:val="outset" w:sz="6" w:space="0" w:color="auto"/>
            </w:tcBorders>
            <w:vAlign w:val="center"/>
          </w:tcPr>
          <w:p w:rsidR="007B5806" w:rsidRPr="0024604C" w:rsidRDefault="007B5806" w:rsidP="00965178">
            <w:pPr>
              <w:jc w:val="center"/>
              <w:rPr>
                <w:rFonts w:ascii="Arial" w:hAnsi="Arial" w:cs="Arial"/>
                <w:sz w:val="22"/>
                <w:szCs w:val="22"/>
              </w:rPr>
            </w:pPr>
            <w:r w:rsidRPr="0024604C">
              <w:rPr>
                <w:rFonts w:ascii="Arial" w:hAnsi="Arial" w:cs="Arial"/>
                <w:sz w:val="22"/>
                <w:szCs w:val="22"/>
              </w:rPr>
              <w:t>0,17</w:t>
            </w:r>
          </w:p>
        </w:tc>
        <w:tc>
          <w:tcPr>
            <w:tcW w:w="837" w:type="dxa"/>
            <w:tcBorders>
              <w:left w:val="outset" w:sz="6" w:space="0" w:color="auto"/>
            </w:tcBorders>
          </w:tcPr>
          <w:p w:rsidR="007B5806" w:rsidRPr="0024604C" w:rsidRDefault="007B5806" w:rsidP="00965178">
            <w:pPr>
              <w:jc w:val="center"/>
              <w:rPr>
                <w:rFonts w:ascii="Arial" w:hAnsi="Arial" w:cs="Arial"/>
                <w:sz w:val="22"/>
                <w:szCs w:val="22"/>
              </w:rPr>
            </w:pPr>
            <w:r>
              <w:rPr>
                <w:rFonts w:ascii="Arial" w:hAnsi="Arial" w:cs="Arial"/>
                <w:sz w:val="22"/>
                <w:szCs w:val="22"/>
              </w:rPr>
              <w:t>0.11</w:t>
            </w:r>
          </w:p>
        </w:tc>
      </w:tr>
    </w:tbl>
    <w:p w:rsidR="00EB737C" w:rsidRDefault="007B5806" w:rsidP="00EB737C">
      <w:pPr>
        <w:autoSpaceDE w:val="0"/>
        <w:autoSpaceDN w:val="0"/>
        <w:adjustRightInd w:val="0"/>
        <w:jc w:val="both"/>
        <w:rPr>
          <w:rFonts w:ascii="Arial" w:hAnsi="Arial" w:cs="Arial"/>
          <w:sz w:val="24"/>
          <w:szCs w:val="24"/>
        </w:rPr>
      </w:pPr>
      <w:r>
        <w:rPr>
          <w:rFonts w:ascii="Arial" w:hAnsi="Arial" w:cs="Arial"/>
          <w:i/>
          <w:sz w:val="24"/>
          <w:szCs w:val="24"/>
          <w:lang w:val="ro-RO"/>
        </w:rPr>
        <w:t xml:space="preserve">                                                                                                                       </w:t>
      </w:r>
      <w:r w:rsidRPr="00D572F6">
        <w:rPr>
          <w:rFonts w:ascii="Arial" w:hAnsi="Arial" w:cs="Arial"/>
          <w:i/>
          <w:sz w:val="24"/>
          <w:szCs w:val="24"/>
          <w:lang w:val="ro-RO"/>
        </w:rPr>
        <w:t xml:space="preserve">Tabel </w:t>
      </w:r>
      <w:r>
        <w:rPr>
          <w:rFonts w:ascii="Arial" w:hAnsi="Arial" w:cs="Arial"/>
          <w:i/>
          <w:sz w:val="24"/>
          <w:szCs w:val="24"/>
          <w:lang w:val="ro-RO"/>
        </w:rPr>
        <w:t>1.1.1.</w:t>
      </w:r>
      <w:r w:rsidRPr="00D572F6">
        <w:rPr>
          <w:rFonts w:ascii="Arial" w:hAnsi="Arial" w:cs="Arial"/>
          <w:i/>
          <w:sz w:val="24"/>
          <w:szCs w:val="24"/>
          <w:lang w:val="ro-RO"/>
        </w:rPr>
        <w:t>2.</w:t>
      </w:r>
      <w:r>
        <w:rPr>
          <w:rFonts w:ascii="Arial" w:hAnsi="Arial" w:cs="Arial"/>
          <w:i/>
          <w:sz w:val="24"/>
          <w:szCs w:val="24"/>
          <w:lang w:val="ro-RO"/>
        </w:rPr>
        <w:t>3</w:t>
      </w:r>
    </w:p>
    <w:p w:rsidR="00EB737C" w:rsidRDefault="00EB737C" w:rsidP="00EB737C">
      <w:pPr>
        <w:autoSpaceDE w:val="0"/>
        <w:autoSpaceDN w:val="0"/>
        <w:adjustRightInd w:val="0"/>
        <w:jc w:val="both"/>
        <w:rPr>
          <w:rFonts w:ascii="Arial" w:hAnsi="Arial" w:cs="Arial"/>
          <w:bCs/>
          <w:sz w:val="24"/>
          <w:szCs w:val="24"/>
          <w:lang w:val="it-IT"/>
        </w:rPr>
      </w:pPr>
      <w:r w:rsidRPr="00086E0C">
        <w:rPr>
          <w:rFonts w:ascii="Arial" w:hAnsi="Arial" w:cs="Arial"/>
          <w:sz w:val="24"/>
          <w:szCs w:val="24"/>
        </w:rPr>
        <w:t xml:space="preserve">Din motive tehnice, pentru statiile care nu apar in </w:t>
      </w:r>
      <w:r w:rsidR="007B5806">
        <w:rPr>
          <w:rFonts w:ascii="Arial" w:hAnsi="Arial" w:cs="Arial"/>
          <w:sz w:val="24"/>
          <w:szCs w:val="24"/>
        </w:rPr>
        <w:t>gra</w:t>
      </w:r>
      <w:r w:rsidR="00AC0F0F">
        <w:rPr>
          <w:rFonts w:ascii="Arial" w:hAnsi="Arial" w:cs="Arial"/>
          <w:sz w:val="24"/>
          <w:szCs w:val="24"/>
        </w:rPr>
        <w:t>f</w:t>
      </w:r>
      <w:r w:rsidR="007B5806">
        <w:rPr>
          <w:rFonts w:ascii="Arial" w:hAnsi="Arial" w:cs="Arial"/>
          <w:sz w:val="24"/>
          <w:szCs w:val="24"/>
        </w:rPr>
        <w:t xml:space="preserve">ic in anii anteriori </w:t>
      </w:r>
      <w:r w:rsidRPr="00086E0C">
        <w:rPr>
          <w:rFonts w:ascii="Arial" w:hAnsi="Arial" w:cs="Arial"/>
          <w:sz w:val="24"/>
          <w:szCs w:val="24"/>
        </w:rPr>
        <w:t xml:space="preserve">nu exista </w:t>
      </w:r>
      <w:r w:rsidRPr="00086E0C">
        <w:rPr>
          <w:rFonts w:ascii="Arial" w:hAnsi="Arial" w:cs="Arial"/>
          <w:bCs/>
          <w:sz w:val="24"/>
          <w:szCs w:val="24"/>
          <w:lang w:val="it-IT"/>
        </w:rPr>
        <w:t>date/datele validate sunt insuficiente pentru a respecta criteriile de calitate conform Legii 104/2011 (captura de date pentru minim 75% din intervalul de timp calendaristic).</w:t>
      </w:r>
    </w:p>
    <w:p w:rsidR="000464DA" w:rsidRDefault="000464DA" w:rsidP="00EB737C">
      <w:pPr>
        <w:autoSpaceDE w:val="0"/>
        <w:autoSpaceDN w:val="0"/>
        <w:adjustRightInd w:val="0"/>
        <w:jc w:val="both"/>
        <w:rPr>
          <w:rFonts w:ascii="Arial" w:hAnsi="Arial" w:cs="Arial"/>
          <w:bCs/>
          <w:sz w:val="24"/>
          <w:szCs w:val="24"/>
          <w:lang w:val="it-IT"/>
        </w:rPr>
      </w:pPr>
    </w:p>
    <w:p w:rsidR="007B5806" w:rsidRPr="00086E0C" w:rsidRDefault="007B5806" w:rsidP="00EB737C">
      <w:pPr>
        <w:autoSpaceDE w:val="0"/>
        <w:autoSpaceDN w:val="0"/>
        <w:adjustRightInd w:val="0"/>
        <w:jc w:val="both"/>
        <w:rPr>
          <w:rFonts w:ascii="Arial" w:hAnsi="Arial" w:cs="Arial"/>
          <w:bCs/>
          <w:sz w:val="24"/>
          <w:szCs w:val="24"/>
          <w:lang w:val="it-IT"/>
        </w:rPr>
      </w:pPr>
      <w:r w:rsidRPr="007B5806">
        <w:rPr>
          <w:rFonts w:ascii="Arial" w:hAnsi="Arial" w:cs="Arial"/>
          <w:bCs/>
          <w:noProof/>
          <w:sz w:val="24"/>
          <w:szCs w:val="24"/>
        </w:rPr>
        <w:drawing>
          <wp:inline distT="0" distB="0" distL="0" distR="0">
            <wp:extent cx="5713071" cy="4416724"/>
            <wp:effectExtent l="19050" t="0" r="20979" b="2876"/>
            <wp:docPr id="5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6A13" w:rsidRDefault="00DD6A13" w:rsidP="00DE42E1">
      <w:pPr>
        <w:tabs>
          <w:tab w:val="num" w:pos="0"/>
        </w:tabs>
        <w:jc w:val="center"/>
        <w:rPr>
          <w:rFonts w:ascii="Arial" w:hAnsi="Arial" w:cs="Arial"/>
          <w:b/>
          <w:sz w:val="24"/>
          <w:szCs w:val="24"/>
          <w:lang w:val="ro-RO"/>
        </w:rPr>
      </w:pPr>
    </w:p>
    <w:p w:rsidR="00DD6A13" w:rsidRPr="00D572F6" w:rsidRDefault="00DD6A13" w:rsidP="00DD6A13">
      <w:pPr>
        <w:tabs>
          <w:tab w:val="num" w:pos="0"/>
        </w:tabs>
        <w:jc w:val="center"/>
        <w:rPr>
          <w:rFonts w:ascii="Arial" w:hAnsi="Arial" w:cs="Arial"/>
          <w:i/>
          <w:sz w:val="24"/>
          <w:szCs w:val="24"/>
          <w:lang w:val="ro-RO"/>
        </w:rPr>
      </w:pPr>
      <w:r>
        <w:rPr>
          <w:rFonts w:ascii="Arial" w:hAnsi="Arial" w:cs="Arial"/>
          <w:i/>
          <w:sz w:val="24"/>
          <w:szCs w:val="24"/>
          <w:lang w:val="ro-RO" w:eastAsia="ro-RO"/>
        </w:rPr>
        <w:t xml:space="preserve">                                                                                            </w:t>
      </w:r>
      <w:r w:rsidR="009536A6">
        <w:rPr>
          <w:rFonts w:ascii="Arial" w:hAnsi="Arial" w:cs="Arial"/>
          <w:i/>
          <w:sz w:val="24"/>
          <w:szCs w:val="24"/>
          <w:lang w:val="ro-RO" w:eastAsia="ro-RO"/>
        </w:rPr>
        <w:t xml:space="preserve">                 </w:t>
      </w:r>
      <w:r>
        <w:rPr>
          <w:rFonts w:ascii="Arial" w:hAnsi="Arial" w:cs="Arial"/>
          <w:i/>
          <w:sz w:val="24"/>
          <w:szCs w:val="24"/>
          <w:lang w:val="ro-RO" w:eastAsia="ro-RO"/>
        </w:rPr>
        <w:t xml:space="preserve">    </w:t>
      </w:r>
      <w:r w:rsidRPr="00D572F6">
        <w:rPr>
          <w:rFonts w:ascii="Arial" w:hAnsi="Arial" w:cs="Arial"/>
          <w:i/>
          <w:sz w:val="24"/>
          <w:szCs w:val="24"/>
          <w:lang w:val="ro-RO" w:eastAsia="ro-RO"/>
        </w:rPr>
        <w:t xml:space="preserve">Figura </w:t>
      </w:r>
      <w:r>
        <w:rPr>
          <w:rFonts w:ascii="Arial" w:hAnsi="Arial" w:cs="Arial"/>
          <w:i/>
          <w:sz w:val="24"/>
          <w:szCs w:val="24"/>
          <w:lang w:val="ro-RO"/>
        </w:rPr>
        <w:t>1.1.1.</w:t>
      </w:r>
      <w:r w:rsidRPr="00D572F6">
        <w:rPr>
          <w:rFonts w:ascii="Arial" w:hAnsi="Arial" w:cs="Arial"/>
          <w:i/>
          <w:sz w:val="24"/>
          <w:szCs w:val="24"/>
          <w:lang w:val="ro-RO"/>
        </w:rPr>
        <w:t>2.</w:t>
      </w:r>
      <w:r w:rsidR="009536A6">
        <w:rPr>
          <w:rFonts w:ascii="Arial" w:hAnsi="Arial" w:cs="Arial"/>
          <w:i/>
          <w:sz w:val="24"/>
          <w:szCs w:val="24"/>
          <w:lang w:val="ro-RO"/>
        </w:rPr>
        <w:t>3</w:t>
      </w:r>
      <w:r>
        <w:rPr>
          <w:rFonts w:ascii="Arial" w:hAnsi="Arial" w:cs="Arial"/>
          <w:i/>
          <w:sz w:val="24"/>
          <w:szCs w:val="24"/>
          <w:lang w:val="ro-RO"/>
        </w:rPr>
        <w:t>.</w:t>
      </w:r>
    </w:p>
    <w:p w:rsidR="00AC7D51" w:rsidRDefault="00AC7D51" w:rsidP="009776CE">
      <w:pPr>
        <w:tabs>
          <w:tab w:val="num" w:pos="0"/>
        </w:tabs>
        <w:jc w:val="both"/>
        <w:rPr>
          <w:rFonts w:ascii="Arial" w:hAnsi="Arial" w:cs="Arial"/>
          <w:b/>
          <w:sz w:val="24"/>
          <w:szCs w:val="24"/>
          <w:lang w:val="ro-RO" w:eastAsia="ro-RO"/>
        </w:rPr>
      </w:pPr>
    </w:p>
    <w:p w:rsidR="000048FA" w:rsidRPr="00DE42E1" w:rsidRDefault="000048FA" w:rsidP="000048FA">
      <w:pPr>
        <w:tabs>
          <w:tab w:val="num" w:pos="0"/>
        </w:tabs>
        <w:jc w:val="both"/>
        <w:rPr>
          <w:rFonts w:ascii="Arial" w:hAnsi="Arial" w:cs="Arial"/>
          <w:b/>
          <w:sz w:val="24"/>
          <w:szCs w:val="24"/>
          <w:lang w:val="ro-RO" w:eastAsia="ro-RO"/>
        </w:rPr>
      </w:pPr>
      <w:r w:rsidRPr="00DE42E1">
        <w:rPr>
          <w:rFonts w:ascii="Arial" w:hAnsi="Arial" w:cs="Arial"/>
          <w:sz w:val="24"/>
          <w:szCs w:val="24"/>
          <w:lang w:val="ro-RO" w:eastAsia="ro-RO"/>
        </w:rPr>
        <w:t>Pentru judetul Constanta nu exista depasiri pentru poluantul CO.</w:t>
      </w:r>
    </w:p>
    <w:p w:rsidR="00DE42E1" w:rsidRDefault="00DE42E1" w:rsidP="00AD12CE">
      <w:pPr>
        <w:tabs>
          <w:tab w:val="num" w:pos="0"/>
        </w:tabs>
        <w:jc w:val="both"/>
        <w:rPr>
          <w:rFonts w:ascii="Arial" w:hAnsi="Arial" w:cs="Arial"/>
          <w:b/>
          <w:sz w:val="24"/>
          <w:szCs w:val="24"/>
          <w:lang w:val="ro-RO"/>
        </w:rPr>
      </w:pPr>
    </w:p>
    <w:p w:rsidR="00AD12CE" w:rsidRPr="007B7830" w:rsidRDefault="00247C10" w:rsidP="00AD12CE">
      <w:pPr>
        <w:tabs>
          <w:tab w:val="num" w:pos="0"/>
        </w:tabs>
        <w:jc w:val="both"/>
        <w:rPr>
          <w:rFonts w:ascii="Arial" w:hAnsi="Arial" w:cs="Arial"/>
          <w:sz w:val="24"/>
          <w:szCs w:val="24"/>
          <w:lang w:val="ro-RO"/>
        </w:rPr>
      </w:pPr>
      <w:r>
        <w:rPr>
          <w:rFonts w:ascii="Arial" w:hAnsi="Arial" w:cs="Arial"/>
          <w:b/>
          <w:sz w:val="24"/>
          <w:szCs w:val="24"/>
          <w:lang w:val="ro-RO"/>
        </w:rPr>
        <w:t xml:space="preserve"> </w:t>
      </w:r>
      <w:r w:rsidR="00AD12CE" w:rsidRPr="007B7830">
        <w:rPr>
          <w:rFonts w:ascii="Arial" w:hAnsi="Arial" w:cs="Arial"/>
          <w:b/>
          <w:sz w:val="24"/>
          <w:szCs w:val="24"/>
          <w:lang w:val="ro-RO"/>
        </w:rPr>
        <w:t>Ozonul</w:t>
      </w:r>
    </w:p>
    <w:p w:rsidR="00AD12CE" w:rsidRPr="00D572F6" w:rsidRDefault="00AD12CE" w:rsidP="00AD12CE">
      <w:pPr>
        <w:tabs>
          <w:tab w:val="num" w:pos="0"/>
        </w:tabs>
        <w:jc w:val="both"/>
        <w:rPr>
          <w:rFonts w:ascii="Arial" w:hAnsi="Arial" w:cs="Arial"/>
          <w:i/>
          <w:sz w:val="24"/>
          <w:szCs w:val="24"/>
          <w:lang w:val="ro-RO"/>
        </w:rPr>
      </w:pPr>
      <w:r w:rsidRPr="00D572F6">
        <w:rPr>
          <w:rFonts w:ascii="Arial" w:hAnsi="Arial" w:cs="Arial"/>
          <w:i/>
          <w:sz w:val="24"/>
          <w:szCs w:val="24"/>
          <w:lang w:val="ro-RO"/>
        </w:rPr>
        <w:tab/>
      </w:r>
    </w:p>
    <w:tbl>
      <w:tblPr>
        <w:tblW w:w="11931"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67"/>
        <w:gridCol w:w="1204"/>
        <w:gridCol w:w="990"/>
        <w:gridCol w:w="878"/>
        <w:gridCol w:w="878"/>
        <w:gridCol w:w="878"/>
        <w:gridCol w:w="892"/>
        <w:gridCol w:w="887"/>
        <w:gridCol w:w="887"/>
        <w:gridCol w:w="887"/>
        <w:gridCol w:w="837"/>
        <w:gridCol w:w="1246"/>
      </w:tblGrid>
      <w:tr w:rsidR="00842FAC" w:rsidRPr="002006D9" w:rsidTr="00842FAC">
        <w:trPr>
          <w:tblCellSpacing w:w="20" w:type="dxa"/>
          <w:jc w:val="center"/>
        </w:trPr>
        <w:tc>
          <w:tcPr>
            <w:tcW w:w="1407" w:type="dxa"/>
            <w:vMerge w:val="restart"/>
            <w:shd w:val="clear" w:color="auto" w:fill="FFFFCC"/>
            <w:vAlign w:val="center"/>
          </w:tcPr>
          <w:p w:rsidR="00842FAC" w:rsidRPr="002006D9" w:rsidRDefault="00842FAC" w:rsidP="00E15AE8">
            <w:pPr>
              <w:jc w:val="center"/>
              <w:rPr>
                <w:rFonts w:ascii="Arial" w:hAnsi="Arial" w:cs="Arial"/>
                <w:b/>
                <w:sz w:val="24"/>
                <w:szCs w:val="24"/>
              </w:rPr>
            </w:pPr>
            <w:r w:rsidRPr="002006D9">
              <w:rPr>
                <w:rFonts w:ascii="Arial" w:hAnsi="Arial" w:cs="Arial"/>
                <w:b/>
                <w:sz w:val="24"/>
                <w:szCs w:val="24"/>
              </w:rPr>
              <w:t>POLUANT</w:t>
            </w:r>
          </w:p>
        </w:tc>
        <w:tc>
          <w:tcPr>
            <w:tcW w:w="1164" w:type="dxa"/>
            <w:vMerge w:val="restart"/>
            <w:tcBorders>
              <w:right w:val="outset" w:sz="6" w:space="0" w:color="auto"/>
            </w:tcBorders>
            <w:shd w:val="clear" w:color="auto" w:fill="FFFFCC"/>
            <w:vAlign w:val="center"/>
          </w:tcPr>
          <w:p w:rsidR="00842FAC" w:rsidRPr="002006D9" w:rsidRDefault="00842FAC" w:rsidP="00E15AE8">
            <w:pPr>
              <w:jc w:val="center"/>
              <w:rPr>
                <w:rFonts w:ascii="Arial" w:hAnsi="Arial" w:cs="Arial"/>
                <w:b/>
                <w:sz w:val="24"/>
                <w:szCs w:val="24"/>
              </w:rPr>
            </w:pPr>
            <w:r w:rsidRPr="002006D9">
              <w:rPr>
                <w:rFonts w:ascii="Arial" w:hAnsi="Arial" w:cs="Arial"/>
                <w:b/>
                <w:sz w:val="24"/>
                <w:szCs w:val="24"/>
              </w:rPr>
              <w:t>Tip statie</w:t>
            </w:r>
          </w:p>
        </w:tc>
        <w:tc>
          <w:tcPr>
            <w:tcW w:w="9200" w:type="dxa"/>
            <w:gridSpan w:val="10"/>
            <w:tcBorders>
              <w:left w:val="outset" w:sz="6" w:space="0" w:color="auto"/>
              <w:bottom w:val="outset" w:sz="6" w:space="0" w:color="auto"/>
              <w:right w:val="outset" w:sz="6" w:space="0" w:color="A0A0A0"/>
            </w:tcBorders>
            <w:shd w:val="clear" w:color="auto" w:fill="FFFFCC"/>
            <w:vAlign w:val="center"/>
          </w:tcPr>
          <w:p w:rsidR="00842FAC" w:rsidRPr="002006D9" w:rsidRDefault="00842FAC" w:rsidP="00E15AE8">
            <w:pPr>
              <w:jc w:val="center"/>
              <w:rPr>
                <w:rFonts w:ascii="Arial" w:hAnsi="Arial" w:cs="Arial"/>
                <w:b/>
                <w:sz w:val="24"/>
                <w:szCs w:val="24"/>
              </w:rPr>
            </w:pPr>
            <w:r w:rsidRPr="002006D9">
              <w:rPr>
                <w:rFonts w:ascii="Arial" w:hAnsi="Arial" w:cs="Arial"/>
                <w:b/>
                <w:sz w:val="24"/>
                <w:szCs w:val="24"/>
              </w:rPr>
              <w:t>Concentratia medie anuala</w:t>
            </w:r>
          </w:p>
        </w:tc>
      </w:tr>
      <w:tr w:rsidR="00842FAC" w:rsidRPr="00986548" w:rsidTr="000464DA">
        <w:trPr>
          <w:tblCellSpacing w:w="20" w:type="dxa"/>
          <w:jc w:val="center"/>
        </w:trPr>
        <w:tc>
          <w:tcPr>
            <w:tcW w:w="1407" w:type="dxa"/>
            <w:vMerge/>
            <w:shd w:val="clear" w:color="auto" w:fill="FFFFCC"/>
            <w:vAlign w:val="center"/>
          </w:tcPr>
          <w:p w:rsidR="00842FAC" w:rsidRPr="00986548" w:rsidRDefault="00842FAC" w:rsidP="00E15AE8">
            <w:pPr>
              <w:jc w:val="center"/>
              <w:rPr>
                <w:rFonts w:ascii="Arial" w:hAnsi="Arial" w:cs="Arial"/>
                <w:sz w:val="24"/>
                <w:szCs w:val="24"/>
              </w:rPr>
            </w:pPr>
          </w:p>
        </w:tc>
        <w:tc>
          <w:tcPr>
            <w:tcW w:w="1164" w:type="dxa"/>
            <w:vMerge/>
            <w:tcBorders>
              <w:right w:val="outset" w:sz="6" w:space="0" w:color="auto"/>
            </w:tcBorders>
            <w:shd w:val="clear" w:color="auto" w:fill="FFFFCC"/>
            <w:vAlign w:val="center"/>
          </w:tcPr>
          <w:p w:rsidR="00842FAC" w:rsidRPr="00986548" w:rsidRDefault="00842FAC" w:rsidP="00E15AE8">
            <w:pPr>
              <w:jc w:val="center"/>
              <w:rPr>
                <w:rFonts w:ascii="Arial" w:hAnsi="Arial" w:cs="Arial"/>
                <w:sz w:val="24"/>
                <w:szCs w:val="24"/>
              </w:rPr>
            </w:pPr>
          </w:p>
        </w:tc>
        <w:tc>
          <w:tcPr>
            <w:tcW w:w="950" w:type="dxa"/>
            <w:tcBorders>
              <w:top w:val="outset" w:sz="6" w:space="0" w:color="auto"/>
              <w:left w:val="outset" w:sz="6" w:space="0" w:color="auto"/>
            </w:tcBorders>
            <w:shd w:val="clear" w:color="auto" w:fill="FFFFCC"/>
            <w:vAlign w:val="center"/>
          </w:tcPr>
          <w:p w:rsidR="00842FAC" w:rsidRPr="00C97AFE" w:rsidRDefault="00842FAC" w:rsidP="00E15AE8">
            <w:pPr>
              <w:jc w:val="center"/>
              <w:rPr>
                <w:rFonts w:ascii="Arial" w:hAnsi="Arial" w:cs="Arial"/>
                <w:sz w:val="24"/>
                <w:szCs w:val="24"/>
              </w:rPr>
            </w:pPr>
            <w:r w:rsidRPr="00C97AFE">
              <w:rPr>
                <w:rFonts w:ascii="Arial" w:hAnsi="Arial" w:cs="Arial"/>
                <w:sz w:val="24"/>
                <w:szCs w:val="24"/>
              </w:rPr>
              <w:t>2008</w:t>
            </w:r>
          </w:p>
        </w:tc>
        <w:tc>
          <w:tcPr>
            <w:tcW w:w="838" w:type="dxa"/>
            <w:shd w:val="clear" w:color="auto" w:fill="FFFFCC"/>
            <w:vAlign w:val="center"/>
          </w:tcPr>
          <w:p w:rsidR="00842FAC" w:rsidRPr="00C97AFE" w:rsidRDefault="00842FAC" w:rsidP="00E15AE8">
            <w:pPr>
              <w:jc w:val="center"/>
              <w:rPr>
                <w:rFonts w:ascii="Arial" w:hAnsi="Arial" w:cs="Arial"/>
                <w:sz w:val="24"/>
                <w:szCs w:val="24"/>
              </w:rPr>
            </w:pPr>
            <w:r w:rsidRPr="00C97AFE">
              <w:rPr>
                <w:rFonts w:ascii="Arial" w:hAnsi="Arial" w:cs="Arial"/>
                <w:sz w:val="24"/>
                <w:szCs w:val="24"/>
              </w:rPr>
              <w:t>2009</w:t>
            </w:r>
          </w:p>
        </w:tc>
        <w:tc>
          <w:tcPr>
            <w:tcW w:w="838" w:type="dxa"/>
            <w:shd w:val="clear" w:color="auto" w:fill="FFFFCC"/>
            <w:vAlign w:val="center"/>
          </w:tcPr>
          <w:p w:rsidR="00842FAC" w:rsidRPr="00C97AFE" w:rsidRDefault="00842FAC" w:rsidP="00E15AE8">
            <w:pPr>
              <w:jc w:val="center"/>
              <w:rPr>
                <w:rFonts w:ascii="Arial" w:hAnsi="Arial" w:cs="Arial"/>
                <w:sz w:val="24"/>
                <w:szCs w:val="24"/>
              </w:rPr>
            </w:pPr>
            <w:r w:rsidRPr="00C97AFE">
              <w:rPr>
                <w:rFonts w:ascii="Arial" w:hAnsi="Arial" w:cs="Arial"/>
                <w:sz w:val="24"/>
                <w:szCs w:val="24"/>
              </w:rPr>
              <w:t>2010</w:t>
            </w:r>
          </w:p>
        </w:tc>
        <w:tc>
          <w:tcPr>
            <w:tcW w:w="838" w:type="dxa"/>
            <w:tcBorders>
              <w:right w:val="outset" w:sz="6" w:space="0" w:color="auto"/>
            </w:tcBorders>
            <w:shd w:val="clear" w:color="auto" w:fill="FFFFCC"/>
            <w:vAlign w:val="center"/>
          </w:tcPr>
          <w:p w:rsidR="00842FAC" w:rsidRPr="00C97AFE" w:rsidRDefault="00842FAC" w:rsidP="00E15AE8">
            <w:pPr>
              <w:jc w:val="center"/>
              <w:rPr>
                <w:rFonts w:ascii="Arial" w:hAnsi="Arial" w:cs="Arial"/>
                <w:sz w:val="24"/>
                <w:szCs w:val="24"/>
              </w:rPr>
            </w:pPr>
            <w:r w:rsidRPr="00C97AFE">
              <w:rPr>
                <w:rFonts w:ascii="Arial" w:hAnsi="Arial" w:cs="Arial"/>
                <w:sz w:val="24"/>
                <w:szCs w:val="24"/>
              </w:rPr>
              <w:t>2011</w:t>
            </w:r>
          </w:p>
        </w:tc>
        <w:tc>
          <w:tcPr>
            <w:tcW w:w="852" w:type="dxa"/>
            <w:tcBorders>
              <w:left w:val="outset" w:sz="6" w:space="0" w:color="auto"/>
            </w:tcBorders>
            <w:shd w:val="clear" w:color="auto" w:fill="FFFFCC"/>
            <w:vAlign w:val="center"/>
          </w:tcPr>
          <w:p w:rsidR="00842FAC" w:rsidRPr="00C97AFE" w:rsidRDefault="00842FAC" w:rsidP="00E15AE8">
            <w:pPr>
              <w:jc w:val="center"/>
              <w:rPr>
                <w:rFonts w:ascii="Arial" w:hAnsi="Arial" w:cs="Arial"/>
                <w:sz w:val="24"/>
                <w:szCs w:val="24"/>
              </w:rPr>
            </w:pPr>
            <w:r w:rsidRPr="00C97AFE">
              <w:rPr>
                <w:rFonts w:ascii="Arial" w:hAnsi="Arial" w:cs="Arial"/>
                <w:sz w:val="24"/>
                <w:szCs w:val="24"/>
              </w:rPr>
              <w:t>2012</w:t>
            </w:r>
          </w:p>
        </w:tc>
        <w:tc>
          <w:tcPr>
            <w:tcW w:w="847" w:type="dxa"/>
            <w:tcBorders>
              <w:left w:val="outset" w:sz="6" w:space="0" w:color="auto"/>
              <w:right w:val="outset" w:sz="6" w:space="0" w:color="auto"/>
            </w:tcBorders>
            <w:shd w:val="clear" w:color="auto" w:fill="FFFFCC"/>
          </w:tcPr>
          <w:p w:rsidR="00842FAC" w:rsidRPr="00C97AFE" w:rsidRDefault="00842FAC" w:rsidP="00E15AE8">
            <w:pPr>
              <w:jc w:val="center"/>
              <w:rPr>
                <w:rFonts w:ascii="Arial" w:hAnsi="Arial" w:cs="Arial"/>
                <w:sz w:val="24"/>
                <w:szCs w:val="24"/>
              </w:rPr>
            </w:pPr>
            <w:r w:rsidRPr="00C97AFE">
              <w:rPr>
                <w:rFonts w:ascii="Arial" w:hAnsi="Arial" w:cs="Arial"/>
                <w:sz w:val="24"/>
                <w:szCs w:val="24"/>
              </w:rPr>
              <w:t>2013</w:t>
            </w:r>
          </w:p>
        </w:tc>
        <w:tc>
          <w:tcPr>
            <w:tcW w:w="847" w:type="dxa"/>
            <w:tcBorders>
              <w:left w:val="outset" w:sz="6" w:space="0" w:color="auto"/>
              <w:right w:val="outset" w:sz="6" w:space="0" w:color="auto"/>
            </w:tcBorders>
            <w:shd w:val="clear" w:color="auto" w:fill="FFFFCC"/>
          </w:tcPr>
          <w:p w:rsidR="00842FAC" w:rsidRPr="00C97AFE" w:rsidRDefault="00842FAC" w:rsidP="00E15AE8">
            <w:pPr>
              <w:jc w:val="center"/>
              <w:rPr>
                <w:rFonts w:ascii="Arial" w:hAnsi="Arial" w:cs="Arial"/>
                <w:sz w:val="24"/>
                <w:szCs w:val="24"/>
              </w:rPr>
            </w:pPr>
            <w:r>
              <w:rPr>
                <w:rFonts w:ascii="Arial" w:hAnsi="Arial" w:cs="Arial"/>
                <w:sz w:val="24"/>
                <w:szCs w:val="24"/>
              </w:rPr>
              <w:t>2014</w:t>
            </w:r>
          </w:p>
        </w:tc>
        <w:tc>
          <w:tcPr>
            <w:tcW w:w="847" w:type="dxa"/>
            <w:tcBorders>
              <w:left w:val="outset" w:sz="6" w:space="0" w:color="auto"/>
            </w:tcBorders>
            <w:shd w:val="clear" w:color="auto" w:fill="FFFFCC"/>
          </w:tcPr>
          <w:p w:rsidR="00842FAC" w:rsidRPr="00C97AFE" w:rsidRDefault="00842FAC" w:rsidP="00E15AE8">
            <w:pPr>
              <w:jc w:val="center"/>
              <w:rPr>
                <w:rFonts w:ascii="Arial" w:hAnsi="Arial" w:cs="Arial"/>
                <w:sz w:val="24"/>
                <w:szCs w:val="24"/>
              </w:rPr>
            </w:pPr>
            <w:r>
              <w:rPr>
                <w:rFonts w:ascii="Arial" w:hAnsi="Arial" w:cs="Arial"/>
                <w:sz w:val="24"/>
                <w:szCs w:val="24"/>
              </w:rPr>
              <w:t>2015</w:t>
            </w:r>
          </w:p>
        </w:tc>
        <w:tc>
          <w:tcPr>
            <w:tcW w:w="797" w:type="dxa"/>
            <w:tcBorders>
              <w:left w:val="outset" w:sz="6" w:space="0" w:color="auto"/>
            </w:tcBorders>
            <w:shd w:val="clear" w:color="auto" w:fill="FFFFCC"/>
          </w:tcPr>
          <w:p w:rsidR="00842FAC" w:rsidRDefault="00842FAC" w:rsidP="00E15AE8">
            <w:pPr>
              <w:jc w:val="center"/>
              <w:rPr>
                <w:rFonts w:ascii="Arial" w:hAnsi="Arial" w:cs="Arial"/>
                <w:sz w:val="24"/>
                <w:szCs w:val="24"/>
              </w:rPr>
            </w:pPr>
            <w:r>
              <w:rPr>
                <w:rFonts w:ascii="Arial" w:hAnsi="Arial" w:cs="Arial"/>
                <w:sz w:val="24"/>
                <w:szCs w:val="24"/>
              </w:rPr>
              <w:t>2016</w:t>
            </w:r>
          </w:p>
        </w:tc>
        <w:tc>
          <w:tcPr>
            <w:tcW w:w="1186" w:type="dxa"/>
            <w:tcBorders>
              <w:left w:val="outset" w:sz="6" w:space="0" w:color="auto"/>
            </w:tcBorders>
            <w:shd w:val="clear" w:color="auto" w:fill="FFFFCC"/>
          </w:tcPr>
          <w:p w:rsidR="00842FAC" w:rsidRDefault="00842FAC" w:rsidP="00E15AE8">
            <w:pPr>
              <w:jc w:val="center"/>
              <w:rPr>
                <w:rFonts w:ascii="Arial" w:hAnsi="Arial" w:cs="Arial"/>
                <w:sz w:val="24"/>
                <w:szCs w:val="24"/>
              </w:rPr>
            </w:pPr>
            <w:r>
              <w:rPr>
                <w:rFonts w:ascii="Arial" w:hAnsi="Arial" w:cs="Arial"/>
                <w:sz w:val="24"/>
                <w:szCs w:val="24"/>
              </w:rPr>
              <w:t>2017</w:t>
            </w:r>
          </w:p>
        </w:tc>
      </w:tr>
      <w:tr w:rsidR="00842FAC" w:rsidRPr="00986548" w:rsidTr="000464DA">
        <w:trPr>
          <w:trHeight w:val="253"/>
          <w:tblCellSpacing w:w="20" w:type="dxa"/>
          <w:jc w:val="center"/>
        </w:trPr>
        <w:tc>
          <w:tcPr>
            <w:tcW w:w="1407" w:type="dxa"/>
            <w:vMerge w:val="restart"/>
            <w:shd w:val="clear" w:color="auto" w:fill="auto"/>
            <w:vAlign w:val="center"/>
          </w:tcPr>
          <w:p w:rsidR="00842FAC" w:rsidRPr="00842FAC" w:rsidRDefault="00842FAC" w:rsidP="00E15AE8">
            <w:pPr>
              <w:jc w:val="center"/>
              <w:rPr>
                <w:rFonts w:ascii="Arial" w:hAnsi="Arial" w:cs="Arial"/>
                <w:sz w:val="22"/>
                <w:szCs w:val="22"/>
              </w:rPr>
            </w:pPr>
            <w:r w:rsidRPr="00842FAC">
              <w:rPr>
                <w:rFonts w:ascii="Arial" w:hAnsi="Arial" w:cs="Arial"/>
                <w:sz w:val="22"/>
                <w:szCs w:val="22"/>
              </w:rPr>
              <w:t>O3</w:t>
            </w:r>
            <w:r w:rsidRPr="00842FAC">
              <w:rPr>
                <w:rFonts w:ascii="Arial" w:hAnsi="Arial" w:cs="Arial"/>
                <w:sz w:val="22"/>
                <w:szCs w:val="22"/>
                <w:vertAlign w:val="subscript"/>
              </w:rPr>
              <w:t xml:space="preserve"> </w:t>
            </w:r>
            <w:r w:rsidRPr="00842FAC">
              <w:rPr>
                <w:rFonts w:ascii="Arial" w:hAnsi="Arial" w:cs="Arial"/>
                <w:sz w:val="22"/>
                <w:szCs w:val="22"/>
              </w:rPr>
              <w:t>(μg/mc)</w:t>
            </w:r>
          </w:p>
        </w:tc>
        <w:tc>
          <w:tcPr>
            <w:tcW w:w="1164" w:type="dxa"/>
            <w:tcBorders>
              <w:right w:val="outset" w:sz="6" w:space="0" w:color="auto"/>
            </w:tcBorders>
            <w:shd w:val="clear" w:color="auto" w:fill="auto"/>
          </w:tcPr>
          <w:p w:rsidR="00842FAC" w:rsidRPr="00842FAC" w:rsidRDefault="00842FAC" w:rsidP="00E15AE8">
            <w:pPr>
              <w:jc w:val="center"/>
              <w:rPr>
                <w:rFonts w:ascii="Arial" w:hAnsi="Arial" w:cs="Arial"/>
                <w:sz w:val="22"/>
                <w:szCs w:val="22"/>
              </w:rPr>
            </w:pPr>
            <w:r w:rsidRPr="00842FAC">
              <w:rPr>
                <w:rFonts w:ascii="Arial" w:hAnsi="Arial" w:cs="Arial"/>
                <w:sz w:val="22"/>
                <w:szCs w:val="22"/>
              </w:rPr>
              <w:t>CT2-Fond urban</w:t>
            </w:r>
          </w:p>
        </w:tc>
        <w:tc>
          <w:tcPr>
            <w:tcW w:w="950"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52,48</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w:t>
            </w:r>
          </w:p>
        </w:tc>
        <w:tc>
          <w:tcPr>
            <w:tcW w:w="838" w:type="dxa"/>
            <w:tcBorders>
              <w:righ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w:t>
            </w:r>
          </w:p>
        </w:tc>
        <w:tc>
          <w:tcPr>
            <w:tcW w:w="852"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50,88</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32,42</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w:t>
            </w:r>
          </w:p>
        </w:tc>
        <w:tc>
          <w:tcPr>
            <w:tcW w:w="847" w:type="dxa"/>
            <w:tcBorders>
              <w:lef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39,35</w:t>
            </w:r>
          </w:p>
        </w:tc>
        <w:tc>
          <w:tcPr>
            <w:tcW w:w="797" w:type="dxa"/>
            <w:tcBorders>
              <w:left w:val="outset" w:sz="6" w:space="0" w:color="auto"/>
            </w:tcBorders>
            <w:vAlign w:val="center"/>
          </w:tcPr>
          <w:p w:rsidR="00842FAC" w:rsidRPr="00842FAC" w:rsidRDefault="00842FAC" w:rsidP="000907AB">
            <w:pPr>
              <w:jc w:val="center"/>
              <w:rPr>
                <w:rFonts w:ascii="Arial" w:hAnsi="Arial" w:cs="Arial"/>
                <w:sz w:val="22"/>
                <w:szCs w:val="22"/>
              </w:rPr>
            </w:pPr>
            <w:r w:rsidRPr="00842FAC">
              <w:rPr>
                <w:rFonts w:ascii="Arial" w:hAnsi="Arial" w:cs="Arial"/>
                <w:sz w:val="22"/>
                <w:szCs w:val="22"/>
              </w:rPr>
              <w:t>33,99</w:t>
            </w:r>
          </w:p>
        </w:tc>
        <w:tc>
          <w:tcPr>
            <w:tcW w:w="1186" w:type="dxa"/>
            <w:tcBorders>
              <w:left w:val="outset" w:sz="6" w:space="0" w:color="auto"/>
            </w:tcBorders>
          </w:tcPr>
          <w:p w:rsidR="00842FAC" w:rsidRPr="00842FAC" w:rsidRDefault="00842FAC" w:rsidP="000907AB">
            <w:pPr>
              <w:jc w:val="center"/>
              <w:rPr>
                <w:rFonts w:ascii="Arial" w:hAnsi="Arial" w:cs="Arial"/>
                <w:sz w:val="22"/>
                <w:szCs w:val="22"/>
              </w:rPr>
            </w:pPr>
          </w:p>
          <w:p w:rsidR="00842FAC" w:rsidRPr="00842FAC" w:rsidRDefault="00842FAC" w:rsidP="000907AB">
            <w:pPr>
              <w:jc w:val="center"/>
              <w:rPr>
                <w:rFonts w:ascii="Arial" w:hAnsi="Arial" w:cs="Arial"/>
                <w:sz w:val="22"/>
                <w:szCs w:val="22"/>
              </w:rPr>
            </w:pPr>
            <w:r w:rsidRPr="00842FAC">
              <w:rPr>
                <w:rFonts w:ascii="Arial" w:hAnsi="Arial" w:cs="Arial"/>
                <w:sz w:val="22"/>
                <w:szCs w:val="22"/>
              </w:rPr>
              <w:t>50.53</w:t>
            </w:r>
          </w:p>
        </w:tc>
      </w:tr>
      <w:tr w:rsidR="00842FAC" w:rsidRPr="00986548" w:rsidTr="000464DA">
        <w:trPr>
          <w:trHeight w:val="333"/>
          <w:tblCellSpacing w:w="20" w:type="dxa"/>
          <w:jc w:val="center"/>
        </w:trPr>
        <w:tc>
          <w:tcPr>
            <w:tcW w:w="1407" w:type="dxa"/>
            <w:vMerge/>
            <w:shd w:val="clear" w:color="auto" w:fill="auto"/>
          </w:tcPr>
          <w:p w:rsidR="00842FAC" w:rsidRPr="00842FAC" w:rsidRDefault="00842FAC" w:rsidP="00E15AE8">
            <w:pPr>
              <w:jc w:val="center"/>
              <w:rPr>
                <w:rFonts w:ascii="Arial" w:hAnsi="Arial" w:cs="Arial"/>
                <w:sz w:val="22"/>
                <w:szCs w:val="22"/>
              </w:rPr>
            </w:pPr>
          </w:p>
        </w:tc>
        <w:tc>
          <w:tcPr>
            <w:tcW w:w="1164" w:type="dxa"/>
            <w:tcBorders>
              <w:right w:val="outset" w:sz="6" w:space="0" w:color="auto"/>
            </w:tcBorders>
            <w:shd w:val="clear" w:color="auto" w:fill="auto"/>
          </w:tcPr>
          <w:p w:rsidR="00842FAC" w:rsidRPr="00842FAC" w:rsidRDefault="00842FAC" w:rsidP="00E15AE8">
            <w:pPr>
              <w:jc w:val="center"/>
              <w:rPr>
                <w:rFonts w:ascii="Arial" w:hAnsi="Arial" w:cs="Arial"/>
                <w:sz w:val="22"/>
                <w:szCs w:val="22"/>
              </w:rPr>
            </w:pPr>
            <w:r w:rsidRPr="00842FAC">
              <w:rPr>
                <w:rFonts w:ascii="Arial" w:hAnsi="Arial" w:cs="Arial"/>
                <w:sz w:val="22"/>
                <w:szCs w:val="22"/>
              </w:rPr>
              <w:t>CT3-Fond suburban</w:t>
            </w:r>
          </w:p>
        </w:tc>
        <w:tc>
          <w:tcPr>
            <w:tcW w:w="950"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86,44</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63,67</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60,81</w:t>
            </w:r>
          </w:p>
        </w:tc>
        <w:tc>
          <w:tcPr>
            <w:tcW w:w="838" w:type="dxa"/>
            <w:tcBorders>
              <w:righ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51,58</w:t>
            </w:r>
          </w:p>
        </w:tc>
        <w:tc>
          <w:tcPr>
            <w:tcW w:w="852"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54,19</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51.61</w:t>
            </w:r>
          </w:p>
        </w:tc>
        <w:tc>
          <w:tcPr>
            <w:tcW w:w="847" w:type="dxa"/>
            <w:tcBorders>
              <w:lef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w:t>
            </w:r>
          </w:p>
        </w:tc>
        <w:tc>
          <w:tcPr>
            <w:tcW w:w="797" w:type="dxa"/>
            <w:tcBorders>
              <w:left w:val="outset" w:sz="6" w:space="0" w:color="auto"/>
            </w:tcBorders>
            <w:vAlign w:val="center"/>
          </w:tcPr>
          <w:p w:rsidR="00842FAC" w:rsidRPr="00842FAC" w:rsidRDefault="00842FAC" w:rsidP="000907AB">
            <w:pPr>
              <w:jc w:val="center"/>
              <w:rPr>
                <w:rFonts w:ascii="Arial" w:hAnsi="Arial" w:cs="Arial"/>
                <w:sz w:val="22"/>
                <w:szCs w:val="22"/>
              </w:rPr>
            </w:pPr>
            <w:r w:rsidRPr="00842FAC">
              <w:rPr>
                <w:rFonts w:ascii="Arial" w:hAnsi="Arial" w:cs="Arial"/>
                <w:sz w:val="22"/>
                <w:szCs w:val="22"/>
              </w:rPr>
              <w:t>***</w:t>
            </w:r>
          </w:p>
        </w:tc>
        <w:tc>
          <w:tcPr>
            <w:tcW w:w="1186" w:type="dxa"/>
            <w:tcBorders>
              <w:left w:val="outset" w:sz="6" w:space="0" w:color="auto"/>
            </w:tcBorders>
          </w:tcPr>
          <w:p w:rsidR="00842FAC" w:rsidRPr="00842FAC" w:rsidRDefault="00842FAC" w:rsidP="000907AB">
            <w:pPr>
              <w:jc w:val="center"/>
              <w:rPr>
                <w:rFonts w:ascii="Arial" w:hAnsi="Arial" w:cs="Arial"/>
                <w:sz w:val="22"/>
                <w:szCs w:val="22"/>
              </w:rPr>
            </w:pPr>
            <w:r w:rsidRPr="00842FAC">
              <w:rPr>
                <w:rFonts w:ascii="Arial" w:hAnsi="Arial" w:cs="Arial"/>
                <w:sz w:val="22"/>
                <w:szCs w:val="22"/>
              </w:rPr>
              <w:t>56</w:t>
            </w:r>
          </w:p>
        </w:tc>
      </w:tr>
      <w:tr w:rsidR="00842FAC" w:rsidRPr="00986548" w:rsidTr="000464DA">
        <w:trPr>
          <w:tblCellSpacing w:w="20" w:type="dxa"/>
          <w:jc w:val="center"/>
        </w:trPr>
        <w:tc>
          <w:tcPr>
            <w:tcW w:w="1407" w:type="dxa"/>
            <w:vMerge/>
            <w:shd w:val="clear" w:color="auto" w:fill="auto"/>
          </w:tcPr>
          <w:p w:rsidR="00842FAC" w:rsidRPr="00842FAC" w:rsidRDefault="00842FAC" w:rsidP="00E15AE8">
            <w:pPr>
              <w:jc w:val="center"/>
              <w:rPr>
                <w:rFonts w:ascii="Arial" w:hAnsi="Arial" w:cs="Arial"/>
                <w:sz w:val="22"/>
                <w:szCs w:val="22"/>
              </w:rPr>
            </w:pPr>
          </w:p>
        </w:tc>
        <w:tc>
          <w:tcPr>
            <w:tcW w:w="1164" w:type="dxa"/>
            <w:tcBorders>
              <w:right w:val="outset" w:sz="6" w:space="0" w:color="auto"/>
            </w:tcBorders>
            <w:shd w:val="clear" w:color="auto" w:fill="auto"/>
          </w:tcPr>
          <w:p w:rsidR="00842FAC" w:rsidRPr="00842FAC" w:rsidRDefault="00842FAC" w:rsidP="00E15AE8">
            <w:pPr>
              <w:jc w:val="center"/>
              <w:rPr>
                <w:rFonts w:ascii="Arial" w:hAnsi="Arial" w:cs="Arial"/>
                <w:sz w:val="22"/>
                <w:szCs w:val="22"/>
              </w:rPr>
            </w:pPr>
            <w:r w:rsidRPr="00842FAC">
              <w:rPr>
                <w:rFonts w:ascii="Arial" w:hAnsi="Arial" w:cs="Arial"/>
                <w:sz w:val="22"/>
                <w:szCs w:val="22"/>
              </w:rPr>
              <w:t>CT5-Industrial</w:t>
            </w:r>
          </w:p>
        </w:tc>
        <w:tc>
          <w:tcPr>
            <w:tcW w:w="950"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80,28</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46,08</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58,12</w:t>
            </w:r>
          </w:p>
        </w:tc>
        <w:tc>
          <w:tcPr>
            <w:tcW w:w="838" w:type="dxa"/>
            <w:tcBorders>
              <w:righ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42,36</w:t>
            </w:r>
          </w:p>
        </w:tc>
        <w:tc>
          <w:tcPr>
            <w:tcW w:w="852"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51,43</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31,81</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w:t>
            </w:r>
          </w:p>
        </w:tc>
        <w:tc>
          <w:tcPr>
            <w:tcW w:w="847" w:type="dxa"/>
            <w:tcBorders>
              <w:lef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w:t>
            </w:r>
          </w:p>
        </w:tc>
        <w:tc>
          <w:tcPr>
            <w:tcW w:w="797" w:type="dxa"/>
            <w:tcBorders>
              <w:left w:val="outset" w:sz="6" w:space="0" w:color="auto"/>
            </w:tcBorders>
            <w:vAlign w:val="center"/>
          </w:tcPr>
          <w:p w:rsidR="00842FAC" w:rsidRPr="00842FAC" w:rsidRDefault="00842FAC" w:rsidP="00842FAC">
            <w:pPr>
              <w:jc w:val="center"/>
              <w:rPr>
                <w:rFonts w:ascii="Arial" w:hAnsi="Arial" w:cs="Arial"/>
                <w:sz w:val="22"/>
                <w:szCs w:val="22"/>
              </w:rPr>
            </w:pPr>
            <w:r w:rsidRPr="00842FAC">
              <w:rPr>
                <w:rFonts w:ascii="Arial" w:hAnsi="Arial" w:cs="Arial"/>
                <w:sz w:val="22"/>
                <w:szCs w:val="22"/>
              </w:rPr>
              <w:t>35,5</w:t>
            </w:r>
          </w:p>
        </w:tc>
        <w:tc>
          <w:tcPr>
            <w:tcW w:w="1186" w:type="dxa"/>
            <w:tcBorders>
              <w:left w:val="outset" w:sz="6" w:space="0" w:color="auto"/>
            </w:tcBorders>
          </w:tcPr>
          <w:p w:rsidR="00842FAC" w:rsidRPr="00842FAC" w:rsidRDefault="00842FAC" w:rsidP="000907AB">
            <w:pPr>
              <w:jc w:val="center"/>
              <w:rPr>
                <w:rFonts w:ascii="Arial" w:hAnsi="Arial" w:cs="Arial"/>
                <w:sz w:val="22"/>
                <w:szCs w:val="22"/>
              </w:rPr>
            </w:pPr>
            <w:r w:rsidRPr="00842FAC">
              <w:rPr>
                <w:rFonts w:ascii="Arial" w:hAnsi="Arial" w:cs="Arial"/>
                <w:sz w:val="22"/>
                <w:szCs w:val="22"/>
              </w:rPr>
              <w:t>47.99</w:t>
            </w:r>
          </w:p>
        </w:tc>
      </w:tr>
      <w:tr w:rsidR="00842FAC" w:rsidRPr="00986548" w:rsidTr="000464DA">
        <w:trPr>
          <w:tblCellSpacing w:w="20" w:type="dxa"/>
          <w:jc w:val="center"/>
        </w:trPr>
        <w:tc>
          <w:tcPr>
            <w:tcW w:w="1407" w:type="dxa"/>
            <w:vMerge/>
            <w:shd w:val="clear" w:color="auto" w:fill="auto"/>
          </w:tcPr>
          <w:p w:rsidR="00842FAC" w:rsidRPr="00842FAC" w:rsidRDefault="00842FAC" w:rsidP="00E15AE8">
            <w:pPr>
              <w:jc w:val="center"/>
              <w:rPr>
                <w:rFonts w:ascii="Arial" w:hAnsi="Arial" w:cs="Arial"/>
                <w:sz w:val="22"/>
                <w:szCs w:val="22"/>
              </w:rPr>
            </w:pPr>
          </w:p>
        </w:tc>
        <w:tc>
          <w:tcPr>
            <w:tcW w:w="1164" w:type="dxa"/>
            <w:tcBorders>
              <w:right w:val="outset" w:sz="6" w:space="0" w:color="auto"/>
            </w:tcBorders>
            <w:shd w:val="clear" w:color="auto" w:fill="auto"/>
          </w:tcPr>
          <w:p w:rsidR="00842FAC" w:rsidRPr="00842FAC" w:rsidRDefault="00842FAC" w:rsidP="00E15AE8">
            <w:pPr>
              <w:jc w:val="center"/>
              <w:rPr>
                <w:rFonts w:ascii="Arial" w:hAnsi="Arial" w:cs="Arial"/>
                <w:sz w:val="22"/>
                <w:szCs w:val="22"/>
              </w:rPr>
            </w:pPr>
            <w:r w:rsidRPr="00842FAC">
              <w:rPr>
                <w:rFonts w:ascii="Arial" w:hAnsi="Arial" w:cs="Arial"/>
                <w:sz w:val="22"/>
                <w:szCs w:val="22"/>
              </w:rPr>
              <w:t>CT6-Industrial</w:t>
            </w:r>
          </w:p>
        </w:tc>
        <w:tc>
          <w:tcPr>
            <w:tcW w:w="950"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73,47</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52,6</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51,6</w:t>
            </w:r>
          </w:p>
        </w:tc>
        <w:tc>
          <w:tcPr>
            <w:tcW w:w="838" w:type="dxa"/>
            <w:tcBorders>
              <w:righ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33,52</w:t>
            </w:r>
          </w:p>
        </w:tc>
        <w:tc>
          <w:tcPr>
            <w:tcW w:w="852"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26,51</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w:t>
            </w:r>
          </w:p>
        </w:tc>
        <w:tc>
          <w:tcPr>
            <w:tcW w:w="847" w:type="dxa"/>
            <w:tcBorders>
              <w:lef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40,99</w:t>
            </w:r>
          </w:p>
        </w:tc>
        <w:tc>
          <w:tcPr>
            <w:tcW w:w="797" w:type="dxa"/>
            <w:tcBorders>
              <w:left w:val="outset" w:sz="6" w:space="0" w:color="auto"/>
            </w:tcBorders>
            <w:vAlign w:val="center"/>
          </w:tcPr>
          <w:p w:rsidR="00842FAC" w:rsidRPr="00842FAC" w:rsidRDefault="00842FAC" w:rsidP="000907AB">
            <w:pPr>
              <w:jc w:val="center"/>
              <w:rPr>
                <w:rFonts w:ascii="Arial" w:hAnsi="Arial" w:cs="Arial"/>
                <w:sz w:val="22"/>
                <w:szCs w:val="22"/>
              </w:rPr>
            </w:pPr>
            <w:r w:rsidRPr="00842FAC">
              <w:rPr>
                <w:rFonts w:ascii="Arial" w:hAnsi="Arial" w:cs="Arial"/>
                <w:sz w:val="22"/>
                <w:szCs w:val="22"/>
              </w:rPr>
              <w:t>***</w:t>
            </w:r>
          </w:p>
        </w:tc>
        <w:tc>
          <w:tcPr>
            <w:tcW w:w="1186" w:type="dxa"/>
            <w:tcBorders>
              <w:left w:val="outset" w:sz="6" w:space="0" w:color="auto"/>
            </w:tcBorders>
          </w:tcPr>
          <w:p w:rsidR="00842FAC" w:rsidRPr="00842FAC" w:rsidRDefault="00842FAC" w:rsidP="000907AB">
            <w:pPr>
              <w:jc w:val="center"/>
              <w:rPr>
                <w:rFonts w:ascii="Arial" w:hAnsi="Arial" w:cs="Arial"/>
                <w:sz w:val="22"/>
                <w:szCs w:val="22"/>
              </w:rPr>
            </w:pPr>
            <w:r w:rsidRPr="00842FAC">
              <w:rPr>
                <w:rFonts w:ascii="Arial" w:hAnsi="Arial" w:cs="Arial"/>
                <w:sz w:val="22"/>
                <w:szCs w:val="22"/>
              </w:rPr>
              <w:t>55.11</w:t>
            </w:r>
          </w:p>
        </w:tc>
      </w:tr>
      <w:tr w:rsidR="00842FAC" w:rsidRPr="00986548" w:rsidTr="000464DA">
        <w:trPr>
          <w:tblCellSpacing w:w="20" w:type="dxa"/>
          <w:jc w:val="center"/>
        </w:trPr>
        <w:tc>
          <w:tcPr>
            <w:tcW w:w="1407" w:type="dxa"/>
            <w:vMerge/>
            <w:shd w:val="clear" w:color="auto" w:fill="auto"/>
          </w:tcPr>
          <w:p w:rsidR="00842FAC" w:rsidRPr="00842FAC" w:rsidRDefault="00842FAC" w:rsidP="00E15AE8">
            <w:pPr>
              <w:jc w:val="center"/>
              <w:rPr>
                <w:rFonts w:ascii="Arial" w:hAnsi="Arial" w:cs="Arial"/>
                <w:sz w:val="22"/>
                <w:szCs w:val="22"/>
              </w:rPr>
            </w:pPr>
          </w:p>
        </w:tc>
        <w:tc>
          <w:tcPr>
            <w:tcW w:w="1164" w:type="dxa"/>
            <w:tcBorders>
              <w:right w:val="outset" w:sz="6" w:space="0" w:color="auto"/>
            </w:tcBorders>
            <w:shd w:val="clear" w:color="auto" w:fill="auto"/>
          </w:tcPr>
          <w:p w:rsidR="00842FAC" w:rsidRPr="00842FAC" w:rsidRDefault="00842FAC" w:rsidP="00E15AE8">
            <w:pPr>
              <w:jc w:val="center"/>
              <w:rPr>
                <w:rFonts w:ascii="Arial" w:hAnsi="Arial" w:cs="Arial"/>
                <w:sz w:val="22"/>
                <w:szCs w:val="22"/>
              </w:rPr>
            </w:pPr>
            <w:r w:rsidRPr="00842FAC">
              <w:rPr>
                <w:rFonts w:ascii="Arial" w:hAnsi="Arial" w:cs="Arial"/>
                <w:sz w:val="22"/>
                <w:szCs w:val="22"/>
              </w:rPr>
              <w:t>CT7-Industrial</w:t>
            </w:r>
          </w:p>
        </w:tc>
        <w:tc>
          <w:tcPr>
            <w:tcW w:w="950"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58,33</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56,14</w:t>
            </w:r>
          </w:p>
        </w:tc>
        <w:tc>
          <w:tcPr>
            <w:tcW w:w="838" w:type="dxa"/>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w:t>
            </w:r>
          </w:p>
        </w:tc>
        <w:tc>
          <w:tcPr>
            <w:tcW w:w="838" w:type="dxa"/>
            <w:tcBorders>
              <w:righ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40,55</w:t>
            </w:r>
          </w:p>
        </w:tc>
        <w:tc>
          <w:tcPr>
            <w:tcW w:w="852" w:type="dxa"/>
            <w:tcBorders>
              <w:left w:val="outset" w:sz="6" w:space="0" w:color="auto"/>
            </w:tcBorders>
            <w:shd w:val="clear" w:color="auto" w:fill="auto"/>
            <w:vAlign w:val="center"/>
          </w:tcPr>
          <w:p w:rsidR="00842FAC" w:rsidRPr="00842FAC" w:rsidRDefault="00842FAC" w:rsidP="00553714">
            <w:pPr>
              <w:jc w:val="center"/>
              <w:rPr>
                <w:rFonts w:ascii="Arial" w:hAnsi="Arial" w:cs="Arial"/>
                <w:sz w:val="22"/>
                <w:szCs w:val="22"/>
              </w:rPr>
            </w:pPr>
            <w:r w:rsidRPr="00842FAC">
              <w:rPr>
                <w:rFonts w:ascii="Arial" w:hAnsi="Arial" w:cs="Arial"/>
                <w:sz w:val="22"/>
                <w:szCs w:val="22"/>
              </w:rPr>
              <w:t>***</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32,2</w:t>
            </w:r>
          </w:p>
        </w:tc>
        <w:tc>
          <w:tcPr>
            <w:tcW w:w="847" w:type="dxa"/>
            <w:tcBorders>
              <w:left w:val="outset" w:sz="6" w:space="0" w:color="auto"/>
              <w:righ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37,86</w:t>
            </w:r>
          </w:p>
        </w:tc>
        <w:tc>
          <w:tcPr>
            <w:tcW w:w="847" w:type="dxa"/>
            <w:tcBorders>
              <w:left w:val="outset" w:sz="6" w:space="0" w:color="auto"/>
            </w:tcBorders>
            <w:vAlign w:val="center"/>
          </w:tcPr>
          <w:p w:rsidR="00842FAC" w:rsidRPr="00842FAC" w:rsidRDefault="00842FAC" w:rsidP="00BB6C5C">
            <w:pPr>
              <w:jc w:val="center"/>
              <w:rPr>
                <w:rFonts w:ascii="Arial" w:hAnsi="Arial" w:cs="Arial"/>
                <w:sz w:val="22"/>
                <w:szCs w:val="22"/>
              </w:rPr>
            </w:pPr>
            <w:r w:rsidRPr="00842FAC">
              <w:rPr>
                <w:rFonts w:ascii="Arial" w:hAnsi="Arial" w:cs="Arial"/>
                <w:sz w:val="22"/>
                <w:szCs w:val="22"/>
              </w:rPr>
              <w:t>37,87</w:t>
            </w:r>
          </w:p>
        </w:tc>
        <w:tc>
          <w:tcPr>
            <w:tcW w:w="797" w:type="dxa"/>
            <w:tcBorders>
              <w:left w:val="outset" w:sz="6" w:space="0" w:color="auto"/>
            </w:tcBorders>
            <w:vAlign w:val="center"/>
          </w:tcPr>
          <w:p w:rsidR="00842FAC" w:rsidRPr="00842FAC" w:rsidRDefault="00842FAC" w:rsidP="00842FAC">
            <w:pPr>
              <w:jc w:val="center"/>
              <w:rPr>
                <w:rFonts w:ascii="Arial" w:hAnsi="Arial" w:cs="Arial"/>
                <w:sz w:val="22"/>
                <w:szCs w:val="22"/>
              </w:rPr>
            </w:pPr>
            <w:r w:rsidRPr="00842FAC">
              <w:rPr>
                <w:rFonts w:ascii="Arial" w:hAnsi="Arial" w:cs="Arial"/>
                <w:sz w:val="22"/>
                <w:szCs w:val="22"/>
              </w:rPr>
              <w:t>44,72</w:t>
            </w:r>
          </w:p>
        </w:tc>
        <w:tc>
          <w:tcPr>
            <w:tcW w:w="1186" w:type="dxa"/>
            <w:tcBorders>
              <w:left w:val="outset" w:sz="6" w:space="0" w:color="auto"/>
            </w:tcBorders>
          </w:tcPr>
          <w:p w:rsidR="00842FAC" w:rsidRPr="00842FAC" w:rsidRDefault="00842FAC" w:rsidP="000907AB">
            <w:pPr>
              <w:jc w:val="center"/>
              <w:rPr>
                <w:rFonts w:ascii="Arial" w:hAnsi="Arial" w:cs="Arial"/>
                <w:sz w:val="22"/>
                <w:szCs w:val="22"/>
              </w:rPr>
            </w:pPr>
            <w:r w:rsidRPr="00842FAC">
              <w:rPr>
                <w:rFonts w:ascii="Arial" w:hAnsi="Arial" w:cs="Arial"/>
                <w:sz w:val="22"/>
                <w:szCs w:val="22"/>
              </w:rPr>
              <w:t>51.46</w:t>
            </w:r>
          </w:p>
          <w:p w:rsidR="00842FAC" w:rsidRPr="00842FAC" w:rsidRDefault="00842FAC" w:rsidP="000907AB">
            <w:pPr>
              <w:jc w:val="center"/>
              <w:rPr>
                <w:rFonts w:ascii="Arial" w:hAnsi="Arial" w:cs="Arial"/>
                <w:sz w:val="22"/>
                <w:szCs w:val="22"/>
              </w:rPr>
            </w:pPr>
          </w:p>
        </w:tc>
      </w:tr>
    </w:tbl>
    <w:p w:rsidR="00AD12CE" w:rsidRDefault="000464DA" w:rsidP="00AD12CE">
      <w:pPr>
        <w:jc w:val="both"/>
        <w:rPr>
          <w:rFonts w:ascii="Arial" w:hAnsi="Arial" w:cs="Arial"/>
          <w:spacing w:val="-2"/>
          <w:sz w:val="24"/>
          <w:szCs w:val="24"/>
          <w:lang w:val="ro-RO"/>
        </w:rPr>
      </w:pPr>
      <w:r w:rsidRPr="00D572F6">
        <w:rPr>
          <w:rFonts w:ascii="Arial" w:hAnsi="Arial" w:cs="Arial"/>
          <w:i/>
          <w:sz w:val="24"/>
          <w:szCs w:val="24"/>
          <w:lang w:val="ro-RO"/>
        </w:rPr>
        <w:t xml:space="preserve">                                                                                                  </w:t>
      </w:r>
      <w:r>
        <w:rPr>
          <w:rFonts w:ascii="Arial" w:hAnsi="Arial" w:cs="Arial"/>
          <w:i/>
          <w:sz w:val="24"/>
          <w:szCs w:val="24"/>
          <w:lang w:val="ro-RO"/>
        </w:rPr>
        <w:t xml:space="preserve">         </w:t>
      </w:r>
      <w:r w:rsidRPr="00D572F6">
        <w:rPr>
          <w:rFonts w:ascii="Arial" w:hAnsi="Arial" w:cs="Arial"/>
          <w:i/>
          <w:sz w:val="24"/>
          <w:szCs w:val="24"/>
          <w:lang w:val="ro-RO"/>
        </w:rPr>
        <w:t xml:space="preserve"> Tabel </w:t>
      </w:r>
      <w:r>
        <w:rPr>
          <w:rFonts w:ascii="Arial" w:hAnsi="Arial" w:cs="Arial"/>
          <w:i/>
          <w:sz w:val="24"/>
          <w:szCs w:val="24"/>
          <w:lang w:val="ro-RO"/>
        </w:rPr>
        <w:t>1.1.1.</w:t>
      </w:r>
      <w:r w:rsidRPr="00D572F6">
        <w:rPr>
          <w:rFonts w:ascii="Arial" w:hAnsi="Arial" w:cs="Arial"/>
          <w:i/>
          <w:sz w:val="24"/>
          <w:szCs w:val="24"/>
          <w:lang w:val="ro-RO"/>
        </w:rPr>
        <w:t>2.</w:t>
      </w:r>
      <w:r>
        <w:rPr>
          <w:rFonts w:ascii="Arial" w:hAnsi="Arial" w:cs="Arial"/>
          <w:i/>
          <w:sz w:val="24"/>
          <w:szCs w:val="24"/>
          <w:lang w:val="ro-RO"/>
        </w:rPr>
        <w:t>4</w:t>
      </w:r>
    </w:p>
    <w:p w:rsidR="00842FAC" w:rsidRDefault="00842FAC" w:rsidP="00AD12CE">
      <w:pPr>
        <w:jc w:val="both"/>
        <w:rPr>
          <w:rFonts w:ascii="Arial" w:hAnsi="Arial" w:cs="Arial"/>
          <w:spacing w:val="-2"/>
          <w:sz w:val="24"/>
          <w:szCs w:val="24"/>
          <w:lang w:val="ro-RO"/>
        </w:rPr>
      </w:pPr>
    </w:p>
    <w:p w:rsidR="000464DA" w:rsidRDefault="000464DA" w:rsidP="00AD12CE">
      <w:pPr>
        <w:jc w:val="both"/>
        <w:rPr>
          <w:rFonts w:ascii="Arial" w:hAnsi="Arial" w:cs="Arial"/>
          <w:spacing w:val="-2"/>
          <w:sz w:val="24"/>
          <w:szCs w:val="24"/>
          <w:lang w:val="ro-RO"/>
        </w:rPr>
      </w:pPr>
    </w:p>
    <w:p w:rsidR="000464DA" w:rsidRDefault="000464DA" w:rsidP="00AD12CE">
      <w:pPr>
        <w:jc w:val="both"/>
        <w:rPr>
          <w:rFonts w:ascii="Arial" w:hAnsi="Arial" w:cs="Arial"/>
          <w:spacing w:val="-2"/>
          <w:sz w:val="24"/>
          <w:szCs w:val="24"/>
          <w:lang w:val="ro-RO"/>
        </w:rPr>
      </w:pPr>
    </w:p>
    <w:p w:rsidR="000464DA" w:rsidRDefault="000464DA" w:rsidP="00AD12CE">
      <w:pPr>
        <w:jc w:val="both"/>
        <w:rPr>
          <w:rFonts w:ascii="Arial" w:hAnsi="Arial" w:cs="Arial"/>
          <w:spacing w:val="-2"/>
          <w:sz w:val="24"/>
          <w:szCs w:val="24"/>
          <w:lang w:val="ro-RO"/>
        </w:rPr>
      </w:pPr>
      <w:r w:rsidRPr="000464DA">
        <w:rPr>
          <w:rFonts w:ascii="Arial" w:hAnsi="Arial" w:cs="Arial"/>
          <w:noProof/>
          <w:spacing w:val="-2"/>
          <w:sz w:val="24"/>
          <w:szCs w:val="24"/>
        </w:rPr>
        <w:drawing>
          <wp:inline distT="0" distB="0" distL="0" distR="0">
            <wp:extent cx="5346580" cy="3528204"/>
            <wp:effectExtent l="19050" t="0" r="25520" b="0"/>
            <wp:docPr id="6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64DA" w:rsidRDefault="000464DA" w:rsidP="00AD12CE">
      <w:pPr>
        <w:jc w:val="both"/>
        <w:rPr>
          <w:rFonts w:ascii="Arial" w:hAnsi="Arial" w:cs="Arial"/>
          <w:spacing w:val="-2"/>
          <w:sz w:val="24"/>
          <w:szCs w:val="24"/>
          <w:lang w:val="ro-RO"/>
        </w:rPr>
      </w:pPr>
    </w:p>
    <w:p w:rsidR="000464DA" w:rsidRDefault="000464DA" w:rsidP="000464DA">
      <w:pPr>
        <w:ind w:left="5760" w:firstLine="720"/>
        <w:jc w:val="both"/>
        <w:rPr>
          <w:rFonts w:ascii="Arial" w:hAnsi="Arial" w:cs="Arial"/>
          <w:i/>
          <w:sz w:val="24"/>
          <w:szCs w:val="24"/>
          <w:lang w:val="ro-RO"/>
        </w:rPr>
      </w:pPr>
      <w:r w:rsidRPr="00D572F6">
        <w:rPr>
          <w:rFonts w:ascii="Arial" w:hAnsi="Arial" w:cs="Arial"/>
          <w:i/>
          <w:sz w:val="24"/>
          <w:szCs w:val="24"/>
          <w:lang w:val="ro-RO" w:eastAsia="ro-RO"/>
        </w:rPr>
        <w:t xml:space="preserve">Figura </w:t>
      </w:r>
      <w:r>
        <w:rPr>
          <w:rFonts w:ascii="Arial" w:hAnsi="Arial" w:cs="Arial"/>
          <w:i/>
          <w:sz w:val="24"/>
          <w:szCs w:val="24"/>
          <w:lang w:val="ro-RO"/>
        </w:rPr>
        <w:t>1.1.1.</w:t>
      </w:r>
      <w:r w:rsidRPr="00D572F6">
        <w:rPr>
          <w:rFonts w:ascii="Arial" w:hAnsi="Arial" w:cs="Arial"/>
          <w:i/>
          <w:sz w:val="24"/>
          <w:szCs w:val="24"/>
          <w:lang w:val="ro-RO"/>
        </w:rPr>
        <w:t>2.</w:t>
      </w:r>
      <w:r>
        <w:rPr>
          <w:rFonts w:ascii="Arial" w:hAnsi="Arial" w:cs="Arial"/>
          <w:i/>
          <w:sz w:val="24"/>
          <w:szCs w:val="24"/>
          <w:lang w:val="ro-RO"/>
        </w:rPr>
        <w:t>4.</w:t>
      </w:r>
    </w:p>
    <w:p w:rsidR="000464DA" w:rsidRDefault="000464DA" w:rsidP="000464DA">
      <w:pPr>
        <w:ind w:left="5760" w:firstLine="720"/>
        <w:jc w:val="both"/>
        <w:rPr>
          <w:rFonts w:ascii="Arial" w:hAnsi="Arial" w:cs="Arial"/>
          <w:i/>
          <w:sz w:val="24"/>
          <w:szCs w:val="24"/>
          <w:lang w:val="ro-RO"/>
        </w:rPr>
      </w:pPr>
    </w:p>
    <w:p w:rsidR="00EA69F4" w:rsidRPr="004126C7" w:rsidRDefault="00EA69F4" w:rsidP="00EA69F4">
      <w:pPr>
        <w:autoSpaceDE w:val="0"/>
        <w:autoSpaceDN w:val="0"/>
        <w:adjustRightInd w:val="0"/>
        <w:jc w:val="both"/>
        <w:rPr>
          <w:rFonts w:ascii="Arial" w:hAnsi="Arial" w:cs="Arial"/>
          <w:bCs/>
          <w:sz w:val="24"/>
          <w:szCs w:val="24"/>
          <w:lang w:val="it-IT"/>
        </w:rPr>
      </w:pPr>
      <w:r w:rsidRPr="004126C7">
        <w:rPr>
          <w:rFonts w:ascii="Arial" w:hAnsi="Arial" w:cs="Arial"/>
          <w:sz w:val="24"/>
          <w:szCs w:val="24"/>
        </w:rPr>
        <w:t xml:space="preserve">Din motive tehnice, pentru statiile care nu apar in </w:t>
      </w:r>
      <w:r w:rsidR="007B5806">
        <w:rPr>
          <w:rFonts w:ascii="Arial" w:hAnsi="Arial" w:cs="Arial"/>
          <w:sz w:val="24"/>
          <w:szCs w:val="24"/>
        </w:rPr>
        <w:t>gra</w:t>
      </w:r>
      <w:r w:rsidR="00842FAC">
        <w:rPr>
          <w:rFonts w:ascii="Arial" w:hAnsi="Arial" w:cs="Arial"/>
          <w:sz w:val="24"/>
          <w:szCs w:val="24"/>
        </w:rPr>
        <w:t>f</w:t>
      </w:r>
      <w:r w:rsidR="007B5806">
        <w:rPr>
          <w:rFonts w:ascii="Arial" w:hAnsi="Arial" w:cs="Arial"/>
          <w:sz w:val="24"/>
          <w:szCs w:val="24"/>
        </w:rPr>
        <w:t>ic in anii anteriori</w:t>
      </w:r>
      <w:r w:rsidRPr="004126C7">
        <w:rPr>
          <w:rFonts w:ascii="Arial" w:hAnsi="Arial" w:cs="Arial"/>
          <w:sz w:val="24"/>
          <w:szCs w:val="24"/>
        </w:rPr>
        <w:t xml:space="preserve"> nu exista </w:t>
      </w:r>
      <w:r w:rsidRPr="004126C7">
        <w:rPr>
          <w:rFonts w:ascii="Arial" w:hAnsi="Arial" w:cs="Arial"/>
          <w:bCs/>
          <w:sz w:val="24"/>
          <w:szCs w:val="24"/>
          <w:lang w:val="it-IT"/>
        </w:rPr>
        <w:t>date/datele validate sunt insuficiente pentru a respecta criteriile de calitate conform Legii 104/2011 (captura de date pentru minim 75% din intervalul de timp calendaristic).</w:t>
      </w:r>
    </w:p>
    <w:p w:rsidR="00AD12CE" w:rsidRDefault="00AD12CE" w:rsidP="00AD12CE">
      <w:pPr>
        <w:jc w:val="both"/>
        <w:rPr>
          <w:rFonts w:ascii="Arial" w:hAnsi="Arial" w:cs="Arial"/>
          <w:spacing w:val="-2"/>
          <w:sz w:val="24"/>
          <w:szCs w:val="24"/>
          <w:lang w:val="ro-RO"/>
        </w:rPr>
      </w:pPr>
    </w:p>
    <w:p w:rsidR="00AC7D51" w:rsidRDefault="00AC7D51" w:rsidP="009776CE">
      <w:pPr>
        <w:tabs>
          <w:tab w:val="num" w:pos="0"/>
        </w:tabs>
        <w:jc w:val="both"/>
        <w:rPr>
          <w:rFonts w:ascii="Arial" w:hAnsi="Arial" w:cs="Arial"/>
          <w:b/>
          <w:sz w:val="24"/>
          <w:szCs w:val="24"/>
          <w:lang w:val="ro-RO" w:eastAsia="ro-RO"/>
        </w:rPr>
      </w:pPr>
    </w:p>
    <w:p w:rsidR="001B4141" w:rsidRDefault="001B4141" w:rsidP="001B4141">
      <w:pPr>
        <w:tabs>
          <w:tab w:val="num" w:pos="0"/>
        </w:tabs>
        <w:jc w:val="both"/>
        <w:rPr>
          <w:rFonts w:ascii="Arial" w:hAnsi="Arial" w:cs="Arial"/>
          <w:b/>
          <w:sz w:val="24"/>
          <w:szCs w:val="24"/>
          <w:lang w:val="ro-RO"/>
        </w:rPr>
      </w:pPr>
      <w:r w:rsidRPr="007B7830">
        <w:rPr>
          <w:rFonts w:ascii="Arial" w:hAnsi="Arial" w:cs="Arial"/>
          <w:b/>
          <w:sz w:val="24"/>
          <w:szCs w:val="24"/>
          <w:lang w:val="ro-RO"/>
        </w:rPr>
        <w:t>Benzenul</w:t>
      </w:r>
    </w:p>
    <w:p w:rsidR="001B4141" w:rsidRPr="00D572F6" w:rsidRDefault="001B4141" w:rsidP="001B4141">
      <w:pPr>
        <w:tabs>
          <w:tab w:val="num" w:pos="0"/>
        </w:tabs>
        <w:jc w:val="both"/>
        <w:rPr>
          <w:rFonts w:ascii="Arial" w:hAnsi="Arial" w:cs="Arial"/>
          <w:i/>
          <w:sz w:val="24"/>
          <w:szCs w:val="24"/>
          <w:lang w:val="ro-RO"/>
        </w:rPr>
      </w:pPr>
      <w:r w:rsidRPr="00D572F6">
        <w:rPr>
          <w:rFonts w:ascii="Arial" w:hAnsi="Arial" w:cs="Arial"/>
          <w:i/>
          <w:sz w:val="24"/>
          <w:szCs w:val="24"/>
          <w:lang w:val="ro-RO"/>
        </w:rPr>
        <w:t xml:space="preserve">                                                                                                             </w:t>
      </w:r>
    </w:p>
    <w:tbl>
      <w:tblPr>
        <w:tblW w:w="877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66"/>
        <w:gridCol w:w="1287"/>
        <w:gridCol w:w="820"/>
        <w:gridCol w:w="820"/>
        <w:gridCol w:w="820"/>
        <w:gridCol w:w="820"/>
        <w:gridCol w:w="887"/>
        <w:gridCol w:w="911"/>
        <w:gridCol w:w="877"/>
        <w:gridCol w:w="65"/>
      </w:tblGrid>
      <w:tr w:rsidR="000464DA" w:rsidRPr="00986548" w:rsidTr="000464DA">
        <w:trPr>
          <w:trHeight w:val="276"/>
          <w:tblCellSpacing w:w="20" w:type="dxa"/>
          <w:jc w:val="center"/>
        </w:trPr>
        <w:tc>
          <w:tcPr>
            <w:tcW w:w="1406" w:type="dxa"/>
            <w:vMerge w:val="restart"/>
            <w:shd w:val="clear" w:color="auto" w:fill="FFFFCC"/>
            <w:vAlign w:val="center"/>
          </w:tcPr>
          <w:p w:rsidR="000464DA" w:rsidRPr="00986548" w:rsidRDefault="000464DA" w:rsidP="00E15AE8">
            <w:pPr>
              <w:jc w:val="center"/>
              <w:rPr>
                <w:rFonts w:ascii="Arial" w:hAnsi="Arial" w:cs="Arial"/>
                <w:b/>
                <w:sz w:val="24"/>
                <w:szCs w:val="24"/>
              </w:rPr>
            </w:pPr>
            <w:r w:rsidRPr="00986548">
              <w:rPr>
                <w:rFonts w:ascii="Arial" w:hAnsi="Arial" w:cs="Arial"/>
                <w:b/>
                <w:sz w:val="24"/>
                <w:szCs w:val="24"/>
              </w:rPr>
              <w:t>POLUANT</w:t>
            </w:r>
          </w:p>
        </w:tc>
        <w:tc>
          <w:tcPr>
            <w:tcW w:w="1247" w:type="dxa"/>
            <w:vMerge w:val="restart"/>
            <w:tcBorders>
              <w:right w:val="outset" w:sz="6" w:space="0" w:color="auto"/>
            </w:tcBorders>
            <w:shd w:val="clear" w:color="auto" w:fill="FFFFCC"/>
            <w:vAlign w:val="center"/>
          </w:tcPr>
          <w:p w:rsidR="000464DA" w:rsidRPr="00986548" w:rsidRDefault="000464DA" w:rsidP="00E15AE8">
            <w:pPr>
              <w:jc w:val="center"/>
              <w:rPr>
                <w:rFonts w:ascii="Arial" w:hAnsi="Arial" w:cs="Arial"/>
                <w:b/>
                <w:sz w:val="24"/>
                <w:szCs w:val="24"/>
              </w:rPr>
            </w:pPr>
            <w:r w:rsidRPr="00986548">
              <w:rPr>
                <w:rFonts w:ascii="Arial" w:hAnsi="Arial" w:cs="Arial"/>
                <w:b/>
                <w:sz w:val="24"/>
                <w:szCs w:val="24"/>
              </w:rPr>
              <w:t>Tip statie</w:t>
            </w:r>
          </w:p>
        </w:tc>
        <w:tc>
          <w:tcPr>
            <w:tcW w:w="5960" w:type="dxa"/>
            <w:gridSpan w:val="8"/>
            <w:tcBorders>
              <w:right w:val="outset" w:sz="6" w:space="0" w:color="auto"/>
            </w:tcBorders>
            <w:shd w:val="clear" w:color="auto" w:fill="FFFFCC"/>
          </w:tcPr>
          <w:p w:rsidR="000464DA" w:rsidRPr="00986548" w:rsidRDefault="000464DA" w:rsidP="00E15AE8">
            <w:pPr>
              <w:jc w:val="center"/>
              <w:rPr>
                <w:rFonts w:ascii="Arial" w:hAnsi="Arial" w:cs="Arial"/>
                <w:b/>
                <w:sz w:val="24"/>
                <w:szCs w:val="24"/>
              </w:rPr>
            </w:pPr>
            <w:r w:rsidRPr="00986548">
              <w:rPr>
                <w:rFonts w:ascii="Arial" w:hAnsi="Arial" w:cs="Arial"/>
                <w:b/>
                <w:sz w:val="24"/>
                <w:szCs w:val="24"/>
              </w:rPr>
              <w:t>Concentratia medie anuala</w:t>
            </w:r>
          </w:p>
        </w:tc>
      </w:tr>
      <w:tr w:rsidR="000464DA" w:rsidRPr="00C97AFE" w:rsidTr="000464DA">
        <w:trPr>
          <w:gridAfter w:val="1"/>
          <w:wAfter w:w="5" w:type="dxa"/>
          <w:tblCellSpacing w:w="20" w:type="dxa"/>
          <w:jc w:val="center"/>
        </w:trPr>
        <w:tc>
          <w:tcPr>
            <w:tcW w:w="1406" w:type="dxa"/>
            <w:vMerge/>
            <w:shd w:val="clear" w:color="auto" w:fill="FFFFCC"/>
            <w:vAlign w:val="center"/>
          </w:tcPr>
          <w:p w:rsidR="000464DA" w:rsidRPr="00986548" w:rsidRDefault="000464DA" w:rsidP="00E15AE8">
            <w:pPr>
              <w:jc w:val="center"/>
              <w:rPr>
                <w:rFonts w:ascii="Arial" w:hAnsi="Arial" w:cs="Arial"/>
                <w:sz w:val="24"/>
                <w:szCs w:val="24"/>
              </w:rPr>
            </w:pPr>
          </w:p>
        </w:tc>
        <w:tc>
          <w:tcPr>
            <w:tcW w:w="1247" w:type="dxa"/>
            <w:vMerge/>
            <w:tcBorders>
              <w:right w:val="outset" w:sz="6" w:space="0" w:color="auto"/>
            </w:tcBorders>
            <w:shd w:val="clear" w:color="auto" w:fill="FFFFCC"/>
            <w:vAlign w:val="center"/>
          </w:tcPr>
          <w:p w:rsidR="000464DA" w:rsidRPr="00986548" w:rsidRDefault="000464DA" w:rsidP="00E15AE8">
            <w:pPr>
              <w:jc w:val="center"/>
              <w:rPr>
                <w:rFonts w:ascii="Arial" w:hAnsi="Arial" w:cs="Arial"/>
                <w:sz w:val="24"/>
                <w:szCs w:val="24"/>
              </w:rPr>
            </w:pPr>
          </w:p>
        </w:tc>
        <w:tc>
          <w:tcPr>
            <w:tcW w:w="780" w:type="dxa"/>
            <w:tcBorders>
              <w:top w:val="outset" w:sz="6" w:space="0" w:color="auto"/>
              <w:left w:val="outset" w:sz="6" w:space="0" w:color="auto"/>
            </w:tcBorders>
            <w:shd w:val="clear" w:color="auto" w:fill="FFFFCC"/>
            <w:vAlign w:val="center"/>
          </w:tcPr>
          <w:p w:rsidR="000464DA" w:rsidRPr="00C97AFE" w:rsidRDefault="000464DA" w:rsidP="00E15AE8">
            <w:pPr>
              <w:jc w:val="center"/>
              <w:rPr>
                <w:rFonts w:ascii="Arial" w:hAnsi="Arial" w:cs="Arial"/>
                <w:sz w:val="24"/>
                <w:szCs w:val="24"/>
              </w:rPr>
            </w:pPr>
            <w:r w:rsidRPr="00C97AFE">
              <w:rPr>
                <w:rFonts w:ascii="Arial" w:hAnsi="Arial" w:cs="Arial"/>
                <w:sz w:val="24"/>
                <w:szCs w:val="24"/>
              </w:rPr>
              <w:t>2008</w:t>
            </w:r>
          </w:p>
        </w:tc>
        <w:tc>
          <w:tcPr>
            <w:tcW w:w="780" w:type="dxa"/>
            <w:shd w:val="clear" w:color="auto" w:fill="FFFFCC"/>
            <w:vAlign w:val="center"/>
          </w:tcPr>
          <w:p w:rsidR="000464DA" w:rsidRPr="00986548" w:rsidRDefault="000464DA" w:rsidP="00E15AE8">
            <w:pPr>
              <w:jc w:val="center"/>
              <w:rPr>
                <w:rFonts w:ascii="Arial" w:hAnsi="Arial" w:cs="Arial"/>
                <w:sz w:val="24"/>
                <w:szCs w:val="24"/>
              </w:rPr>
            </w:pPr>
            <w:r w:rsidRPr="00986548">
              <w:rPr>
                <w:rFonts w:ascii="Arial" w:hAnsi="Arial" w:cs="Arial"/>
                <w:sz w:val="24"/>
                <w:szCs w:val="24"/>
              </w:rPr>
              <w:t>2009</w:t>
            </w:r>
          </w:p>
        </w:tc>
        <w:tc>
          <w:tcPr>
            <w:tcW w:w="780" w:type="dxa"/>
            <w:shd w:val="clear" w:color="auto" w:fill="FFFFCC"/>
            <w:vAlign w:val="center"/>
          </w:tcPr>
          <w:p w:rsidR="000464DA" w:rsidRPr="00986548" w:rsidRDefault="000464DA" w:rsidP="00E15AE8">
            <w:pPr>
              <w:jc w:val="center"/>
              <w:rPr>
                <w:rFonts w:ascii="Arial" w:hAnsi="Arial" w:cs="Arial"/>
                <w:sz w:val="24"/>
                <w:szCs w:val="24"/>
              </w:rPr>
            </w:pPr>
            <w:r w:rsidRPr="00986548">
              <w:rPr>
                <w:rFonts w:ascii="Arial" w:hAnsi="Arial" w:cs="Arial"/>
                <w:sz w:val="24"/>
                <w:szCs w:val="24"/>
              </w:rPr>
              <w:t>2010</w:t>
            </w:r>
          </w:p>
        </w:tc>
        <w:tc>
          <w:tcPr>
            <w:tcW w:w="780" w:type="dxa"/>
            <w:tcBorders>
              <w:right w:val="outset" w:sz="6" w:space="0" w:color="auto"/>
            </w:tcBorders>
            <w:shd w:val="clear" w:color="auto" w:fill="FFFFCC"/>
            <w:vAlign w:val="center"/>
          </w:tcPr>
          <w:p w:rsidR="000464DA" w:rsidRPr="00986548" w:rsidRDefault="000464DA" w:rsidP="00E15AE8">
            <w:pPr>
              <w:jc w:val="center"/>
              <w:rPr>
                <w:rFonts w:ascii="Arial" w:hAnsi="Arial" w:cs="Arial"/>
                <w:sz w:val="24"/>
                <w:szCs w:val="24"/>
              </w:rPr>
            </w:pPr>
            <w:r w:rsidRPr="00986548">
              <w:rPr>
                <w:rFonts w:ascii="Arial" w:hAnsi="Arial" w:cs="Arial"/>
                <w:sz w:val="24"/>
                <w:szCs w:val="24"/>
              </w:rPr>
              <w:t>2011</w:t>
            </w:r>
          </w:p>
        </w:tc>
        <w:tc>
          <w:tcPr>
            <w:tcW w:w="847" w:type="dxa"/>
            <w:tcBorders>
              <w:left w:val="outset" w:sz="6" w:space="0" w:color="auto"/>
            </w:tcBorders>
            <w:shd w:val="clear" w:color="auto" w:fill="FFFFCC"/>
            <w:vAlign w:val="center"/>
          </w:tcPr>
          <w:p w:rsidR="000464DA" w:rsidRPr="00C97AFE" w:rsidRDefault="000464DA" w:rsidP="00E15AE8">
            <w:pPr>
              <w:jc w:val="center"/>
              <w:rPr>
                <w:rFonts w:ascii="Arial" w:hAnsi="Arial" w:cs="Arial"/>
                <w:sz w:val="24"/>
                <w:szCs w:val="24"/>
              </w:rPr>
            </w:pPr>
            <w:r w:rsidRPr="00C97AFE">
              <w:rPr>
                <w:rFonts w:ascii="Arial" w:hAnsi="Arial" w:cs="Arial"/>
                <w:sz w:val="24"/>
                <w:szCs w:val="24"/>
              </w:rPr>
              <w:t>2012</w:t>
            </w:r>
          </w:p>
        </w:tc>
        <w:tc>
          <w:tcPr>
            <w:tcW w:w="871" w:type="dxa"/>
            <w:tcBorders>
              <w:left w:val="outset" w:sz="6" w:space="0" w:color="auto"/>
              <w:right w:val="outset" w:sz="6" w:space="0" w:color="auto"/>
            </w:tcBorders>
            <w:shd w:val="clear" w:color="auto" w:fill="FFFFCC"/>
          </w:tcPr>
          <w:p w:rsidR="000464DA" w:rsidRPr="00C97AFE" w:rsidRDefault="000464DA" w:rsidP="00E15AE8">
            <w:pPr>
              <w:jc w:val="center"/>
              <w:rPr>
                <w:rFonts w:ascii="Arial" w:hAnsi="Arial" w:cs="Arial"/>
                <w:sz w:val="24"/>
                <w:szCs w:val="24"/>
              </w:rPr>
            </w:pPr>
            <w:r w:rsidRPr="00C97AFE">
              <w:rPr>
                <w:rFonts w:ascii="Arial" w:hAnsi="Arial" w:cs="Arial"/>
                <w:sz w:val="24"/>
                <w:szCs w:val="24"/>
              </w:rPr>
              <w:t>2013</w:t>
            </w:r>
            <w:r>
              <w:rPr>
                <w:rFonts w:ascii="Arial" w:hAnsi="Arial" w:cs="Arial"/>
                <w:sz w:val="24"/>
                <w:szCs w:val="24"/>
              </w:rPr>
              <w:t>-2016</w:t>
            </w:r>
          </w:p>
        </w:tc>
        <w:tc>
          <w:tcPr>
            <w:tcW w:w="837" w:type="dxa"/>
            <w:tcBorders>
              <w:left w:val="outset" w:sz="6" w:space="0" w:color="auto"/>
              <w:right w:val="outset" w:sz="6" w:space="0" w:color="auto"/>
            </w:tcBorders>
            <w:shd w:val="clear" w:color="auto" w:fill="FFFFCC"/>
          </w:tcPr>
          <w:p w:rsidR="000464DA" w:rsidRPr="00C97AFE" w:rsidRDefault="000464DA" w:rsidP="00E15AE8">
            <w:pPr>
              <w:jc w:val="center"/>
              <w:rPr>
                <w:rFonts w:ascii="Arial" w:hAnsi="Arial" w:cs="Arial"/>
                <w:sz w:val="24"/>
                <w:szCs w:val="24"/>
              </w:rPr>
            </w:pPr>
            <w:r>
              <w:rPr>
                <w:rFonts w:ascii="Arial" w:hAnsi="Arial" w:cs="Arial"/>
                <w:sz w:val="24"/>
                <w:szCs w:val="24"/>
              </w:rPr>
              <w:t>2017</w:t>
            </w:r>
          </w:p>
        </w:tc>
      </w:tr>
      <w:tr w:rsidR="000464DA" w:rsidRPr="00986548" w:rsidTr="000464DA">
        <w:trPr>
          <w:gridAfter w:val="1"/>
          <w:wAfter w:w="5" w:type="dxa"/>
          <w:tblCellSpacing w:w="20" w:type="dxa"/>
          <w:jc w:val="center"/>
        </w:trPr>
        <w:tc>
          <w:tcPr>
            <w:tcW w:w="1406" w:type="dxa"/>
            <w:vMerge w:val="restart"/>
            <w:shd w:val="clear" w:color="auto" w:fill="auto"/>
            <w:vAlign w:val="center"/>
          </w:tcPr>
          <w:p w:rsidR="000464DA" w:rsidRPr="00986548" w:rsidRDefault="000464DA" w:rsidP="00E15AE8">
            <w:pPr>
              <w:jc w:val="center"/>
              <w:rPr>
                <w:rFonts w:ascii="Arial" w:hAnsi="Arial" w:cs="Arial"/>
                <w:sz w:val="24"/>
                <w:szCs w:val="24"/>
              </w:rPr>
            </w:pPr>
            <w:r w:rsidRPr="00986548">
              <w:rPr>
                <w:rFonts w:ascii="Arial" w:hAnsi="Arial" w:cs="Arial"/>
                <w:sz w:val="24"/>
                <w:szCs w:val="24"/>
              </w:rPr>
              <w:t>C6H6</w:t>
            </w:r>
            <w:r w:rsidRPr="00986548">
              <w:rPr>
                <w:rFonts w:ascii="Arial" w:hAnsi="Arial" w:cs="Arial"/>
                <w:sz w:val="24"/>
                <w:szCs w:val="24"/>
                <w:vertAlign w:val="subscript"/>
              </w:rPr>
              <w:t xml:space="preserve"> </w:t>
            </w:r>
            <w:r w:rsidRPr="00986548">
              <w:rPr>
                <w:rFonts w:ascii="Arial" w:hAnsi="Arial" w:cs="Arial"/>
                <w:sz w:val="24"/>
                <w:szCs w:val="24"/>
              </w:rPr>
              <w:t>(μg/mc)</w:t>
            </w:r>
          </w:p>
        </w:tc>
        <w:tc>
          <w:tcPr>
            <w:tcW w:w="1247" w:type="dxa"/>
            <w:tcBorders>
              <w:right w:val="outset" w:sz="6" w:space="0" w:color="auto"/>
            </w:tcBorders>
            <w:shd w:val="clear" w:color="auto" w:fill="auto"/>
          </w:tcPr>
          <w:p w:rsidR="000464DA" w:rsidRPr="00986548" w:rsidRDefault="000464DA" w:rsidP="00E15AE8">
            <w:pPr>
              <w:jc w:val="center"/>
              <w:rPr>
                <w:rFonts w:ascii="Arial" w:hAnsi="Arial" w:cs="Arial"/>
                <w:sz w:val="24"/>
                <w:szCs w:val="24"/>
              </w:rPr>
            </w:pPr>
            <w:r w:rsidRPr="00986548">
              <w:rPr>
                <w:rFonts w:ascii="Arial" w:hAnsi="Arial" w:cs="Arial"/>
                <w:sz w:val="24"/>
                <w:szCs w:val="24"/>
              </w:rPr>
              <w:t>CT1-Trafic</w:t>
            </w:r>
          </w:p>
        </w:tc>
        <w:tc>
          <w:tcPr>
            <w:tcW w:w="780"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sidRPr="00C16EEE">
              <w:rPr>
                <w:rFonts w:ascii="Arial" w:hAnsi="Arial" w:cs="Arial"/>
                <w:sz w:val="24"/>
                <w:szCs w:val="24"/>
              </w:rPr>
              <w:t>1,66</w:t>
            </w:r>
          </w:p>
        </w:tc>
        <w:tc>
          <w:tcPr>
            <w:tcW w:w="780" w:type="dxa"/>
            <w:tcBorders>
              <w:righ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sidRPr="00986548">
              <w:rPr>
                <w:rFonts w:ascii="Arial" w:hAnsi="Arial" w:cs="Arial"/>
                <w:sz w:val="24"/>
                <w:szCs w:val="24"/>
              </w:rPr>
              <w:t>2,423</w:t>
            </w:r>
          </w:p>
        </w:tc>
        <w:tc>
          <w:tcPr>
            <w:tcW w:w="871" w:type="dxa"/>
            <w:tcBorders>
              <w:left w:val="outset" w:sz="6" w:space="0" w:color="auto"/>
              <w:right w:val="outset" w:sz="6" w:space="0" w:color="auto"/>
            </w:tcBorders>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37" w:type="dxa"/>
            <w:tcBorders>
              <w:left w:val="outset" w:sz="6" w:space="0" w:color="auto"/>
              <w:right w:val="outset" w:sz="6" w:space="0" w:color="auto"/>
            </w:tcBorders>
          </w:tcPr>
          <w:p w:rsidR="000464DA" w:rsidRDefault="000464DA" w:rsidP="00471260">
            <w:pPr>
              <w:jc w:val="center"/>
              <w:rPr>
                <w:rFonts w:ascii="Arial" w:hAnsi="Arial" w:cs="Arial"/>
                <w:sz w:val="24"/>
                <w:szCs w:val="24"/>
              </w:rPr>
            </w:pPr>
          </w:p>
          <w:p w:rsidR="000464DA" w:rsidRDefault="000464DA" w:rsidP="00471260">
            <w:pPr>
              <w:jc w:val="center"/>
              <w:rPr>
                <w:rFonts w:ascii="Arial" w:hAnsi="Arial" w:cs="Arial"/>
                <w:sz w:val="24"/>
                <w:szCs w:val="24"/>
              </w:rPr>
            </w:pPr>
            <w:r>
              <w:rPr>
                <w:rFonts w:ascii="Arial" w:hAnsi="Arial" w:cs="Arial"/>
                <w:sz w:val="24"/>
                <w:szCs w:val="24"/>
              </w:rPr>
              <w:t>1.88</w:t>
            </w:r>
          </w:p>
          <w:p w:rsidR="000464DA" w:rsidRDefault="000464DA" w:rsidP="00471260">
            <w:pPr>
              <w:jc w:val="center"/>
              <w:rPr>
                <w:rFonts w:ascii="Arial" w:hAnsi="Arial" w:cs="Arial"/>
                <w:sz w:val="24"/>
                <w:szCs w:val="24"/>
              </w:rPr>
            </w:pPr>
          </w:p>
        </w:tc>
      </w:tr>
      <w:tr w:rsidR="000464DA" w:rsidRPr="00986548" w:rsidTr="000464DA">
        <w:trPr>
          <w:gridAfter w:val="1"/>
          <w:wAfter w:w="5" w:type="dxa"/>
          <w:tblCellSpacing w:w="20" w:type="dxa"/>
          <w:jc w:val="center"/>
        </w:trPr>
        <w:tc>
          <w:tcPr>
            <w:tcW w:w="1406" w:type="dxa"/>
            <w:vMerge/>
            <w:shd w:val="clear" w:color="auto" w:fill="auto"/>
          </w:tcPr>
          <w:p w:rsidR="000464DA" w:rsidRPr="00986548" w:rsidRDefault="000464DA" w:rsidP="00E15AE8">
            <w:pPr>
              <w:jc w:val="center"/>
              <w:rPr>
                <w:rFonts w:ascii="Arial" w:hAnsi="Arial" w:cs="Arial"/>
                <w:sz w:val="24"/>
                <w:szCs w:val="24"/>
              </w:rPr>
            </w:pPr>
          </w:p>
        </w:tc>
        <w:tc>
          <w:tcPr>
            <w:tcW w:w="1247" w:type="dxa"/>
            <w:tcBorders>
              <w:right w:val="outset" w:sz="6" w:space="0" w:color="auto"/>
            </w:tcBorders>
            <w:shd w:val="clear" w:color="auto" w:fill="auto"/>
          </w:tcPr>
          <w:p w:rsidR="000464DA" w:rsidRPr="00986548" w:rsidRDefault="000464DA" w:rsidP="00E15AE8">
            <w:pPr>
              <w:jc w:val="center"/>
              <w:rPr>
                <w:rFonts w:ascii="Arial" w:hAnsi="Arial" w:cs="Arial"/>
                <w:sz w:val="24"/>
                <w:szCs w:val="24"/>
              </w:rPr>
            </w:pPr>
            <w:r w:rsidRPr="00986548">
              <w:rPr>
                <w:rFonts w:ascii="Arial" w:hAnsi="Arial" w:cs="Arial"/>
                <w:sz w:val="24"/>
                <w:szCs w:val="24"/>
              </w:rPr>
              <w:t>CT2-Fond urban</w:t>
            </w:r>
          </w:p>
        </w:tc>
        <w:tc>
          <w:tcPr>
            <w:tcW w:w="780"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sidRPr="00C16EEE">
              <w:rPr>
                <w:rFonts w:ascii="Arial" w:hAnsi="Arial" w:cs="Arial"/>
                <w:sz w:val="24"/>
                <w:szCs w:val="24"/>
              </w:rPr>
              <w:t>4,16</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sidRPr="00986548">
              <w:rPr>
                <w:rFonts w:ascii="Arial" w:hAnsi="Arial" w:cs="Arial"/>
                <w:sz w:val="24"/>
                <w:szCs w:val="24"/>
              </w:rPr>
              <w:t>1,22</w:t>
            </w:r>
          </w:p>
        </w:tc>
        <w:tc>
          <w:tcPr>
            <w:tcW w:w="780" w:type="dxa"/>
            <w:tcBorders>
              <w:righ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71" w:type="dxa"/>
            <w:tcBorders>
              <w:left w:val="outset" w:sz="6" w:space="0" w:color="auto"/>
              <w:right w:val="outset" w:sz="6" w:space="0" w:color="auto"/>
            </w:tcBorders>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37" w:type="dxa"/>
            <w:tcBorders>
              <w:left w:val="outset" w:sz="6" w:space="0" w:color="auto"/>
              <w:right w:val="outset" w:sz="6" w:space="0" w:color="auto"/>
            </w:tcBorders>
          </w:tcPr>
          <w:p w:rsidR="000464DA" w:rsidRDefault="000464DA" w:rsidP="00471260">
            <w:pPr>
              <w:jc w:val="center"/>
              <w:rPr>
                <w:rFonts w:ascii="Arial" w:hAnsi="Arial" w:cs="Arial"/>
                <w:sz w:val="24"/>
                <w:szCs w:val="24"/>
              </w:rPr>
            </w:pPr>
          </w:p>
          <w:p w:rsidR="000464DA" w:rsidRDefault="000464DA" w:rsidP="00471260">
            <w:pPr>
              <w:jc w:val="center"/>
              <w:rPr>
                <w:rFonts w:ascii="Arial" w:hAnsi="Arial" w:cs="Arial"/>
                <w:sz w:val="24"/>
                <w:szCs w:val="24"/>
              </w:rPr>
            </w:pPr>
            <w:r>
              <w:rPr>
                <w:rFonts w:ascii="Arial" w:hAnsi="Arial" w:cs="Arial"/>
                <w:sz w:val="24"/>
                <w:szCs w:val="24"/>
              </w:rPr>
              <w:t>1.93</w:t>
            </w:r>
          </w:p>
        </w:tc>
      </w:tr>
      <w:tr w:rsidR="000464DA" w:rsidRPr="00986548" w:rsidTr="000464DA">
        <w:trPr>
          <w:gridAfter w:val="1"/>
          <w:wAfter w:w="5" w:type="dxa"/>
          <w:tblCellSpacing w:w="20" w:type="dxa"/>
          <w:jc w:val="center"/>
        </w:trPr>
        <w:tc>
          <w:tcPr>
            <w:tcW w:w="1406" w:type="dxa"/>
            <w:vMerge/>
            <w:shd w:val="clear" w:color="auto" w:fill="auto"/>
          </w:tcPr>
          <w:p w:rsidR="000464DA" w:rsidRPr="00986548" w:rsidRDefault="000464DA" w:rsidP="00E15AE8">
            <w:pPr>
              <w:jc w:val="center"/>
              <w:rPr>
                <w:rFonts w:ascii="Arial" w:hAnsi="Arial" w:cs="Arial"/>
                <w:sz w:val="24"/>
                <w:szCs w:val="24"/>
              </w:rPr>
            </w:pPr>
          </w:p>
        </w:tc>
        <w:tc>
          <w:tcPr>
            <w:tcW w:w="1247" w:type="dxa"/>
            <w:tcBorders>
              <w:right w:val="outset" w:sz="6" w:space="0" w:color="auto"/>
            </w:tcBorders>
            <w:shd w:val="clear" w:color="auto" w:fill="auto"/>
          </w:tcPr>
          <w:p w:rsidR="000464DA" w:rsidRPr="00986548" w:rsidRDefault="000464DA" w:rsidP="00E15AE8">
            <w:pPr>
              <w:jc w:val="center"/>
              <w:rPr>
                <w:rFonts w:ascii="Arial" w:hAnsi="Arial" w:cs="Arial"/>
                <w:sz w:val="24"/>
                <w:szCs w:val="24"/>
              </w:rPr>
            </w:pPr>
            <w:r w:rsidRPr="00986548">
              <w:rPr>
                <w:rFonts w:ascii="Arial" w:hAnsi="Arial" w:cs="Arial"/>
                <w:sz w:val="24"/>
                <w:szCs w:val="24"/>
              </w:rPr>
              <w:t>CT3-Fond suburban</w:t>
            </w:r>
          </w:p>
        </w:tc>
        <w:tc>
          <w:tcPr>
            <w:tcW w:w="780"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780" w:type="dxa"/>
            <w:tcBorders>
              <w:righ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71" w:type="dxa"/>
            <w:tcBorders>
              <w:left w:val="outset" w:sz="6" w:space="0" w:color="auto"/>
              <w:right w:val="outset" w:sz="6" w:space="0" w:color="auto"/>
            </w:tcBorders>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37" w:type="dxa"/>
            <w:tcBorders>
              <w:left w:val="outset" w:sz="6" w:space="0" w:color="auto"/>
              <w:right w:val="outset" w:sz="6" w:space="0" w:color="auto"/>
            </w:tcBorders>
          </w:tcPr>
          <w:p w:rsidR="000464DA" w:rsidRDefault="000464DA" w:rsidP="00471260">
            <w:pPr>
              <w:jc w:val="center"/>
              <w:rPr>
                <w:rFonts w:ascii="Arial" w:hAnsi="Arial" w:cs="Arial"/>
                <w:sz w:val="24"/>
                <w:szCs w:val="24"/>
              </w:rPr>
            </w:pPr>
          </w:p>
          <w:p w:rsidR="000464DA" w:rsidRDefault="000464DA" w:rsidP="00471260">
            <w:pPr>
              <w:jc w:val="center"/>
              <w:rPr>
                <w:rFonts w:ascii="Arial" w:hAnsi="Arial" w:cs="Arial"/>
                <w:sz w:val="24"/>
                <w:szCs w:val="24"/>
              </w:rPr>
            </w:pPr>
            <w:r>
              <w:rPr>
                <w:rFonts w:ascii="Arial" w:hAnsi="Arial" w:cs="Arial"/>
                <w:sz w:val="24"/>
                <w:szCs w:val="24"/>
              </w:rPr>
              <w:t>3.09</w:t>
            </w:r>
          </w:p>
        </w:tc>
      </w:tr>
      <w:tr w:rsidR="000464DA" w:rsidRPr="00986548" w:rsidTr="000464DA">
        <w:trPr>
          <w:gridAfter w:val="1"/>
          <w:wAfter w:w="5" w:type="dxa"/>
          <w:trHeight w:val="182"/>
          <w:tblCellSpacing w:w="20" w:type="dxa"/>
          <w:jc w:val="center"/>
        </w:trPr>
        <w:tc>
          <w:tcPr>
            <w:tcW w:w="1406" w:type="dxa"/>
            <w:vMerge/>
            <w:shd w:val="clear" w:color="auto" w:fill="auto"/>
          </w:tcPr>
          <w:p w:rsidR="000464DA" w:rsidRPr="00986548" w:rsidRDefault="000464DA" w:rsidP="00E15AE8">
            <w:pPr>
              <w:jc w:val="center"/>
              <w:rPr>
                <w:rFonts w:ascii="Arial" w:hAnsi="Arial" w:cs="Arial"/>
                <w:sz w:val="24"/>
                <w:szCs w:val="24"/>
              </w:rPr>
            </w:pPr>
          </w:p>
        </w:tc>
        <w:tc>
          <w:tcPr>
            <w:tcW w:w="1247" w:type="dxa"/>
            <w:tcBorders>
              <w:right w:val="outset" w:sz="6" w:space="0" w:color="auto"/>
            </w:tcBorders>
            <w:shd w:val="clear" w:color="auto" w:fill="auto"/>
          </w:tcPr>
          <w:p w:rsidR="000464DA" w:rsidRPr="00986548" w:rsidRDefault="000464DA" w:rsidP="00E15AE8">
            <w:pPr>
              <w:jc w:val="center"/>
              <w:rPr>
                <w:rFonts w:ascii="Arial" w:hAnsi="Arial" w:cs="Arial"/>
                <w:sz w:val="24"/>
                <w:szCs w:val="24"/>
              </w:rPr>
            </w:pPr>
            <w:r w:rsidRPr="00986548">
              <w:rPr>
                <w:rFonts w:ascii="Arial" w:hAnsi="Arial" w:cs="Arial"/>
                <w:sz w:val="24"/>
                <w:szCs w:val="24"/>
              </w:rPr>
              <w:t>CT4-Trafic</w:t>
            </w:r>
          </w:p>
        </w:tc>
        <w:tc>
          <w:tcPr>
            <w:tcW w:w="780"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sidRPr="00C16EEE">
              <w:rPr>
                <w:rFonts w:ascii="Arial" w:hAnsi="Arial" w:cs="Arial"/>
                <w:sz w:val="24"/>
                <w:szCs w:val="24"/>
              </w:rPr>
              <w:t>3,53</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sidRPr="00986548">
              <w:rPr>
                <w:rFonts w:ascii="Arial" w:hAnsi="Arial" w:cs="Arial"/>
                <w:sz w:val="24"/>
                <w:szCs w:val="24"/>
              </w:rPr>
              <w:t>2,89</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780" w:type="dxa"/>
            <w:tcBorders>
              <w:righ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71" w:type="dxa"/>
            <w:tcBorders>
              <w:left w:val="outset" w:sz="6" w:space="0" w:color="auto"/>
              <w:right w:val="outset" w:sz="6" w:space="0" w:color="auto"/>
            </w:tcBorders>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37" w:type="dxa"/>
            <w:tcBorders>
              <w:left w:val="outset" w:sz="6" w:space="0" w:color="auto"/>
              <w:right w:val="outset" w:sz="6" w:space="0" w:color="auto"/>
            </w:tcBorders>
          </w:tcPr>
          <w:p w:rsidR="000464DA" w:rsidRDefault="000464DA" w:rsidP="00471260">
            <w:pPr>
              <w:jc w:val="center"/>
              <w:rPr>
                <w:rFonts w:ascii="Arial" w:hAnsi="Arial" w:cs="Arial"/>
                <w:sz w:val="24"/>
                <w:szCs w:val="24"/>
              </w:rPr>
            </w:pPr>
          </w:p>
          <w:p w:rsidR="000464DA" w:rsidRDefault="000464DA" w:rsidP="00471260">
            <w:pPr>
              <w:jc w:val="center"/>
              <w:rPr>
                <w:rFonts w:ascii="Arial" w:hAnsi="Arial" w:cs="Arial"/>
                <w:sz w:val="24"/>
                <w:szCs w:val="24"/>
              </w:rPr>
            </w:pPr>
            <w:r>
              <w:rPr>
                <w:rFonts w:ascii="Arial" w:hAnsi="Arial" w:cs="Arial"/>
                <w:sz w:val="24"/>
                <w:szCs w:val="24"/>
              </w:rPr>
              <w:t>1.63</w:t>
            </w:r>
          </w:p>
        </w:tc>
      </w:tr>
      <w:tr w:rsidR="000464DA" w:rsidRPr="00986548" w:rsidTr="000464DA">
        <w:trPr>
          <w:gridAfter w:val="1"/>
          <w:wAfter w:w="5" w:type="dxa"/>
          <w:trHeight w:val="261"/>
          <w:tblCellSpacing w:w="20" w:type="dxa"/>
          <w:jc w:val="center"/>
        </w:trPr>
        <w:tc>
          <w:tcPr>
            <w:tcW w:w="1406" w:type="dxa"/>
            <w:vMerge/>
            <w:shd w:val="clear" w:color="auto" w:fill="auto"/>
          </w:tcPr>
          <w:p w:rsidR="000464DA" w:rsidRPr="00986548" w:rsidRDefault="000464DA" w:rsidP="00E15AE8">
            <w:pPr>
              <w:jc w:val="center"/>
              <w:rPr>
                <w:rFonts w:ascii="Arial" w:hAnsi="Arial" w:cs="Arial"/>
                <w:sz w:val="24"/>
                <w:szCs w:val="24"/>
              </w:rPr>
            </w:pPr>
          </w:p>
        </w:tc>
        <w:tc>
          <w:tcPr>
            <w:tcW w:w="1247" w:type="dxa"/>
            <w:tcBorders>
              <w:right w:val="outset" w:sz="6" w:space="0" w:color="auto"/>
            </w:tcBorders>
            <w:shd w:val="clear" w:color="auto" w:fill="auto"/>
          </w:tcPr>
          <w:p w:rsidR="000464DA" w:rsidRPr="00986548" w:rsidRDefault="000464DA" w:rsidP="00E15AE8">
            <w:pPr>
              <w:jc w:val="center"/>
              <w:rPr>
                <w:rFonts w:ascii="Arial" w:hAnsi="Arial" w:cs="Arial"/>
                <w:sz w:val="24"/>
                <w:szCs w:val="24"/>
              </w:rPr>
            </w:pPr>
            <w:r w:rsidRPr="00986548">
              <w:rPr>
                <w:rFonts w:ascii="Arial" w:hAnsi="Arial" w:cs="Arial"/>
                <w:sz w:val="24"/>
                <w:szCs w:val="24"/>
              </w:rPr>
              <w:t>CT6-Industrial</w:t>
            </w:r>
          </w:p>
        </w:tc>
        <w:tc>
          <w:tcPr>
            <w:tcW w:w="780"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sidRPr="00986548">
              <w:rPr>
                <w:rFonts w:ascii="Arial" w:hAnsi="Arial" w:cs="Arial"/>
                <w:sz w:val="24"/>
                <w:szCs w:val="24"/>
              </w:rPr>
              <w:t>3,5</w:t>
            </w:r>
          </w:p>
        </w:tc>
        <w:tc>
          <w:tcPr>
            <w:tcW w:w="780" w:type="dxa"/>
            <w:shd w:val="clear" w:color="auto" w:fill="auto"/>
            <w:vAlign w:val="center"/>
          </w:tcPr>
          <w:p w:rsidR="000464DA" w:rsidRPr="00986548" w:rsidRDefault="000464DA" w:rsidP="00471260">
            <w:pPr>
              <w:jc w:val="center"/>
              <w:rPr>
                <w:rFonts w:ascii="Arial" w:hAnsi="Arial" w:cs="Arial"/>
                <w:sz w:val="24"/>
                <w:szCs w:val="24"/>
              </w:rPr>
            </w:pPr>
            <w:r w:rsidRPr="00C16EEE">
              <w:rPr>
                <w:rFonts w:ascii="Arial" w:hAnsi="Arial" w:cs="Arial"/>
                <w:sz w:val="24"/>
                <w:szCs w:val="24"/>
              </w:rPr>
              <w:t>1,96</w:t>
            </w:r>
          </w:p>
        </w:tc>
        <w:tc>
          <w:tcPr>
            <w:tcW w:w="780" w:type="dxa"/>
            <w:tcBorders>
              <w:righ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sidRPr="00986548">
              <w:rPr>
                <w:rFonts w:ascii="Arial" w:hAnsi="Arial" w:cs="Arial"/>
                <w:sz w:val="24"/>
                <w:szCs w:val="24"/>
              </w:rPr>
              <w:t>2,14</w:t>
            </w:r>
          </w:p>
        </w:tc>
        <w:tc>
          <w:tcPr>
            <w:tcW w:w="847" w:type="dxa"/>
            <w:tcBorders>
              <w:left w:val="outset" w:sz="6" w:space="0" w:color="auto"/>
            </w:tcBorders>
            <w:shd w:val="clear" w:color="auto" w:fill="auto"/>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71" w:type="dxa"/>
            <w:tcBorders>
              <w:left w:val="outset" w:sz="6" w:space="0" w:color="auto"/>
              <w:right w:val="outset" w:sz="6" w:space="0" w:color="auto"/>
            </w:tcBorders>
            <w:vAlign w:val="center"/>
          </w:tcPr>
          <w:p w:rsidR="000464DA" w:rsidRPr="00986548" w:rsidRDefault="000464DA" w:rsidP="00471260">
            <w:pPr>
              <w:jc w:val="center"/>
              <w:rPr>
                <w:rFonts w:ascii="Arial" w:hAnsi="Arial" w:cs="Arial"/>
                <w:sz w:val="24"/>
                <w:szCs w:val="24"/>
              </w:rPr>
            </w:pPr>
            <w:r>
              <w:rPr>
                <w:rFonts w:ascii="Arial" w:hAnsi="Arial" w:cs="Arial"/>
                <w:sz w:val="24"/>
                <w:szCs w:val="24"/>
              </w:rPr>
              <w:t>**</w:t>
            </w:r>
          </w:p>
        </w:tc>
        <w:tc>
          <w:tcPr>
            <w:tcW w:w="837" w:type="dxa"/>
            <w:tcBorders>
              <w:left w:val="outset" w:sz="6" w:space="0" w:color="auto"/>
              <w:right w:val="outset" w:sz="6" w:space="0" w:color="auto"/>
            </w:tcBorders>
          </w:tcPr>
          <w:p w:rsidR="000464DA" w:rsidRDefault="000464DA" w:rsidP="00471260">
            <w:pPr>
              <w:jc w:val="center"/>
              <w:rPr>
                <w:rFonts w:ascii="Arial" w:hAnsi="Arial" w:cs="Arial"/>
                <w:sz w:val="24"/>
                <w:szCs w:val="24"/>
              </w:rPr>
            </w:pPr>
          </w:p>
          <w:p w:rsidR="000464DA" w:rsidRDefault="000464DA" w:rsidP="00471260">
            <w:pPr>
              <w:jc w:val="center"/>
              <w:rPr>
                <w:rFonts w:ascii="Arial" w:hAnsi="Arial" w:cs="Arial"/>
                <w:sz w:val="24"/>
                <w:szCs w:val="24"/>
              </w:rPr>
            </w:pPr>
            <w:r>
              <w:rPr>
                <w:rFonts w:ascii="Arial" w:hAnsi="Arial" w:cs="Arial"/>
                <w:sz w:val="24"/>
                <w:szCs w:val="24"/>
              </w:rPr>
              <w:t>2.17</w:t>
            </w:r>
          </w:p>
        </w:tc>
      </w:tr>
    </w:tbl>
    <w:p w:rsidR="000464DA" w:rsidRDefault="000464DA" w:rsidP="00305EF7">
      <w:pPr>
        <w:autoSpaceDE w:val="0"/>
        <w:autoSpaceDN w:val="0"/>
        <w:adjustRightInd w:val="0"/>
        <w:jc w:val="both"/>
        <w:rPr>
          <w:rFonts w:ascii="Arial" w:hAnsi="Arial" w:cs="Arial"/>
          <w:sz w:val="24"/>
          <w:szCs w:val="24"/>
        </w:rPr>
      </w:pPr>
      <w:r>
        <w:rPr>
          <w:rFonts w:ascii="Arial" w:hAnsi="Arial" w:cs="Arial"/>
          <w:i/>
          <w:sz w:val="24"/>
          <w:szCs w:val="24"/>
          <w:lang w:val="ro-RO"/>
        </w:rPr>
        <w:t xml:space="preserve">                                                                                                            </w:t>
      </w:r>
      <w:r w:rsidRPr="00D572F6">
        <w:rPr>
          <w:rFonts w:ascii="Arial" w:hAnsi="Arial" w:cs="Arial"/>
          <w:i/>
          <w:sz w:val="24"/>
          <w:szCs w:val="24"/>
          <w:lang w:val="ro-RO"/>
        </w:rPr>
        <w:t xml:space="preserve">Tabel </w:t>
      </w:r>
      <w:r>
        <w:rPr>
          <w:rFonts w:ascii="Arial" w:hAnsi="Arial" w:cs="Arial"/>
          <w:i/>
          <w:sz w:val="24"/>
          <w:szCs w:val="24"/>
          <w:lang w:val="ro-RO"/>
        </w:rPr>
        <w:t>1.1.1.</w:t>
      </w:r>
      <w:r w:rsidRPr="00D572F6">
        <w:rPr>
          <w:rFonts w:ascii="Arial" w:hAnsi="Arial" w:cs="Arial"/>
          <w:i/>
          <w:sz w:val="24"/>
          <w:szCs w:val="24"/>
          <w:lang w:val="ro-RO"/>
        </w:rPr>
        <w:t>2.</w:t>
      </w:r>
      <w:r>
        <w:rPr>
          <w:rFonts w:ascii="Arial" w:hAnsi="Arial" w:cs="Arial"/>
          <w:i/>
          <w:sz w:val="24"/>
          <w:szCs w:val="24"/>
          <w:lang w:val="ro-RO"/>
        </w:rPr>
        <w:t>5.</w:t>
      </w:r>
    </w:p>
    <w:p w:rsidR="00305EF7" w:rsidRDefault="00305EF7" w:rsidP="00305EF7">
      <w:pPr>
        <w:autoSpaceDE w:val="0"/>
        <w:autoSpaceDN w:val="0"/>
        <w:adjustRightInd w:val="0"/>
        <w:jc w:val="both"/>
        <w:rPr>
          <w:rFonts w:ascii="Arial" w:hAnsi="Arial" w:cs="Arial"/>
          <w:bCs/>
          <w:sz w:val="24"/>
          <w:szCs w:val="24"/>
          <w:lang w:val="it-IT"/>
        </w:rPr>
      </w:pPr>
      <w:r w:rsidRPr="008E5964">
        <w:rPr>
          <w:rFonts w:ascii="Arial" w:hAnsi="Arial" w:cs="Arial"/>
          <w:sz w:val="24"/>
          <w:szCs w:val="24"/>
        </w:rPr>
        <w:t>Din motive tehnice,</w:t>
      </w:r>
      <w:r w:rsidR="000464DA">
        <w:rPr>
          <w:rFonts w:ascii="Arial" w:hAnsi="Arial" w:cs="Arial"/>
          <w:sz w:val="24"/>
          <w:szCs w:val="24"/>
        </w:rPr>
        <w:t xml:space="preserve"> in</w:t>
      </w:r>
      <w:r w:rsidR="00221618" w:rsidRPr="008E5964">
        <w:rPr>
          <w:rFonts w:ascii="Arial" w:hAnsi="Arial" w:cs="Arial"/>
          <w:sz w:val="24"/>
          <w:szCs w:val="24"/>
        </w:rPr>
        <w:t xml:space="preserve"> </w:t>
      </w:r>
      <w:r w:rsidRPr="008E5964">
        <w:rPr>
          <w:rFonts w:ascii="Arial" w:hAnsi="Arial" w:cs="Arial"/>
          <w:sz w:val="24"/>
          <w:szCs w:val="24"/>
        </w:rPr>
        <w:t>an</w:t>
      </w:r>
      <w:r w:rsidR="000464DA">
        <w:rPr>
          <w:rFonts w:ascii="Arial" w:hAnsi="Arial" w:cs="Arial"/>
          <w:sz w:val="24"/>
          <w:szCs w:val="24"/>
        </w:rPr>
        <w:t>i</w:t>
      </w:r>
      <w:r w:rsidRPr="008E5964">
        <w:rPr>
          <w:rFonts w:ascii="Arial" w:hAnsi="Arial" w:cs="Arial"/>
          <w:sz w:val="24"/>
          <w:szCs w:val="24"/>
        </w:rPr>
        <w:t>i</w:t>
      </w:r>
      <w:r w:rsidR="000464DA">
        <w:rPr>
          <w:rFonts w:ascii="Arial" w:hAnsi="Arial" w:cs="Arial"/>
          <w:sz w:val="24"/>
          <w:szCs w:val="24"/>
        </w:rPr>
        <w:t xml:space="preserve"> 2013-2016</w:t>
      </w:r>
      <w:r w:rsidRPr="008E5964">
        <w:rPr>
          <w:rFonts w:ascii="Arial" w:hAnsi="Arial" w:cs="Arial"/>
          <w:sz w:val="24"/>
          <w:szCs w:val="24"/>
        </w:rPr>
        <w:t xml:space="preserve"> nu exista </w:t>
      </w:r>
      <w:r w:rsidRPr="008E5964">
        <w:rPr>
          <w:rFonts w:ascii="Arial" w:hAnsi="Arial" w:cs="Arial"/>
          <w:bCs/>
          <w:sz w:val="24"/>
          <w:szCs w:val="24"/>
          <w:lang w:val="it-IT"/>
        </w:rPr>
        <w:t>date/datele validate sunt insuficiente pentru a respecta criteriile de calitate conform Legii 104/2011 (captura de date pentru minim 75% din intervalul de timp calendaristic).</w:t>
      </w:r>
    </w:p>
    <w:p w:rsidR="000464DA" w:rsidRPr="008E5964" w:rsidRDefault="000464DA" w:rsidP="00305EF7">
      <w:pPr>
        <w:autoSpaceDE w:val="0"/>
        <w:autoSpaceDN w:val="0"/>
        <w:adjustRightInd w:val="0"/>
        <w:jc w:val="both"/>
        <w:rPr>
          <w:rFonts w:ascii="Arial" w:hAnsi="Arial" w:cs="Arial"/>
          <w:bCs/>
          <w:sz w:val="24"/>
          <w:szCs w:val="24"/>
          <w:lang w:val="it-IT"/>
        </w:rPr>
      </w:pPr>
    </w:p>
    <w:p w:rsidR="001B4141" w:rsidRDefault="000464DA" w:rsidP="001B4141">
      <w:pPr>
        <w:tabs>
          <w:tab w:val="num" w:pos="0"/>
        </w:tabs>
        <w:jc w:val="both"/>
        <w:rPr>
          <w:rFonts w:ascii="Arial" w:hAnsi="Arial" w:cs="Arial"/>
          <w:b/>
          <w:sz w:val="24"/>
          <w:szCs w:val="24"/>
          <w:lang w:val="ro-RO"/>
        </w:rPr>
      </w:pPr>
      <w:r w:rsidRPr="000464DA">
        <w:rPr>
          <w:rFonts w:ascii="Arial" w:hAnsi="Arial" w:cs="Arial"/>
          <w:b/>
          <w:noProof/>
          <w:sz w:val="24"/>
          <w:szCs w:val="24"/>
        </w:rPr>
        <w:drawing>
          <wp:inline distT="0" distB="0" distL="0" distR="0">
            <wp:extent cx="5674384" cy="4321834"/>
            <wp:effectExtent l="19050" t="0" r="21566" b="2516"/>
            <wp:docPr id="6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4141" w:rsidRDefault="001B4141" w:rsidP="001B4141">
      <w:pPr>
        <w:tabs>
          <w:tab w:val="num" w:pos="0"/>
        </w:tabs>
        <w:jc w:val="center"/>
        <w:rPr>
          <w:rFonts w:ascii="Arial" w:hAnsi="Arial" w:cs="Arial"/>
          <w:i/>
          <w:sz w:val="24"/>
          <w:szCs w:val="24"/>
          <w:lang w:val="ro-RO"/>
        </w:rPr>
      </w:pPr>
      <w:r>
        <w:rPr>
          <w:rFonts w:ascii="Arial" w:hAnsi="Arial" w:cs="Arial"/>
          <w:i/>
          <w:sz w:val="24"/>
          <w:szCs w:val="24"/>
          <w:lang w:val="ro-RO" w:eastAsia="ro-RO"/>
        </w:rPr>
        <w:tab/>
      </w:r>
      <w:r>
        <w:rPr>
          <w:rFonts w:ascii="Arial" w:hAnsi="Arial" w:cs="Arial"/>
          <w:i/>
          <w:sz w:val="24"/>
          <w:szCs w:val="24"/>
          <w:lang w:val="ro-RO" w:eastAsia="ro-RO"/>
        </w:rPr>
        <w:tab/>
      </w:r>
      <w:r>
        <w:rPr>
          <w:rFonts w:ascii="Arial" w:hAnsi="Arial" w:cs="Arial"/>
          <w:i/>
          <w:sz w:val="24"/>
          <w:szCs w:val="24"/>
          <w:lang w:val="ro-RO" w:eastAsia="ro-RO"/>
        </w:rPr>
        <w:tab/>
      </w:r>
      <w:r>
        <w:rPr>
          <w:rFonts w:ascii="Arial" w:hAnsi="Arial" w:cs="Arial"/>
          <w:i/>
          <w:sz w:val="24"/>
          <w:szCs w:val="24"/>
          <w:lang w:val="ro-RO" w:eastAsia="ro-RO"/>
        </w:rPr>
        <w:tab/>
      </w:r>
      <w:r>
        <w:rPr>
          <w:rFonts w:ascii="Arial" w:hAnsi="Arial" w:cs="Arial"/>
          <w:i/>
          <w:sz w:val="24"/>
          <w:szCs w:val="24"/>
          <w:lang w:val="ro-RO" w:eastAsia="ro-RO"/>
        </w:rPr>
        <w:tab/>
      </w:r>
      <w:r>
        <w:rPr>
          <w:rFonts w:ascii="Arial" w:hAnsi="Arial" w:cs="Arial"/>
          <w:i/>
          <w:sz w:val="24"/>
          <w:szCs w:val="24"/>
          <w:lang w:val="ro-RO" w:eastAsia="ro-RO"/>
        </w:rPr>
        <w:tab/>
      </w:r>
      <w:r>
        <w:rPr>
          <w:rFonts w:ascii="Arial" w:hAnsi="Arial" w:cs="Arial"/>
          <w:i/>
          <w:sz w:val="24"/>
          <w:szCs w:val="24"/>
          <w:lang w:val="ro-RO" w:eastAsia="ro-RO"/>
        </w:rPr>
        <w:tab/>
      </w:r>
      <w:r>
        <w:rPr>
          <w:rFonts w:ascii="Arial" w:hAnsi="Arial" w:cs="Arial"/>
          <w:i/>
          <w:sz w:val="24"/>
          <w:szCs w:val="24"/>
          <w:lang w:val="ro-RO" w:eastAsia="ro-RO"/>
        </w:rPr>
        <w:tab/>
      </w:r>
      <w:r>
        <w:rPr>
          <w:rFonts w:ascii="Arial" w:hAnsi="Arial" w:cs="Arial"/>
          <w:i/>
          <w:sz w:val="24"/>
          <w:szCs w:val="24"/>
          <w:lang w:val="ro-RO" w:eastAsia="ro-RO"/>
        </w:rPr>
        <w:tab/>
      </w:r>
      <w:r w:rsidRPr="00D572F6">
        <w:rPr>
          <w:rFonts w:ascii="Arial" w:hAnsi="Arial" w:cs="Arial"/>
          <w:i/>
          <w:sz w:val="24"/>
          <w:szCs w:val="24"/>
          <w:lang w:val="ro-RO" w:eastAsia="ro-RO"/>
        </w:rPr>
        <w:t xml:space="preserve">Figura </w:t>
      </w:r>
      <w:r>
        <w:rPr>
          <w:rFonts w:ascii="Arial" w:hAnsi="Arial" w:cs="Arial"/>
          <w:i/>
          <w:sz w:val="24"/>
          <w:szCs w:val="24"/>
          <w:lang w:val="ro-RO"/>
        </w:rPr>
        <w:t>1.1.1.</w:t>
      </w:r>
      <w:r w:rsidRPr="00D572F6">
        <w:rPr>
          <w:rFonts w:ascii="Arial" w:hAnsi="Arial" w:cs="Arial"/>
          <w:i/>
          <w:sz w:val="24"/>
          <w:szCs w:val="24"/>
          <w:lang w:val="ro-RO"/>
        </w:rPr>
        <w:t>2.</w:t>
      </w:r>
      <w:r w:rsidR="002A300F">
        <w:rPr>
          <w:rFonts w:ascii="Arial" w:hAnsi="Arial" w:cs="Arial"/>
          <w:i/>
          <w:sz w:val="24"/>
          <w:szCs w:val="24"/>
          <w:lang w:val="ro-RO"/>
        </w:rPr>
        <w:t>5</w:t>
      </w:r>
      <w:r>
        <w:rPr>
          <w:rFonts w:ascii="Arial" w:hAnsi="Arial" w:cs="Arial"/>
          <w:i/>
          <w:sz w:val="24"/>
          <w:szCs w:val="24"/>
          <w:lang w:val="ro-RO"/>
        </w:rPr>
        <w:t>.</w:t>
      </w:r>
    </w:p>
    <w:p w:rsidR="00AE11F1" w:rsidRPr="00D572F6" w:rsidRDefault="00AE11F1" w:rsidP="001B4141">
      <w:pPr>
        <w:tabs>
          <w:tab w:val="num" w:pos="0"/>
        </w:tabs>
        <w:jc w:val="center"/>
        <w:rPr>
          <w:rFonts w:ascii="Arial" w:hAnsi="Arial" w:cs="Arial"/>
          <w:i/>
          <w:sz w:val="24"/>
          <w:szCs w:val="24"/>
          <w:lang w:val="ro-RO"/>
        </w:rPr>
      </w:pPr>
    </w:p>
    <w:p w:rsidR="00AE11F1" w:rsidRPr="00974CE9" w:rsidRDefault="000464DA" w:rsidP="00AE11F1">
      <w:pPr>
        <w:tabs>
          <w:tab w:val="num" w:pos="0"/>
        </w:tabs>
        <w:jc w:val="both"/>
        <w:rPr>
          <w:rFonts w:ascii="Arial" w:hAnsi="Arial" w:cs="Arial"/>
          <w:b/>
          <w:sz w:val="24"/>
          <w:szCs w:val="24"/>
          <w:lang w:val="ro-RO" w:eastAsia="ro-RO"/>
        </w:rPr>
      </w:pPr>
      <w:r>
        <w:rPr>
          <w:rFonts w:ascii="Arial" w:hAnsi="Arial" w:cs="Arial"/>
          <w:sz w:val="24"/>
          <w:szCs w:val="24"/>
          <w:lang w:val="ro-RO" w:eastAsia="ro-RO"/>
        </w:rPr>
        <w:t xml:space="preserve">Nu s-au inregistrat </w:t>
      </w:r>
      <w:r w:rsidR="00AE11F1" w:rsidRPr="00974CE9">
        <w:rPr>
          <w:rFonts w:ascii="Arial" w:hAnsi="Arial" w:cs="Arial"/>
          <w:sz w:val="24"/>
          <w:szCs w:val="24"/>
          <w:lang w:val="ro-RO" w:eastAsia="ro-RO"/>
        </w:rPr>
        <w:t>depasiri pentru poluantul C6H6.</w:t>
      </w:r>
    </w:p>
    <w:p w:rsidR="00CE0BB3" w:rsidRDefault="00CE0BB3" w:rsidP="009776CE">
      <w:pPr>
        <w:tabs>
          <w:tab w:val="num" w:pos="0"/>
        </w:tabs>
        <w:jc w:val="both"/>
        <w:rPr>
          <w:rFonts w:ascii="Arial" w:hAnsi="Arial" w:cs="Arial"/>
          <w:b/>
          <w:sz w:val="24"/>
          <w:szCs w:val="24"/>
          <w:lang w:val="ro-RO" w:eastAsia="ro-RO"/>
        </w:rPr>
      </w:pPr>
    </w:p>
    <w:p w:rsidR="002F5E34" w:rsidRDefault="002F5E34" w:rsidP="009776CE">
      <w:pPr>
        <w:tabs>
          <w:tab w:val="num" w:pos="0"/>
        </w:tabs>
        <w:jc w:val="both"/>
        <w:rPr>
          <w:rFonts w:ascii="Arial" w:hAnsi="Arial" w:cs="Arial"/>
          <w:b/>
          <w:sz w:val="24"/>
          <w:szCs w:val="24"/>
          <w:lang w:val="ro-RO" w:eastAsia="ro-RO"/>
        </w:rPr>
      </w:pPr>
      <w:r w:rsidRPr="007B7830">
        <w:rPr>
          <w:rFonts w:ascii="Arial" w:hAnsi="Arial" w:cs="Arial"/>
          <w:b/>
          <w:sz w:val="24"/>
          <w:szCs w:val="24"/>
          <w:lang w:val="ro-RO" w:eastAsia="ro-RO"/>
        </w:rPr>
        <w:t>Pulberi în suspensie</w:t>
      </w:r>
    </w:p>
    <w:p w:rsidR="00247C10" w:rsidRDefault="00247C10" w:rsidP="009776CE">
      <w:pPr>
        <w:tabs>
          <w:tab w:val="num" w:pos="0"/>
        </w:tabs>
        <w:jc w:val="both"/>
        <w:rPr>
          <w:rFonts w:ascii="Arial" w:hAnsi="Arial" w:cs="Arial"/>
          <w:b/>
          <w:sz w:val="24"/>
          <w:szCs w:val="24"/>
          <w:lang w:val="ro-RO" w:eastAsia="ro-RO"/>
        </w:rPr>
      </w:pPr>
    </w:p>
    <w:p w:rsidR="00247C10" w:rsidRDefault="00247C10" w:rsidP="009776CE">
      <w:pPr>
        <w:tabs>
          <w:tab w:val="num" w:pos="0"/>
        </w:tabs>
        <w:jc w:val="both"/>
        <w:rPr>
          <w:rFonts w:ascii="Arial" w:hAnsi="Arial" w:cs="Arial"/>
          <w:b/>
          <w:sz w:val="24"/>
          <w:szCs w:val="24"/>
          <w:lang w:val="ro-RO" w:eastAsia="ro-RO"/>
        </w:rPr>
      </w:pPr>
      <w:r>
        <w:rPr>
          <w:rFonts w:ascii="Arial" w:hAnsi="Arial" w:cs="Arial"/>
          <w:b/>
          <w:sz w:val="24"/>
          <w:szCs w:val="24"/>
          <w:lang w:val="ro-RO" w:eastAsia="ro-RO"/>
        </w:rPr>
        <w:t>PM10</w:t>
      </w:r>
    </w:p>
    <w:p w:rsidR="00AC7D51" w:rsidRDefault="00C07171" w:rsidP="009776CE">
      <w:pPr>
        <w:tabs>
          <w:tab w:val="num" w:pos="0"/>
        </w:tabs>
        <w:jc w:val="both"/>
        <w:rPr>
          <w:rFonts w:ascii="Arial" w:hAnsi="Arial" w:cs="Arial"/>
          <w:i/>
          <w:sz w:val="24"/>
          <w:szCs w:val="24"/>
          <w:lang w:val="ro-RO" w:eastAsia="ro-RO"/>
        </w:rPr>
      </w:pPr>
      <w:r w:rsidRPr="00D572F6">
        <w:rPr>
          <w:rFonts w:ascii="Arial" w:hAnsi="Arial" w:cs="Arial"/>
          <w:i/>
          <w:sz w:val="24"/>
          <w:szCs w:val="24"/>
          <w:lang w:val="ro-RO" w:eastAsia="ro-RO"/>
        </w:rPr>
        <w:tab/>
        <w:t xml:space="preserve"> </w:t>
      </w:r>
    </w:p>
    <w:tbl>
      <w:tblPr>
        <w:tblW w:w="1137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245"/>
        <w:gridCol w:w="1440"/>
        <w:gridCol w:w="810"/>
        <w:gridCol w:w="810"/>
        <w:gridCol w:w="900"/>
        <w:gridCol w:w="900"/>
        <w:gridCol w:w="900"/>
        <w:gridCol w:w="990"/>
        <w:gridCol w:w="810"/>
        <w:gridCol w:w="846"/>
        <w:gridCol w:w="864"/>
        <w:gridCol w:w="864"/>
      </w:tblGrid>
      <w:tr w:rsidR="00217B90" w:rsidRPr="00D572F6" w:rsidTr="00217B90">
        <w:trPr>
          <w:tblCellSpacing w:w="20" w:type="dxa"/>
          <w:jc w:val="center"/>
        </w:trPr>
        <w:tc>
          <w:tcPr>
            <w:tcW w:w="1185" w:type="dxa"/>
            <w:vMerge w:val="restart"/>
            <w:shd w:val="clear" w:color="auto" w:fill="FFFFCC"/>
            <w:vAlign w:val="center"/>
          </w:tcPr>
          <w:p w:rsidR="00217B90" w:rsidRPr="00217B90" w:rsidRDefault="00217B90" w:rsidP="00DF0915">
            <w:pPr>
              <w:jc w:val="center"/>
              <w:rPr>
                <w:rFonts w:ascii="Arial" w:hAnsi="Arial" w:cs="Arial"/>
                <w:b/>
                <w:sz w:val="18"/>
                <w:szCs w:val="18"/>
              </w:rPr>
            </w:pPr>
            <w:r w:rsidRPr="00217B90">
              <w:rPr>
                <w:rFonts w:ascii="Arial" w:hAnsi="Arial" w:cs="Arial"/>
                <w:i/>
                <w:sz w:val="18"/>
                <w:szCs w:val="18"/>
                <w:lang w:val="ro-RO" w:eastAsia="ro-RO"/>
              </w:rPr>
              <w:t xml:space="preserve">                      </w:t>
            </w:r>
            <w:r w:rsidRPr="00217B90">
              <w:rPr>
                <w:rFonts w:ascii="Arial" w:hAnsi="Arial" w:cs="Arial"/>
                <w:b/>
                <w:sz w:val="18"/>
                <w:szCs w:val="18"/>
              </w:rPr>
              <w:t>POLUANT</w:t>
            </w:r>
          </w:p>
        </w:tc>
        <w:tc>
          <w:tcPr>
            <w:tcW w:w="1400" w:type="dxa"/>
            <w:vMerge w:val="restart"/>
            <w:shd w:val="clear" w:color="auto" w:fill="FFFFCC"/>
            <w:vAlign w:val="center"/>
          </w:tcPr>
          <w:p w:rsidR="00217B90" w:rsidRPr="00D572F6" w:rsidRDefault="00217B90" w:rsidP="00DF0915">
            <w:pPr>
              <w:jc w:val="center"/>
              <w:rPr>
                <w:rFonts w:ascii="Arial" w:hAnsi="Arial" w:cs="Arial"/>
                <w:b/>
              </w:rPr>
            </w:pPr>
            <w:r w:rsidRPr="00D572F6">
              <w:rPr>
                <w:rFonts w:ascii="Arial" w:hAnsi="Arial" w:cs="Arial"/>
                <w:b/>
              </w:rPr>
              <w:t>Tip statie</w:t>
            </w:r>
          </w:p>
        </w:tc>
        <w:tc>
          <w:tcPr>
            <w:tcW w:w="8634" w:type="dxa"/>
            <w:gridSpan w:val="10"/>
            <w:tcBorders>
              <w:right w:val="outset" w:sz="6" w:space="0" w:color="A0A0A0"/>
            </w:tcBorders>
            <w:shd w:val="clear" w:color="auto" w:fill="FFFFCC"/>
            <w:vAlign w:val="center"/>
          </w:tcPr>
          <w:p w:rsidR="00217B90" w:rsidRPr="00D572F6" w:rsidRDefault="00217B90" w:rsidP="00DF0915">
            <w:pPr>
              <w:jc w:val="center"/>
              <w:rPr>
                <w:rFonts w:ascii="Arial" w:hAnsi="Arial" w:cs="Arial"/>
                <w:b/>
              </w:rPr>
            </w:pPr>
            <w:r w:rsidRPr="00D572F6">
              <w:rPr>
                <w:rFonts w:ascii="Arial" w:hAnsi="Arial" w:cs="Arial"/>
                <w:b/>
              </w:rPr>
              <w:t>Concentratia medie anuala</w:t>
            </w:r>
          </w:p>
        </w:tc>
      </w:tr>
      <w:tr w:rsidR="00217B90" w:rsidRPr="00DF0915" w:rsidTr="00217B90">
        <w:trPr>
          <w:tblCellSpacing w:w="20" w:type="dxa"/>
          <w:jc w:val="center"/>
        </w:trPr>
        <w:tc>
          <w:tcPr>
            <w:tcW w:w="1185" w:type="dxa"/>
            <w:vMerge/>
            <w:shd w:val="clear" w:color="auto" w:fill="FFFFCC"/>
            <w:vAlign w:val="center"/>
          </w:tcPr>
          <w:p w:rsidR="00217B90" w:rsidRPr="00DF0915" w:rsidRDefault="00217B90" w:rsidP="00DF0915">
            <w:pPr>
              <w:jc w:val="center"/>
              <w:rPr>
                <w:rFonts w:ascii="Arial" w:hAnsi="Arial" w:cs="Arial"/>
              </w:rPr>
            </w:pPr>
          </w:p>
        </w:tc>
        <w:tc>
          <w:tcPr>
            <w:tcW w:w="1400" w:type="dxa"/>
            <w:vMerge/>
            <w:shd w:val="clear" w:color="auto" w:fill="FFFFCC"/>
            <w:vAlign w:val="center"/>
          </w:tcPr>
          <w:p w:rsidR="00217B90" w:rsidRPr="00DF0915" w:rsidRDefault="00217B90" w:rsidP="00DF0915">
            <w:pPr>
              <w:jc w:val="center"/>
              <w:rPr>
                <w:rFonts w:ascii="Arial" w:hAnsi="Arial" w:cs="Arial"/>
              </w:rPr>
            </w:pPr>
          </w:p>
        </w:tc>
        <w:tc>
          <w:tcPr>
            <w:tcW w:w="770" w:type="dxa"/>
            <w:shd w:val="clear" w:color="auto" w:fill="FFFFCC"/>
            <w:vAlign w:val="center"/>
          </w:tcPr>
          <w:p w:rsidR="00217B90" w:rsidRPr="00DF0915" w:rsidRDefault="00217B90" w:rsidP="00DF0915">
            <w:pPr>
              <w:jc w:val="center"/>
              <w:rPr>
                <w:rFonts w:ascii="Arial" w:hAnsi="Arial" w:cs="Arial"/>
              </w:rPr>
            </w:pPr>
            <w:r w:rsidRPr="00DF0915">
              <w:rPr>
                <w:rFonts w:ascii="Arial" w:hAnsi="Arial" w:cs="Arial"/>
              </w:rPr>
              <w:t>2008</w:t>
            </w:r>
          </w:p>
        </w:tc>
        <w:tc>
          <w:tcPr>
            <w:tcW w:w="770" w:type="dxa"/>
            <w:shd w:val="clear" w:color="auto" w:fill="FFFFCC"/>
            <w:vAlign w:val="center"/>
          </w:tcPr>
          <w:p w:rsidR="00217B90" w:rsidRPr="00DF0915" w:rsidRDefault="00217B90" w:rsidP="00DF0915">
            <w:pPr>
              <w:jc w:val="center"/>
              <w:rPr>
                <w:rFonts w:ascii="Arial" w:hAnsi="Arial" w:cs="Arial"/>
              </w:rPr>
            </w:pPr>
            <w:r w:rsidRPr="00DF0915">
              <w:rPr>
                <w:rFonts w:ascii="Arial" w:hAnsi="Arial" w:cs="Arial"/>
              </w:rPr>
              <w:t>2009</w:t>
            </w:r>
          </w:p>
        </w:tc>
        <w:tc>
          <w:tcPr>
            <w:tcW w:w="860" w:type="dxa"/>
            <w:tcBorders>
              <w:right w:val="outset" w:sz="6" w:space="0" w:color="auto"/>
            </w:tcBorders>
            <w:shd w:val="clear" w:color="auto" w:fill="FFFFCC"/>
            <w:vAlign w:val="center"/>
          </w:tcPr>
          <w:p w:rsidR="00217B90" w:rsidRPr="00DF0915" w:rsidRDefault="00217B90" w:rsidP="00DF0915">
            <w:pPr>
              <w:jc w:val="center"/>
              <w:rPr>
                <w:rFonts w:ascii="Arial" w:hAnsi="Arial" w:cs="Arial"/>
              </w:rPr>
            </w:pPr>
            <w:r w:rsidRPr="00DF0915">
              <w:rPr>
                <w:rFonts w:ascii="Arial" w:hAnsi="Arial" w:cs="Arial"/>
              </w:rPr>
              <w:t>2010</w:t>
            </w:r>
          </w:p>
        </w:tc>
        <w:tc>
          <w:tcPr>
            <w:tcW w:w="860" w:type="dxa"/>
            <w:tcBorders>
              <w:left w:val="outset" w:sz="6" w:space="0" w:color="auto"/>
              <w:right w:val="outset" w:sz="6" w:space="0" w:color="auto"/>
            </w:tcBorders>
            <w:shd w:val="clear" w:color="auto" w:fill="FFFFCC"/>
            <w:vAlign w:val="center"/>
          </w:tcPr>
          <w:p w:rsidR="00217B90" w:rsidRPr="00DF0915" w:rsidRDefault="00217B90" w:rsidP="00DF0915">
            <w:pPr>
              <w:jc w:val="center"/>
              <w:rPr>
                <w:rFonts w:ascii="Arial" w:hAnsi="Arial" w:cs="Arial"/>
              </w:rPr>
            </w:pPr>
            <w:r w:rsidRPr="00DF0915">
              <w:rPr>
                <w:rFonts w:ascii="Arial" w:hAnsi="Arial" w:cs="Arial"/>
              </w:rPr>
              <w:t>2011</w:t>
            </w:r>
          </w:p>
        </w:tc>
        <w:tc>
          <w:tcPr>
            <w:tcW w:w="860" w:type="dxa"/>
            <w:tcBorders>
              <w:left w:val="outset" w:sz="6" w:space="0" w:color="auto"/>
            </w:tcBorders>
            <w:shd w:val="clear" w:color="auto" w:fill="FFFFCC"/>
            <w:vAlign w:val="center"/>
          </w:tcPr>
          <w:p w:rsidR="00217B90" w:rsidRPr="00B03DCE" w:rsidRDefault="00217B90" w:rsidP="00DF0915">
            <w:pPr>
              <w:jc w:val="center"/>
              <w:rPr>
                <w:rFonts w:ascii="Arial" w:hAnsi="Arial" w:cs="Arial"/>
              </w:rPr>
            </w:pPr>
            <w:r w:rsidRPr="00B03DCE">
              <w:rPr>
                <w:rFonts w:ascii="Arial" w:hAnsi="Arial" w:cs="Arial"/>
              </w:rPr>
              <w:t>2012</w:t>
            </w:r>
          </w:p>
        </w:tc>
        <w:tc>
          <w:tcPr>
            <w:tcW w:w="950" w:type="dxa"/>
            <w:tcBorders>
              <w:left w:val="outset" w:sz="6" w:space="0" w:color="auto"/>
            </w:tcBorders>
            <w:shd w:val="clear" w:color="auto" w:fill="FFFFCC"/>
          </w:tcPr>
          <w:p w:rsidR="00217B90" w:rsidRPr="00B03DCE" w:rsidRDefault="00217B90" w:rsidP="00DF0915">
            <w:pPr>
              <w:jc w:val="center"/>
              <w:rPr>
                <w:rFonts w:ascii="Arial" w:hAnsi="Arial" w:cs="Arial"/>
              </w:rPr>
            </w:pPr>
            <w:r w:rsidRPr="00B03DCE">
              <w:rPr>
                <w:rFonts w:ascii="Arial" w:hAnsi="Arial" w:cs="Arial"/>
              </w:rPr>
              <w:t>2013</w:t>
            </w:r>
          </w:p>
        </w:tc>
        <w:tc>
          <w:tcPr>
            <w:tcW w:w="770" w:type="dxa"/>
            <w:tcBorders>
              <w:left w:val="outset" w:sz="6" w:space="0" w:color="auto"/>
              <w:right w:val="outset" w:sz="6" w:space="0" w:color="auto"/>
            </w:tcBorders>
            <w:shd w:val="clear" w:color="auto" w:fill="FFFFCC"/>
          </w:tcPr>
          <w:p w:rsidR="00217B90" w:rsidRPr="00B03DCE" w:rsidRDefault="00217B90" w:rsidP="00DF0915">
            <w:pPr>
              <w:jc w:val="center"/>
              <w:rPr>
                <w:rFonts w:ascii="Arial" w:hAnsi="Arial" w:cs="Arial"/>
              </w:rPr>
            </w:pPr>
            <w:r>
              <w:rPr>
                <w:rFonts w:ascii="Arial" w:hAnsi="Arial" w:cs="Arial"/>
              </w:rPr>
              <w:t>2014</w:t>
            </w:r>
          </w:p>
        </w:tc>
        <w:tc>
          <w:tcPr>
            <w:tcW w:w="806" w:type="dxa"/>
            <w:tcBorders>
              <w:left w:val="outset" w:sz="6" w:space="0" w:color="auto"/>
            </w:tcBorders>
            <w:shd w:val="clear" w:color="auto" w:fill="FFFFCC"/>
          </w:tcPr>
          <w:p w:rsidR="00217B90" w:rsidRPr="00B03DCE" w:rsidRDefault="00217B90" w:rsidP="00FD527B">
            <w:pPr>
              <w:jc w:val="center"/>
              <w:rPr>
                <w:rFonts w:ascii="Arial" w:hAnsi="Arial" w:cs="Arial"/>
              </w:rPr>
            </w:pPr>
            <w:r>
              <w:rPr>
                <w:rFonts w:ascii="Arial" w:hAnsi="Arial" w:cs="Arial"/>
              </w:rPr>
              <w:t>2015</w:t>
            </w:r>
          </w:p>
        </w:tc>
        <w:tc>
          <w:tcPr>
            <w:tcW w:w="824" w:type="dxa"/>
            <w:tcBorders>
              <w:left w:val="outset" w:sz="6" w:space="0" w:color="auto"/>
            </w:tcBorders>
            <w:shd w:val="clear" w:color="auto" w:fill="FFFFCC"/>
          </w:tcPr>
          <w:p w:rsidR="00217B90" w:rsidRDefault="00217B90" w:rsidP="00FD527B">
            <w:pPr>
              <w:jc w:val="center"/>
              <w:rPr>
                <w:rFonts w:ascii="Arial" w:hAnsi="Arial" w:cs="Arial"/>
              </w:rPr>
            </w:pPr>
            <w:r>
              <w:rPr>
                <w:rFonts w:ascii="Arial" w:hAnsi="Arial" w:cs="Arial"/>
              </w:rPr>
              <w:t>2016</w:t>
            </w:r>
          </w:p>
        </w:tc>
        <w:tc>
          <w:tcPr>
            <w:tcW w:w="804" w:type="dxa"/>
            <w:tcBorders>
              <w:left w:val="outset" w:sz="6" w:space="0" w:color="auto"/>
            </w:tcBorders>
            <w:shd w:val="clear" w:color="auto" w:fill="FFFFCC"/>
          </w:tcPr>
          <w:p w:rsidR="00217B90" w:rsidRDefault="00217B90" w:rsidP="00FD527B">
            <w:pPr>
              <w:jc w:val="center"/>
              <w:rPr>
                <w:rFonts w:ascii="Arial" w:hAnsi="Arial" w:cs="Arial"/>
              </w:rPr>
            </w:pPr>
            <w:r>
              <w:rPr>
                <w:rFonts w:ascii="Arial" w:hAnsi="Arial" w:cs="Arial"/>
              </w:rPr>
              <w:t>2017</w:t>
            </w:r>
          </w:p>
        </w:tc>
      </w:tr>
      <w:tr w:rsidR="00217B90" w:rsidRPr="00DF0915" w:rsidTr="00217B90">
        <w:trPr>
          <w:trHeight w:val="272"/>
          <w:tblCellSpacing w:w="20" w:type="dxa"/>
          <w:jc w:val="center"/>
        </w:trPr>
        <w:tc>
          <w:tcPr>
            <w:tcW w:w="1185" w:type="dxa"/>
            <w:vMerge w:val="restart"/>
            <w:shd w:val="clear" w:color="auto" w:fill="auto"/>
            <w:vAlign w:val="center"/>
          </w:tcPr>
          <w:p w:rsidR="00217B90" w:rsidRPr="00217B90" w:rsidRDefault="00217B90" w:rsidP="00DF0915">
            <w:pPr>
              <w:jc w:val="center"/>
              <w:rPr>
                <w:rFonts w:ascii="Arial" w:hAnsi="Arial" w:cs="Arial"/>
                <w:sz w:val="16"/>
                <w:szCs w:val="16"/>
                <w:lang w:val="it-IT"/>
              </w:rPr>
            </w:pPr>
            <w:r w:rsidRPr="00217B90">
              <w:rPr>
                <w:rFonts w:ascii="Arial" w:hAnsi="Arial" w:cs="Arial"/>
                <w:sz w:val="16"/>
                <w:szCs w:val="16"/>
                <w:lang w:val="it-IT"/>
              </w:rPr>
              <w:t>PM10</w:t>
            </w:r>
            <w:r w:rsidRPr="00217B90">
              <w:rPr>
                <w:rFonts w:ascii="Arial" w:hAnsi="Arial" w:cs="Arial"/>
                <w:sz w:val="16"/>
                <w:szCs w:val="16"/>
                <w:vertAlign w:val="subscript"/>
                <w:lang w:val="it-IT"/>
              </w:rPr>
              <w:t xml:space="preserve"> </w:t>
            </w:r>
            <w:r w:rsidRPr="00217B90">
              <w:rPr>
                <w:rFonts w:ascii="Arial" w:hAnsi="Arial" w:cs="Arial"/>
                <w:sz w:val="16"/>
                <w:szCs w:val="16"/>
                <w:lang w:val="it-IT"/>
              </w:rPr>
              <w:t>(</w:t>
            </w:r>
            <w:r w:rsidRPr="00217B90">
              <w:rPr>
                <w:rFonts w:ascii="Arial" w:hAnsi="Arial" w:cs="Arial"/>
                <w:sz w:val="16"/>
                <w:szCs w:val="16"/>
              </w:rPr>
              <w:t>μ</w:t>
            </w:r>
            <w:r w:rsidRPr="00217B90">
              <w:rPr>
                <w:rFonts w:ascii="Arial" w:hAnsi="Arial" w:cs="Arial"/>
                <w:sz w:val="16"/>
                <w:szCs w:val="16"/>
                <w:lang w:val="it-IT"/>
              </w:rPr>
              <w:t>g/mc)</w:t>
            </w:r>
          </w:p>
          <w:p w:rsidR="00217B90" w:rsidRPr="00217B90" w:rsidRDefault="00217B90" w:rsidP="00DF0915">
            <w:pPr>
              <w:jc w:val="center"/>
              <w:rPr>
                <w:rFonts w:ascii="Arial" w:hAnsi="Arial" w:cs="Arial"/>
                <w:sz w:val="16"/>
                <w:szCs w:val="16"/>
                <w:lang w:val="it-IT"/>
              </w:rPr>
            </w:pPr>
            <w:r w:rsidRPr="00217B90">
              <w:rPr>
                <w:rFonts w:ascii="Arial" w:hAnsi="Arial" w:cs="Arial"/>
                <w:sz w:val="16"/>
                <w:szCs w:val="16"/>
                <w:lang w:val="it-IT"/>
              </w:rPr>
              <w:t>nefelometric/</w:t>
            </w:r>
          </w:p>
          <w:p w:rsidR="00217B90" w:rsidRPr="00DF0915" w:rsidRDefault="00217B90" w:rsidP="00DF0915">
            <w:pPr>
              <w:jc w:val="center"/>
              <w:rPr>
                <w:rFonts w:ascii="Arial" w:hAnsi="Arial" w:cs="Arial"/>
                <w:lang w:val="it-IT"/>
              </w:rPr>
            </w:pPr>
            <w:r w:rsidRPr="00217B90">
              <w:rPr>
                <w:rFonts w:ascii="Arial" w:hAnsi="Arial" w:cs="Arial"/>
                <w:sz w:val="16"/>
                <w:szCs w:val="16"/>
                <w:lang w:val="it-IT"/>
              </w:rPr>
              <w:t>gravimetric</w:t>
            </w:r>
          </w:p>
        </w:tc>
        <w:tc>
          <w:tcPr>
            <w:tcW w:w="1400" w:type="dxa"/>
            <w:shd w:val="clear" w:color="auto" w:fill="auto"/>
            <w:vAlign w:val="center"/>
          </w:tcPr>
          <w:p w:rsidR="00217B90" w:rsidRPr="00DF0915" w:rsidRDefault="00217B90" w:rsidP="00DF0915">
            <w:pPr>
              <w:jc w:val="center"/>
              <w:rPr>
                <w:rFonts w:ascii="Arial" w:hAnsi="Arial" w:cs="Arial"/>
              </w:rPr>
            </w:pPr>
            <w:r w:rsidRPr="00DF0915">
              <w:rPr>
                <w:rFonts w:ascii="Arial" w:hAnsi="Arial" w:cs="Arial"/>
              </w:rPr>
              <w:t>CT1-Trafic</w:t>
            </w:r>
          </w:p>
        </w:tc>
        <w:tc>
          <w:tcPr>
            <w:tcW w:w="770" w:type="dxa"/>
            <w:shd w:val="clear" w:color="auto" w:fill="auto"/>
            <w:vAlign w:val="center"/>
          </w:tcPr>
          <w:p w:rsidR="00217B90" w:rsidRPr="00DF0915" w:rsidRDefault="00217B90" w:rsidP="00570522">
            <w:pPr>
              <w:jc w:val="center"/>
              <w:rPr>
                <w:rFonts w:ascii="Arial" w:hAnsi="Arial" w:cs="Arial"/>
              </w:rPr>
            </w:pPr>
            <w:r>
              <w:rPr>
                <w:rFonts w:ascii="Arial" w:hAnsi="Arial" w:cs="Arial"/>
              </w:rPr>
              <w:t>***</w:t>
            </w:r>
            <w:r w:rsidRPr="00DF0915">
              <w:rPr>
                <w:rFonts w:ascii="Arial" w:hAnsi="Arial" w:cs="Arial"/>
              </w:rPr>
              <w:t xml:space="preserve"> / 20</w:t>
            </w:r>
          </w:p>
        </w:tc>
        <w:tc>
          <w:tcPr>
            <w:tcW w:w="770" w:type="dxa"/>
            <w:shd w:val="clear" w:color="auto" w:fill="auto"/>
            <w:vAlign w:val="center"/>
          </w:tcPr>
          <w:p w:rsidR="00217B90" w:rsidRPr="00DF0915" w:rsidRDefault="00217B90" w:rsidP="00570522">
            <w:pPr>
              <w:jc w:val="center"/>
              <w:rPr>
                <w:rFonts w:ascii="Arial" w:hAnsi="Arial" w:cs="Arial"/>
              </w:rPr>
            </w:pPr>
            <w:r>
              <w:rPr>
                <w:rFonts w:ascii="Arial" w:hAnsi="Arial" w:cs="Arial"/>
              </w:rPr>
              <w:t>24</w:t>
            </w:r>
            <w:r w:rsidRPr="00DF0915">
              <w:rPr>
                <w:rFonts w:ascii="Arial" w:hAnsi="Arial" w:cs="Arial"/>
              </w:rPr>
              <w:t>/</w:t>
            </w:r>
            <w:r>
              <w:rPr>
                <w:rFonts w:ascii="Arial" w:hAnsi="Arial" w:cs="Arial"/>
              </w:rPr>
              <w:t xml:space="preserve"> ***</w:t>
            </w:r>
          </w:p>
        </w:tc>
        <w:tc>
          <w:tcPr>
            <w:tcW w:w="860" w:type="dxa"/>
            <w:tcBorders>
              <w:right w:val="outset" w:sz="6" w:space="0" w:color="auto"/>
            </w:tcBorders>
            <w:shd w:val="clear" w:color="auto" w:fill="auto"/>
            <w:vAlign w:val="center"/>
          </w:tcPr>
          <w:p w:rsidR="00217B90" w:rsidRDefault="00217B90" w:rsidP="00570522">
            <w:pPr>
              <w:jc w:val="center"/>
              <w:rPr>
                <w:rFonts w:ascii="Arial" w:hAnsi="Arial" w:cs="Arial"/>
              </w:rPr>
            </w:pPr>
            <w:r w:rsidRPr="00DF0915">
              <w:rPr>
                <w:rFonts w:ascii="Arial" w:hAnsi="Arial" w:cs="Arial"/>
              </w:rPr>
              <w:t>25 /</w:t>
            </w:r>
          </w:p>
          <w:p w:rsidR="00217B90" w:rsidRPr="00DF0915" w:rsidRDefault="00217B90" w:rsidP="00570522">
            <w:pPr>
              <w:jc w:val="center"/>
              <w:rPr>
                <w:rFonts w:ascii="Arial" w:hAnsi="Arial" w:cs="Arial"/>
              </w:rPr>
            </w:pPr>
            <w:r w:rsidRPr="00DF0915">
              <w:rPr>
                <w:rFonts w:ascii="Arial" w:hAnsi="Arial" w:cs="Arial"/>
              </w:rPr>
              <w:t>31</w:t>
            </w:r>
          </w:p>
        </w:tc>
        <w:tc>
          <w:tcPr>
            <w:tcW w:w="860" w:type="dxa"/>
            <w:tcBorders>
              <w:left w:val="outset" w:sz="6" w:space="0" w:color="auto"/>
              <w:right w:val="outset" w:sz="6" w:space="0" w:color="auto"/>
            </w:tcBorders>
            <w:shd w:val="clear" w:color="auto" w:fill="auto"/>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p>
          <w:p w:rsidR="00217B90" w:rsidRPr="00DF0915" w:rsidRDefault="00217B90" w:rsidP="00570522">
            <w:pPr>
              <w:tabs>
                <w:tab w:val="center" w:pos="4680"/>
                <w:tab w:val="right" w:pos="9000"/>
              </w:tabs>
              <w:jc w:val="center"/>
              <w:rPr>
                <w:rFonts w:ascii="Arial" w:hAnsi="Arial" w:cs="Arial"/>
              </w:rPr>
            </w:pPr>
            <w:r>
              <w:rPr>
                <w:rFonts w:ascii="Arial" w:hAnsi="Arial" w:cs="Arial"/>
              </w:rPr>
              <w:t>***</w:t>
            </w:r>
          </w:p>
        </w:tc>
        <w:tc>
          <w:tcPr>
            <w:tcW w:w="860" w:type="dxa"/>
            <w:tcBorders>
              <w:left w:val="outset" w:sz="6" w:space="0" w:color="auto"/>
            </w:tcBorders>
            <w:shd w:val="clear" w:color="auto" w:fill="auto"/>
            <w:vAlign w:val="center"/>
          </w:tcPr>
          <w:p w:rsidR="00217B90" w:rsidRPr="00DF0915" w:rsidRDefault="00217B90" w:rsidP="00331302">
            <w:pPr>
              <w:tabs>
                <w:tab w:val="center" w:pos="4680"/>
                <w:tab w:val="right" w:pos="9000"/>
              </w:tabs>
              <w:jc w:val="center"/>
              <w:rPr>
                <w:rFonts w:ascii="Arial" w:hAnsi="Arial" w:cs="Arial"/>
              </w:rPr>
            </w:pPr>
            <w:r w:rsidRPr="00DF0915">
              <w:rPr>
                <w:rFonts w:ascii="Arial" w:hAnsi="Arial" w:cs="Arial"/>
              </w:rPr>
              <w:t>32,628</w:t>
            </w:r>
            <w:r>
              <w:rPr>
                <w:rFonts w:ascii="Arial" w:hAnsi="Arial" w:cs="Arial"/>
              </w:rPr>
              <w:t xml:space="preserve">/ </w:t>
            </w:r>
            <w:r w:rsidRPr="00DF0915">
              <w:rPr>
                <w:rFonts w:ascii="Arial" w:hAnsi="Arial" w:cs="Arial"/>
              </w:rPr>
              <w:t>39,89</w:t>
            </w:r>
          </w:p>
        </w:tc>
        <w:tc>
          <w:tcPr>
            <w:tcW w:w="950" w:type="dxa"/>
            <w:tcBorders>
              <w:left w:val="outset" w:sz="6" w:space="0" w:color="auto"/>
            </w:tcBorders>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p>
          <w:p w:rsidR="00217B90" w:rsidRPr="00DF0915" w:rsidRDefault="00217B90" w:rsidP="00570522">
            <w:pPr>
              <w:tabs>
                <w:tab w:val="center" w:pos="4680"/>
                <w:tab w:val="right" w:pos="9000"/>
              </w:tabs>
              <w:jc w:val="center"/>
              <w:rPr>
                <w:rFonts w:ascii="Arial" w:hAnsi="Arial" w:cs="Arial"/>
              </w:rPr>
            </w:pPr>
            <w:r>
              <w:rPr>
                <w:rFonts w:ascii="Arial" w:hAnsi="Arial" w:cs="Arial"/>
              </w:rPr>
              <w:t>36,92</w:t>
            </w:r>
          </w:p>
        </w:tc>
        <w:tc>
          <w:tcPr>
            <w:tcW w:w="770" w:type="dxa"/>
            <w:tcBorders>
              <w:left w:val="outset" w:sz="6" w:space="0" w:color="auto"/>
              <w:right w:val="outset" w:sz="6" w:space="0" w:color="auto"/>
            </w:tcBorders>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p>
          <w:p w:rsidR="00217B90" w:rsidRDefault="00217B90" w:rsidP="00570522">
            <w:pPr>
              <w:tabs>
                <w:tab w:val="center" w:pos="4680"/>
                <w:tab w:val="right" w:pos="9000"/>
              </w:tabs>
              <w:jc w:val="center"/>
              <w:rPr>
                <w:rFonts w:ascii="Arial" w:hAnsi="Arial" w:cs="Arial"/>
              </w:rPr>
            </w:pPr>
            <w:r>
              <w:rPr>
                <w:rFonts w:ascii="Arial" w:hAnsi="Arial" w:cs="Arial"/>
              </w:rPr>
              <w:t>***</w:t>
            </w:r>
          </w:p>
        </w:tc>
        <w:tc>
          <w:tcPr>
            <w:tcW w:w="806" w:type="dxa"/>
            <w:tcBorders>
              <w:left w:val="outset" w:sz="6" w:space="0" w:color="auto"/>
            </w:tcBorders>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p>
          <w:p w:rsidR="00217B90" w:rsidRDefault="00217B90" w:rsidP="00570522">
            <w:pPr>
              <w:tabs>
                <w:tab w:val="center" w:pos="4680"/>
                <w:tab w:val="right" w:pos="9000"/>
              </w:tabs>
              <w:jc w:val="center"/>
              <w:rPr>
                <w:rFonts w:ascii="Arial" w:hAnsi="Arial" w:cs="Arial"/>
              </w:rPr>
            </w:pPr>
            <w:r>
              <w:rPr>
                <w:rFonts w:ascii="Arial" w:hAnsi="Arial" w:cs="Arial"/>
              </w:rPr>
              <w:t>***</w:t>
            </w:r>
          </w:p>
        </w:tc>
        <w:tc>
          <w:tcPr>
            <w:tcW w:w="824" w:type="dxa"/>
            <w:tcBorders>
              <w:left w:val="outset" w:sz="6" w:space="0" w:color="auto"/>
            </w:tcBorders>
          </w:tcPr>
          <w:p w:rsidR="00217B90" w:rsidRDefault="00217B90" w:rsidP="00570522">
            <w:pPr>
              <w:tabs>
                <w:tab w:val="center" w:pos="4680"/>
                <w:tab w:val="right" w:pos="9000"/>
              </w:tabs>
              <w:jc w:val="center"/>
              <w:rPr>
                <w:rFonts w:ascii="Arial" w:hAnsi="Arial" w:cs="Arial"/>
              </w:rPr>
            </w:pPr>
            <w:r>
              <w:rPr>
                <w:rFonts w:ascii="Arial" w:hAnsi="Arial" w:cs="Arial"/>
              </w:rPr>
              <w:t>***/***</w:t>
            </w:r>
          </w:p>
        </w:tc>
        <w:tc>
          <w:tcPr>
            <w:tcW w:w="804" w:type="dxa"/>
            <w:tcBorders>
              <w:left w:val="outset" w:sz="6" w:space="0" w:color="auto"/>
            </w:tcBorders>
          </w:tcPr>
          <w:p w:rsidR="00217B90" w:rsidRDefault="00217B90" w:rsidP="00570522">
            <w:pPr>
              <w:tabs>
                <w:tab w:val="center" w:pos="4680"/>
                <w:tab w:val="right" w:pos="9000"/>
              </w:tabs>
              <w:jc w:val="center"/>
              <w:rPr>
                <w:rFonts w:ascii="Arial" w:hAnsi="Arial" w:cs="Arial"/>
              </w:rPr>
            </w:pPr>
            <w:r>
              <w:rPr>
                <w:rFonts w:ascii="Arial" w:hAnsi="Arial" w:cs="Arial"/>
              </w:rPr>
              <w:t>21.88/28.84</w:t>
            </w:r>
          </w:p>
        </w:tc>
      </w:tr>
      <w:tr w:rsidR="00217B90" w:rsidRPr="00DF0915" w:rsidTr="00217B90">
        <w:trPr>
          <w:tblCellSpacing w:w="20" w:type="dxa"/>
          <w:jc w:val="center"/>
        </w:trPr>
        <w:tc>
          <w:tcPr>
            <w:tcW w:w="1185" w:type="dxa"/>
            <w:vMerge/>
            <w:shd w:val="clear" w:color="auto" w:fill="auto"/>
            <w:vAlign w:val="center"/>
          </w:tcPr>
          <w:p w:rsidR="00217B90" w:rsidRPr="00DF0915" w:rsidRDefault="00217B90" w:rsidP="00DF0915">
            <w:pPr>
              <w:jc w:val="center"/>
              <w:rPr>
                <w:rFonts w:ascii="Arial" w:hAnsi="Arial" w:cs="Arial"/>
              </w:rPr>
            </w:pPr>
          </w:p>
        </w:tc>
        <w:tc>
          <w:tcPr>
            <w:tcW w:w="1400" w:type="dxa"/>
            <w:shd w:val="clear" w:color="auto" w:fill="auto"/>
            <w:vAlign w:val="center"/>
          </w:tcPr>
          <w:p w:rsidR="00217B90" w:rsidRPr="00DF0915" w:rsidRDefault="00217B90" w:rsidP="00DF0915">
            <w:pPr>
              <w:jc w:val="center"/>
              <w:rPr>
                <w:rFonts w:ascii="Arial" w:hAnsi="Arial" w:cs="Arial"/>
              </w:rPr>
            </w:pPr>
            <w:r w:rsidRPr="00DF0915">
              <w:rPr>
                <w:rFonts w:ascii="Arial" w:hAnsi="Arial" w:cs="Arial"/>
              </w:rPr>
              <w:t>CT3-Fond suburban</w:t>
            </w:r>
          </w:p>
        </w:tc>
        <w:tc>
          <w:tcPr>
            <w:tcW w:w="770" w:type="dxa"/>
            <w:shd w:val="clear" w:color="auto" w:fill="auto"/>
            <w:vAlign w:val="center"/>
          </w:tcPr>
          <w:p w:rsidR="00217B90" w:rsidRPr="00DF0915" w:rsidRDefault="00217B90" w:rsidP="00570522">
            <w:pPr>
              <w:jc w:val="center"/>
              <w:rPr>
                <w:rFonts w:ascii="Arial" w:hAnsi="Arial" w:cs="Arial"/>
              </w:rPr>
            </w:pPr>
            <w:r>
              <w:rPr>
                <w:rFonts w:ascii="Arial" w:hAnsi="Arial" w:cs="Arial"/>
              </w:rPr>
              <w:t>28</w:t>
            </w:r>
            <w:r w:rsidRPr="00DF0915">
              <w:rPr>
                <w:rFonts w:ascii="Arial" w:hAnsi="Arial" w:cs="Arial"/>
              </w:rPr>
              <w:t xml:space="preserve"> / 31</w:t>
            </w:r>
          </w:p>
        </w:tc>
        <w:tc>
          <w:tcPr>
            <w:tcW w:w="770" w:type="dxa"/>
            <w:shd w:val="clear" w:color="auto" w:fill="auto"/>
            <w:vAlign w:val="center"/>
          </w:tcPr>
          <w:p w:rsidR="00217B90" w:rsidRPr="00DF0915" w:rsidRDefault="00217B90" w:rsidP="00570522">
            <w:pPr>
              <w:jc w:val="center"/>
              <w:rPr>
                <w:rFonts w:ascii="Arial" w:hAnsi="Arial" w:cs="Arial"/>
              </w:rPr>
            </w:pPr>
            <w:r>
              <w:rPr>
                <w:rFonts w:ascii="Arial" w:hAnsi="Arial" w:cs="Arial"/>
              </w:rPr>
              <w:t>***</w:t>
            </w:r>
            <w:r w:rsidRPr="00DF0915">
              <w:rPr>
                <w:rFonts w:ascii="Arial" w:hAnsi="Arial" w:cs="Arial"/>
              </w:rPr>
              <w:t>/</w:t>
            </w:r>
            <w:r>
              <w:rPr>
                <w:rFonts w:ascii="Arial" w:hAnsi="Arial" w:cs="Arial"/>
              </w:rPr>
              <w:t xml:space="preserve"> ***</w:t>
            </w:r>
          </w:p>
        </w:tc>
        <w:tc>
          <w:tcPr>
            <w:tcW w:w="860" w:type="dxa"/>
            <w:tcBorders>
              <w:right w:val="outset" w:sz="6" w:space="0" w:color="auto"/>
            </w:tcBorders>
            <w:shd w:val="clear" w:color="auto" w:fill="auto"/>
            <w:vAlign w:val="center"/>
          </w:tcPr>
          <w:p w:rsidR="00217B90" w:rsidRDefault="00217B90" w:rsidP="00570522">
            <w:pPr>
              <w:jc w:val="center"/>
              <w:rPr>
                <w:rFonts w:ascii="Arial" w:hAnsi="Arial" w:cs="Arial"/>
              </w:rPr>
            </w:pPr>
            <w:r w:rsidRPr="00DF0915">
              <w:rPr>
                <w:rFonts w:ascii="Arial" w:hAnsi="Arial" w:cs="Arial"/>
              </w:rPr>
              <w:t>22 /</w:t>
            </w:r>
          </w:p>
          <w:p w:rsidR="00217B90" w:rsidRPr="00DF0915" w:rsidRDefault="00217B90" w:rsidP="00570522">
            <w:pPr>
              <w:jc w:val="center"/>
              <w:rPr>
                <w:rFonts w:ascii="Arial" w:hAnsi="Arial" w:cs="Arial"/>
              </w:rPr>
            </w:pPr>
            <w:r w:rsidRPr="00DF0915">
              <w:rPr>
                <w:rFonts w:ascii="Arial" w:hAnsi="Arial" w:cs="Arial"/>
              </w:rPr>
              <w:t>20</w:t>
            </w:r>
          </w:p>
        </w:tc>
        <w:tc>
          <w:tcPr>
            <w:tcW w:w="860" w:type="dxa"/>
            <w:tcBorders>
              <w:left w:val="outset" w:sz="6" w:space="0" w:color="auto"/>
              <w:right w:val="outset" w:sz="6" w:space="0" w:color="auto"/>
            </w:tcBorders>
            <w:shd w:val="clear" w:color="auto" w:fill="auto"/>
            <w:vAlign w:val="center"/>
          </w:tcPr>
          <w:p w:rsidR="00217B90" w:rsidRPr="00DF0915" w:rsidRDefault="00217B90" w:rsidP="00570522">
            <w:pPr>
              <w:tabs>
                <w:tab w:val="center" w:pos="4680"/>
                <w:tab w:val="right" w:pos="9000"/>
              </w:tabs>
              <w:jc w:val="center"/>
              <w:rPr>
                <w:rFonts w:ascii="Arial" w:hAnsi="Arial" w:cs="Arial"/>
              </w:rPr>
            </w:pPr>
            <w:r w:rsidRPr="00DF0915">
              <w:rPr>
                <w:rFonts w:ascii="Arial" w:hAnsi="Arial" w:cs="Arial"/>
              </w:rPr>
              <w:t xml:space="preserve">20 / </w:t>
            </w:r>
            <w:r>
              <w:rPr>
                <w:rFonts w:ascii="Arial" w:hAnsi="Arial" w:cs="Arial"/>
              </w:rPr>
              <w:t>***</w:t>
            </w:r>
          </w:p>
        </w:tc>
        <w:tc>
          <w:tcPr>
            <w:tcW w:w="860" w:type="dxa"/>
            <w:tcBorders>
              <w:left w:val="outset" w:sz="6" w:space="0" w:color="auto"/>
            </w:tcBorders>
            <w:shd w:val="clear" w:color="auto" w:fill="auto"/>
            <w:vAlign w:val="center"/>
          </w:tcPr>
          <w:p w:rsidR="00217B90" w:rsidRDefault="00217B90" w:rsidP="00570522">
            <w:pPr>
              <w:tabs>
                <w:tab w:val="center" w:pos="4680"/>
                <w:tab w:val="right" w:pos="9000"/>
              </w:tabs>
              <w:jc w:val="center"/>
              <w:rPr>
                <w:rFonts w:ascii="Arial" w:hAnsi="Arial" w:cs="Arial"/>
              </w:rPr>
            </w:pPr>
            <w:r w:rsidRPr="00181BF4">
              <w:rPr>
                <w:rFonts w:ascii="Arial" w:hAnsi="Arial" w:cs="Arial"/>
              </w:rPr>
              <w:t>20,7</w:t>
            </w:r>
            <w:r>
              <w:rPr>
                <w:rFonts w:ascii="Arial" w:hAnsi="Arial" w:cs="Arial"/>
              </w:rPr>
              <w:t>/</w:t>
            </w:r>
          </w:p>
          <w:p w:rsidR="00217B90" w:rsidRPr="00DF0915" w:rsidRDefault="00217B90" w:rsidP="00570522">
            <w:pPr>
              <w:tabs>
                <w:tab w:val="center" w:pos="4680"/>
                <w:tab w:val="right" w:pos="9000"/>
              </w:tabs>
              <w:jc w:val="center"/>
              <w:rPr>
                <w:rFonts w:ascii="Arial" w:hAnsi="Arial" w:cs="Arial"/>
              </w:rPr>
            </w:pPr>
            <w:r>
              <w:rPr>
                <w:rFonts w:ascii="Arial" w:hAnsi="Arial" w:cs="Arial"/>
              </w:rPr>
              <w:t>***</w:t>
            </w:r>
          </w:p>
        </w:tc>
        <w:tc>
          <w:tcPr>
            <w:tcW w:w="950" w:type="dxa"/>
            <w:tcBorders>
              <w:left w:val="outset" w:sz="6" w:space="0" w:color="auto"/>
            </w:tcBorders>
            <w:vAlign w:val="center"/>
          </w:tcPr>
          <w:p w:rsidR="00217B90" w:rsidRDefault="00217B90" w:rsidP="00570522">
            <w:pPr>
              <w:tabs>
                <w:tab w:val="center" w:pos="4680"/>
                <w:tab w:val="right" w:pos="9000"/>
              </w:tabs>
              <w:jc w:val="center"/>
              <w:rPr>
                <w:rFonts w:ascii="Arial" w:hAnsi="Arial" w:cs="Arial"/>
              </w:rPr>
            </w:pPr>
            <w:r w:rsidRPr="00181BF4">
              <w:rPr>
                <w:rFonts w:ascii="Arial" w:hAnsi="Arial" w:cs="Arial"/>
              </w:rPr>
              <w:t>21,04/</w:t>
            </w:r>
          </w:p>
          <w:p w:rsidR="00217B90" w:rsidRPr="00DF0915" w:rsidRDefault="00217B90" w:rsidP="00570522">
            <w:pPr>
              <w:tabs>
                <w:tab w:val="center" w:pos="4680"/>
                <w:tab w:val="right" w:pos="9000"/>
              </w:tabs>
              <w:jc w:val="center"/>
              <w:rPr>
                <w:rFonts w:ascii="Arial" w:hAnsi="Arial" w:cs="Arial"/>
              </w:rPr>
            </w:pPr>
            <w:r w:rsidRPr="00181BF4">
              <w:rPr>
                <w:rFonts w:ascii="Arial" w:hAnsi="Arial" w:cs="Arial"/>
              </w:rPr>
              <w:t>21,97</w:t>
            </w:r>
          </w:p>
        </w:tc>
        <w:tc>
          <w:tcPr>
            <w:tcW w:w="770" w:type="dxa"/>
            <w:tcBorders>
              <w:left w:val="outset" w:sz="6" w:space="0" w:color="auto"/>
              <w:right w:val="outset" w:sz="6" w:space="0" w:color="auto"/>
            </w:tcBorders>
            <w:vAlign w:val="center"/>
          </w:tcPr>
          <w:p w:rsidR="00217B90" w:rsidRDefault="00217B90" w:rsidP="00570522">
            <w:pPr>
              <w:jc w:val="center"/>
              <w:rPr>
                <w:rFonts w:ascii="Arial" w:hAnsi="Arial" w:cs="Arial"/>
              </w:rPr>
            </w:pPr>
            <w:r w:rsidRPr="00F8672C">
              <w:rPr>
                <w:rFonts w:ascii="Arial" w:hAnsi="Arial" w:cs="Arial"/>
              </w:rPr>
              <w:t>***/</w:t>
            </w:r>
          </w:p>
          <w:p w:rsidR="00217B90" w:rsidRDefault="00217B90" w:rsidP="00570522">
            <w:pPr>
              <w:jc w:val="center"/>
            </w:pPr>
            <w:r w:rsidRPr="00F8672C">
              <w:rPr>
                <w:rFonts w:ascii="Arial" w:hAnsi="Arial" w:cs="Arial"/>
              </w:rPr>
              <w:t>***</w:t>
            </w:r>
          </w:p>
        </w:tc>
        <w:tc>
          <w:tcPr>
            <w:tcW w:w="806" w:type="dxa"/>
            <w:tcBorders>
              <w:left w:val="outset" w:sz="6" w:space="0" w:color="auto"/>
            </w:tcBorders>
            <w:vAlign w:val="center"/>
          </w:tcPr>
          <w:p w:rsidR="00217B90" w:rsidRDefault="00217B90" w:rsidP="00570522">
            <w:pPr>
              <w:jc w:val="center"/>
            </w:pPr>
            <w:r>
              <w:t>***/</w:t>
            </w:r>
          </w:p>
          <w:p w:rsidR="00217B90" w:rsidRDefault="00217B90" w:rsidP="00570522">
            <w:pPr>
              <w:jc w:val="center"/>
            </w:pPr>
            <w:r>
              <w:t>***</w:t>
            </w:r>
          </w:p>
        </w:tc>
        <w:tc>
          <w:tcPr>
            <w:tcW w:w="824" w:type="dxa"/>
            <w:tcBorders>
              <w:left w:val="outset" w:sz="6" w:space="0" w:color="auto"/>
            </w:tcBorders>
          </w:tcPr>
          <w:p w:rsidR="00217B90" w:rsidRDefault="00217B90" w:rsidP="00570522">
            <w:pPr>
              <w:jc w:val="center"/>
            </w:pPr>
            <w:r>
              <w:t>***/</w:t>
            </w:r>
          </w:p>
          <w:p w:rsidR="00217B90" w:rsidRDefault="00217B90" w:rsidP="00570522">
            <w:pPr>
              <w:jc w:val="center"/>
            </w:pPr>
            <w:r>
              <w:t>***</w:t>
            </w:r>
          </w:p>
        </w:tc>
        <w:tc>
          <w:tcPr>
            <w:tcW w:w="804" w:type="dxa"/>
            <w:tcBorders>
              <w:left w:val="outset" w:sz="6" w:space="0" w:color="auto"/>
            </w:tcBorders>
          </w:tcPr>
          <w:p w:rsidR="00217B90" w:rsidRDefault="00217B90" w:rsidP="00570522">
            <w:pPr>
              <w:jc w:val="center"/>
            </w:pPr>
            <w:r>
              <w:t>21.57/23.4</w:t>
            </w:r>
          </w:p>
        </w:tc>
      </w:tr>
      <w:tr w:rsidR="00217B90" w:rsidRPr="00DF0915" w:rsidTr="00217B90">
        <w:trPr>
          <w:tblCellSpacing w:w="20" w:type="dxa"/>
          <w:jc w:val="center"/>
        </w:trPr>
        <w:tc>
          <w:tcPr>
            <w:tcW w:w="1185" w:type="dxa"/>
            <w:vMerge/>
            <w:shd w:val="clear" w:color="auto" w:fill="auto"/>
            <w:vAlign w:val="center"/>
          </w:tcPr>
          <w:p w:rsidR="00217B90" w:rsidRPr="00DF0915" w:rsidRDefault="00217B90" w:rsidP="00DF0915">
            <w:pPr>
              <w:jc w:val="center"/>
              <w:rPr>
                <w:rFonts w:ascii="Arial" w:hAnsi="Arial" w:cs="Arial"/>
              </w:rPr>
            </w:pPr>
          </w:p>
        </w:tc>
        <w:tc>
          <w:tcPr>
            <w:tcW w:w="1400" w:type="dxa"/>
            <w:shd w:val="clear" w:color="auto" w:fill="auto"/>
            <w:vAlign w:val="center"/>
          </w:tcPr>
          <w:p w:rsidR="00217B90" w:rsidRPr="00DF0915" w:rsidRDefault="00217B90" w:rsidP="00DF0915">
            <w:pPr>
              <w:jc w:val="center"/>
              <w:rPr>
                <w:rFonts w:ascii="Arial" w:hAnsi="Arial" w:cs="Arial"/>
              </w:rPr>
            </w:pPr>
            <w:r w:rsidRPr="00DF0915">
              <w:rPr>
                <w:rFonts w:ascii="Arial" w:hAnsi="Arial" w:cs="Arial"/>
              </w:rPr>
              <w:t>CT4-Trafic</w:t>
            </w:r>
          </w:p>
        </w:tc>
        <w:tc>
          <w:tcPr>
            <w:tcW w:w="770" w:type="dxa"/>
            <w:shd w:val="clear" w:color="auto" w:fill="auto"/>
            <w:vAlign w:val="center"/>
          </w:tcPr>
          <w:p w:rsidR="00217B90" w:rsidRPr="00DF0915" w:rsidRDefault="00217B90" w:rsidP="00570522">
            <w:pPr>
              <w:jc w:val="center"/>
              <w:rPr>
                <w:rFonts w:ascii="Arial" w:hAnsi="Arial" w:cs="Arial"/>
              </w:rPr>
            </w:pPr>
            <w:r>
              <w:rPr>
                <w:rFonts w:ascii="Arial" w:hAnsi="Arial" w:cs="Arial"/>
              </w:rPr>
              <w:t>***</w:t>
            </w:r>
            <w:r w:rsidRPr="00DF0915">
              <w:rPr>
                <w:rFonts w:ascii="Arial" w:hAnsi="Arial" w:cs="Arial"/>
              </w:rPr>
              <w:t xml:space="preserve"> / </w:t>
            </w:r>
            <w:r>
              <w:rPr>
                <w:rFonts w:ascii="Arial" w:hAnsi="Arial" w:cs="Arial"/>
              </w:rPr>
              <w:t>**</w:t>
            </w:r>
          </w:p>
        </w:tc>
        <w:tc>
          <w:tcPr>
            <w:tcW w:w="770" w:type="dxa"/>
            <w:shd w:val="clear" w:color="auto" w:fill="auto"/>
            <w:vAlign w:val="center"/>
          </w:tcPr>
          <w:p w:rsidR="00217B90" w:rsidRPr="00DF0915" w:rsidRDefault="00217B90" w:rsidP="00570522">
            <w:pPr>
              <w:jc w:val="center"/>
              <w:rPr>
                <w:rFonts w:ascii="Arial" w:hAnsi="Arial" w:cs="Arial"/>
              </w:rPr>
            </w:pPr>
            <w:r w:rsidRPr="00DF0915">
              <w:rPr>
                <w:rFonts w:ascii="Arial" w:hAnsi="Arial" w:cs="Arial"/>
              </w:rPr>
              <w:t>29 /</w:t>
            </w:r>
            <w:r>
              <w:rPr>
                <w:rFonts w:ascii="Arial" w:hAnsi="Arial" w:cs="Arial"/>
              </w:rPr>
              <w:t xml:space="preserve"> ***</w:t>
            </w:r>
          </w:p>
        </w:tc>
        <w:tc>
          <w:tcPr>
            <w:tcW w:w="860" w:type="dxa"/>
            <w:tcBorders>
              <w:right w:val="outset" w:sz="6" w:space="0" w:color="auto"/>
            </w:tcBorders>
            <w:shd w:val="clear" w:color="auto" w:fill="auto"/>
            <w:vAlign w:val="center"/>
          </w:tcPr>
          <w:p w:rsidR="00217B90" w:rsidRDefault="00217B90" w:rsidP="00570522">
            <w:pPr>
              <w:jc w:val="center"/>
              <w:rPr>
                <w:rFonts w:ascii="Arial" w:hAnsi="Arial" w:cs="Arial"/>
              </w:rPr>
            </w:pPr>
            <w:r>
              <w:rPr>
                <w:rFonts w:ascii="Arial" w:hAnsi="Arial" w:cs="Arial"/>
              </w:rPr>
              <w:t>***</w:t>
            </w:r>
            <w:r w:rsidRPr="00DF0915">
              <w:rPr>
                <w:rFonts w:ascii="Arial" w:hAnsi="Arial" w:cs="Arial"/>
              </w:rPr>
              <w:t>/</w:t>
            </w:r>
          </w:p>
          <w:p w:rsidR="00217B90" w:rsidRPr="00DF0915" w:rsidRDefault="00217B90" w:rsidP="00570522">
            <w:pPr>
              <w:jc w:val="center"/>
              <w:rPr>
                <w:rFonts w:ascii="Arial" w:hAnsi="Arial" w:cs="Arial"/>
              </w:rPr>
            </w:pPr>
            <w:r w:rsidRPr="00DF0915">
              <w:rPr>
                <w:rFonts w:ascii="Arial" w:hAnsi="Arial" w:cs="Arial"/>
              </w:rPr>
              <w:t>20,5</w:t>
            </w:r>
          </w:p>
        </w:tc>
        <w:tc>
          <w:tcPr>
            <w:tcW w:w="860" w:type="dxa"/>
            <w:tcBorders>
              <w:left w:val="outset" w:sz="6" w:space="0" w:color="auto"/>
              <w:right w:val="outset" w:sz="6" w:space="0" w:color="auto"/>
            </w:tcBorders>
            <w:shd w:val="clear" w:color="auto" w:fill="auto"/>
            <w:vAlign w:val="center"/>
          </w:tcPr>
          <w:p w:rsidR="00217B90" w:rsidRPr="00DF0915" w:rsidRDefault="00217B90" w:rsidP="00570522">
            <w:pPr>
              <w:tabs>
                <w:tab w:val="center" w:pos="4680"/>
                <w:tab w:val="right" w:pos="9000"/>
              </w:tabs>
              <w:jc w:val="center"/>
              <w:rPr>
                <w:rFonts w:ascii="Arial" w:hAnsi="Arial" w:cs="Arial"/>
              </w:rPr>
            </w:pPr>
            <w:r w:rsidRPr="00DF0915">
              <w:rPr>
                <w:rFonts w:ascii="Arial" w:hAnsi="Arial" w:cs="Arial"/>
              </w:rPr>
              <w:t xml:space="preserve">20 / </w:t>
            </w:r>
            <w:r>
              <w:rPr>
                <w:rFonts w:ascii="Arial" w:hAnsi="Arial" w:cs="Arial"/>
              </w:rPr>
              <w:t>***</w:t>
            </w:r>
          </w:p>
        </w:tc>
        <w:tc>
          <w:tcPr>
            <w:tcW w:w="860" w:type="dxa"/>
            <w:tcBorders>
              <w:left w:val="outset" w:sz="6" w:space="0" w:color="auto"/>
            </w:tcBorders>
            <w:shd w:val="clear" w:color="auto" w:fill="auto"/>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p>
          <w:p w:rsidR="00217B90" w:rsidRPr="00DF0915" w:rsidRDefault="00217B90" w:rsidP="00570522">
            <w:pPr>
              <w:tabs>
                <w:tab w:val="center" w:pos="4680"/>
                <w:tab w:val="right" w:pos="9000"/>
              </w:tabs>
              <w:jc w:val="center"/>
              <w:rPr>
                <w:rFonts w:ascii="Arial" w:hAnsi="Arial" w:cs="Arial"/>
              </w:rPr>
            </w:pPr>
            <w:r>
              <w:rPr>
                <w:rFonts w:ascii="Arial" w:hAnsi="Arial" w:cs="Arial"/>
              </w:rPr>
              <w:t>***</w:t>
            </w:r>
          </w:p>
        </w:tc>
        <w:tc>
          <w:tcPr>
            <w:tcW w:w="950" w:type="dxa"/>
            <w:tcBorders>
              <w:left w:val="outset" w:sz="6" w:space="0" w:color="auto"/>
            </w:tcBorders>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p>
          <w:p w:rsidR="00217B90" w:rsidRPr="00DF0915" w:rsidRDefault="00217B90" w:rsidP="00570522">
            <w:pPr>
              <w:tabs>
                <w:tab w:val="center" w:pos="4680"/>
                <w:tab w:val="right" w:pos="9000"/>
              </w:tabs>
              <w:jc w:val="center"/>
              <w:rPr>
                <w:rFonts w:ascii="Arial" w:hAnsi="Arial" w:cs="Arial"/>
              </w:rPr>
            </w:pPr>
            <w:r>
              <w:rPr>
                <w:rFonts w:ascii="Arial" w:hAnsi="Arial" w:cs="Arial"/>
              </w:rPr>
              <w:t>23.41</w:t>
            </w:r>
          </w:p>
        </w:tc>
        <w:tc>
          <w:tcPr>
            <w:tcW w:w="770" w:type="dxa"/>
            <w:tcBorders>
              <w:left w:val="outset" w:sz="6" w:space="0" w:color="auto"/>
              <w:right w:val="outset" w:sz="6" w:space="0" w:color="auto"/>
            </w:tcBorders>
            <w:vAlign w:val="center"/>
          </w:tcPr>
          <w:p w:rsidR="00217B90" w:rsidRDefault="00217B90" w:rsidP="00570522">
            <w:pPr>
              <w:jc w:val="center"/>
              <w:rPr>
                <w:rFonts w:ascii="Arial" w:hAnsi="Arial" w:cs="Arial"/>
              </w:rPr>
            </w:pPr>
            <w:r w:rsidRPr="00F8672C">
              <w:rPr>
                <w:rFonts w:ascii="Arial" w:hAnsi="Arial" w:cs="Arial"/>
              </w:rPr>
              <w:t>***/</w:t>
            </w:r>
          </w:p>
          <w:p w:rsidR="00217B90" w:rsidRDefault="00217B90" w:rsidP="00570522">
            <w:pPr>
              <w:jc w:val="center"/>
            </w:pPr>
            <w:r w:rsidRPr="00F8672C">
              <w:rPr>
                <w:rFonts w:ascii="Arial" w:hAnsi="Arial" w:cs="Arial"/>
              </w:rPr>
              <w:t>***</w:t>
            </w:r>
          </w:p>
        </w:tc>
        <w:tc>
          <w:tcPr>
            <w:tcW w:w="806" w:type="dxa"/>
            <w:tcBorders>
              <w:left w:val="outset" w:sz="6" w:space="0" w:color="auto"/>
            </w:tcBorders>
            <w:vAlign w:val="center"/>
          </w:tcPr>
          <w:p w:rsidR="00217B90" w:rsidRDefault="00217B90" w:rsidP="00570522">
            <w:pPr>
              <w:jc w:val="center"/>
            </w:pPr>
            <w:r>
              <w:t>***/</w:t>
            </w:r>
          </w:p>
          <w:p w:rsidR="00217B90" w:rsidRDefault="00217B90" w:rsidP="00570522">
            <w:pPr>
              <w:jc w:val="center"/>
            </w:pPr>
            <w:r>
              <w:t>22,96</w:t>
            </w:r>
          </w:p>
        </w:tc>
        <w:tc>
          <w:tcPr>
            <w:tcW w:w="824" w:type="dxa"/>
            <w:tcBorders>
              <w:left w:val="outset" w:sz="6" w:space="0" w:color="auto"/>
            </w:tcBorders>
          </w:tcPr>
          <w:p w:rsidR="00217B90" w:rsidRDefault="00217B90" w:rsidP="00570522">
            <w:pPr>
              <w:jc w:val="center"/>
            </w:pPr>
            <w:r>
              <w:t>***/</w:t>
            </w:r>
          </w:p>
          <w:p w:rsidR="00217B90" w:rsidRDefault="00217B90" w:rsidP="00331302">
            <w:pPr>
              <w:jc w:val="center"/>
            </w:pPr>
            <w:r>
              <w:t>18,53</w:t>
            </w:r>
          </w:p>
        </w:tc>
        <w:tc>
          <w:tcPr>
            <w:tcW w:w="804" w:type="dxa"/>
            <w:tcBorders>
              <w:left w:val="outset" w:sz="6" w:space="0" w:color="auto"/>
            </w:tcBorders>
          </w:tcPr>
          <w:p w:rsidR="00217B90" w:rsidRDefault="00217B90" w:rsidP="00570522">
            <w:pPr>
              <w:jc w:val="center"/>
            </w:pPr>
            <w:r>
              <w:t>18.12/20.6</w:t>
            </w:r>
          </w:p>
        </w:tc>
      </w:tr>
      <w:tr w:rsidR="00217B90" w:rsidRPr="00DF0915" w:rsidTr="00217B90">
        <w:trPr>
          <w:tblCellSpacing w:w="20" w:type="dxa"/>
          <w:jc w:val="center"/>
        </w:trPr>
        <w:tc>
          <w:tcPr>
            <w:tcW w:w="1185" w:type="dxa"/>
            <w:vMerge/>
            <w:shd w:val="clear" w:color="auto" w:fill="auto"/>
            <w:vAlign w:val="center"/>
          </w:tcPr>
          <w:p w:rsidR="00217B90" w:rsidRPr="00DF0915" w:rsidRDefault="00217B90" w:rsidP="00DF0915">
            <w:pPr>
              <w:jc w:val="center"/>
              <w:rPr>
                <w:rFonts w:ascii="Arial" w:hAnsi="Arial" w:cs="Arial"/>
              </w:rPr>
            </w:pPr>
          </w:p>
        </w:tc>
        <w:tc>
          <w:tcPr>
            <w:tcW w:w="1400" w:type="dxa"/>
            <w:shd w:val="clear" w:color="auto" w:fill="auto"/>
            <w:vAlign w:val="center"/>
          </w:tcPr>
          <w:p w:rsidR="00217B90" w:rsidRPr="00DF0915" w:rsidRDefault="00217B90" w:rsidP="00DF0915">
            <w:pPr>
              <w:jc w:val="center"/>
              <w:rPr>
                <w:rFonts w:ascii="Arial" w:hAnsi="Arial" w:cs="Arial"/>
              </w:rPr>
            </w:pPr>
            <w:r w:rsidRPr="00DF0915">
              <w:rPr>
                <w:rFonts w:ascii="Arial" w:hAnsi="Arial" w:cs="Arial"/>
              </w:rPr>
              <w:t>CT5-Industrial</w:t>
            </w:r>
          </w:p>
        </w:tc>
        <w:tc>
          <w:tcPr>
            <w:tcW w:w="770" w:type="dxa"/>
            <w:shd w:val="clear" w:color="auto" w:fill="auto"/>
            <w:vAlign w:val="center"/>
          </w:tcPr>
          <w:p w:rsidR="00217B90" w:rsidRPr="00DF0915" w:rsidRDefault="00217B90" w:rsidP="00570522">
            <w:pPr>
              <w:jc w:val="center"/>
              <w:rPr>
                <w:rFonts w:ascii="Arial" w:hAnsi="Arial" w:cs="Arial"/>
              </w:rPr>
            </w:pPr>
            <w:r>
              <w:rPr>
                <w:rFonts w:ascii="Arial" w:hAnsi="Arial" w:cs="Arial"/>
              </w:rPr>
              <w:t>31</w:t>
            </w:r>
            <w:r w:rsidRPr="00DF0915">
              <w:rPr>
                <w:rFonts w:ascii="Arial" w:hAnsi="Arial" w:cs="Arial"/>
              </w:rPr>
              <w:t xml:space="preserve"> / 26</w:t>
            </w:r>
          </w:p>
        </w:tc>
        <w:tc>
          <w:tcPr>
            <w:tcW w:w="770" w:type="dxa"/>
            <w:shd w:val="clear" w:color="auto" w:fill="auto"/>
            <w:vAlign w:val="center"/>
          </w:tcPr>
          <w:p w:rsidR="00217B90" w:rsidRPr="00DF0915" w:rsidRDefault="00217B90" w:rsidP="00570522">
            <w:pPr>
              <w:jc w:val="center"/>
              <w:rPr>
                <w:rFonts w:ascii="Arial" w:hAnsi="Arial" w:cs="Arial"/>
              </w:rPr>
            </w:pPr>
            <w:r w:rsidRPr="00DF0915">
              <w:rPr>
                <w:rFonts w:ascii="Arial" w:hAnsi="Arial" w:cs="Arial"/>
              </w:rPr>
              <w:t>20 / 22</w:t>
            </w:r>
          </w:p>
        </w:tc>
        <w:tc>
          <w:tcPr>
            <w:tcW w:w="860" w:type="dxa"/>
            <w:tcBorders>
              <w:right w:val="outset" w:sz="6" w:space="0" w:color="auto"/>
            </w:tcBorders>
            <w:shd w:val="clear" w:color="auto" w:fill="auto"/>
            <w:vAlign w:val="center"/>
          </w:tcPr>
          <w:p w:rsidR="00217B90" w:rsidRDefault="00217B90" w:rsidP="00570522">
            <w:pPr>
              <w:jc w:val="center"/>
              <w:rPr>
                <w:rFonts w:ascii="Arial" w:hAnsi="Arial" w:cs="Arial"/>
              </w:rPr>
            </w:pPr>
            <w:r>
              <w:rPr>
                <w:rFonts w:ascii="Arial" w:hAnsi="Arial" w:cs="Arial"/>
              </w:rPr>
              <w:t>***</w:t>
            </w:r>
            <w:r w:rsidRPr="00DF0915">
              <w:rPr>
                <w:rFonts w:ascii="Arial" w:hAnsi="Arial" w:cs="Arial"/>
              </w:rPr>
              <w:t>/</w:t>
            </w:r>
          </w:p>
          <w:p w:rsidR="00217B90" w:rsidRPr="00DF0915" w:rsidRDefault="00217B90" w:rsidP="00570522">
            <w:pPr>
              <w:jc w:val="center"/>
              <w:rPr>
                <w:rFonts w:ascii="Arial" w:hAnsi="Arial" w:cs="Arial"/>
              </w:rPr>
            </w:pPr>
            <w:r>
              <w:rPr>
                <w:rFonts w:ascii="Arial" w:hAnsi="Arial" w:cs="Arial"/>
              </w:rPr>
              <w:t>***</w:t>
            </w:r>
          </w:p>
        </w:tc>
        <w:tc>
          <w:tcPr>
            <w:tcW w:w="860" w:type="dxa"/>
            <w:tcBorders>
              <w:left w:val="outset" w:sz="6" w:space="0" w:color="auto"/>
              <w:right w:val="outset" w:sz="6" w:space="0" w:color="auto"/>
            </w:tcBorders>
            <w:shd w:val="clear" w:color="auto" w:fill="auto"/>
            <w:vAlign w:val="center"/>
          </w:tcPr>
          <w:p w:rsidR="00217B90" w:rsidRPr="00DF0915" w:rsidRDefault="00217B90" w:rsidP="00570522">
            <w:pPr>
              <w:tabs>
                <w:tab w:val="center" w:pos="4680"/>
                <w:tab w:val="right" w:pos="9000"/>
              </w:tabs>
              <w:jc w:val="center"/>
              <w:rPr>
                <w:rFonts w:ascii="Arial" w:hAnsi="Arial" w:cs="Arial"/>
              </w:rPr>
            </w:pPr>
            <w:r w:rsidRPr="00DF0915">
              <w:rPr>
                <w:rFonts w:ascii="Arial" w:hAnsi="Arial" w:cs="Arial"/>
              </w:rPr>
              <w:t xml:space="preserve">29 / </w:t>
            </w:r>
            <w:r>
              <w:rPr>
                <w:rFonts w:ascii="Arial" w:hAnsi="Arial" w:cs="Arial"/>
              </w:rPr>
              <w:t>***</w:t>
            </w:r>
          </w:p>
        </w:tc>
        <w:tc>
          <w:tcPr>
            <w:tcW w:w="860" w:type="dxa"/>
            <w:tcBorders>
              <w:left w:val="outset" w:sz="6" w:space="0" w:color="auto"/>
            </w:tcBorders>
            <w:shd w:val="clear" w:color="auto" w:fill="auto"/>
            <w:vAlign w:val="center"/>
          </w:tcPr>
          <w:p w:rsidR="00217B90" w:rsidRPr="00DF0915" w:rsidRDefault="00217B90" w:rsidP="00570522">
            <w:pPr>
              <w:tabs>
                <w:tab w:val="center" w:pos="4680"/>
                <w:tab w:val="right" w:pos="9000"/>
              </w:tabs>
              <w:jc w:val="center"/>
              <w:rPr>
                <w:rFonts w:ascii="Arial" w:hAnsi="Arial" w:cs="Arial"/>
              </w:rPr>
            </w:pPr>
            <w:r>
              <w:rPr>
                <w:rFonts w:ascii="Arial" w:hAnsi="Arial" w:cs="Arial"/>
              </w:rPr>
              <w:t>32,17/***</w:t>
            </w:r>
          </w:p>
        </w:tc>
        <w:tc>
          <w:tcPr>
            <w:tcW w:w="950" w:type="dxa"/>
            <w:tcBorders>
              <w:left w:val="outset" w:sz="6" w:space="0" w:color="auto"/>
            </w:tcBorders>
            <w:vAlign w:val="center"/>
          </w:tcPr>
          <w:p w:rsidR="00217B90" w:rsidRPr="000876C4" w:rsidRDefault="00217B90" w:rsidP="00570522">
            <w:pPr>
              <w:tabs>
                <w:tab w:val="center" w:pos="4680"/>
                <w:tab w:val="right" w:pos="9000"/>
              </w:tabs>
              <w:jc w:val="center"/>
              <w:rPr>
                <w:rFonts w:ascii="Arial" w:hAnsi="Arial" w:cs="Arial"/>
              </w:rPr>
            </w:pPr>
            <w:r w:rsidRPr="000876C4">
              <w:rPr>
                <w:rFonts w:ascii="Arial" w:hAnsi="Arial" w:cs="Arial"/>
              </w:rPr>
              <w:t>***/</w:t>
            </w:r>
          </w:p>
          <w:p w:rsidR="00217B90" w:rsidRPr="00570522" w:rsidRDefault="00217B90" w:rsidP="00570522">
            <w:pPr>
              <w:tabs>
                <w:tab w:val="center" w:pos="4680"/>
                <w:tab w:val="right" w:pos="9000"/>
              </w:tabs>
              <w:jc w:val="center"/>
              <w:rPr>
                <w:rFonts w:ascii="Arial" w:hAnsi="Arial" w:cs="Arial"/>
                <w:color w:val="FF0000"/>
              </w:rPr>
            </w:pPr>
            <w:r w:rsidRPr="000876C4">
              <w:rPr>
                <w:rFonts w:ascii="Arial" w:hAnsi="Arial" w:cs="Arial"/>
              </w:rPr>
              <w:t>29,11</w:t>
            </w:r>
          </w:p>
        </w:tc>
        <w:tc>
          <w:tcPr>
            <w:tcW w:w="770" w:type="dxa"/>
            <w:tcBorders>
              <w:left w:val="outset" w:sz="6" w:space="0" w:color="auto"/>
              <w:right w:val="outset" w:sz="6" w:space="0" w:color="auto"/>
            </w:tcBorders>
            <w:vAlign w:val="center"/>
          </w:tcPr>
          <w:p w:rsidR="00217B90" w:rsidRDefault="00217B90" w:rsidP="00570522">
            <w:pPr>
              <w:jc w:val="center"/>
              <w:rPr>
                <w:rFonts w:ascii="Arial" w:hAnsi="Arial" w:cs="Arial"/>
              </w:rPr>
            </w:pPr>
            <w:r w:rsidRPr="00F8672C">
              <w:rPr>
                <w:rFonts w:ascii="Arial" w:hAnsi="Arial" w:cs="Arial"/>
              </w:rPr>
              <w:t>***/</w:t>
            </w:r>
          </w:p>
          <w:p w:rsidR="00217B90" w:rsidRDefault="00217B90" w:rsidP="00570522">
            <w:pPr>
              <w:jc w:val="center"/>
            </w:pPr>
            <w:r w:rsidRPr="00F8672C">
              <w:rPr>
                <w:rFonts w:ascii="Arial" w:hAnsi="Arial" w:cs="Arial"/>
              </w:rPr>
              <w:t>***</w:t>
            </w:r>
          </w:p>
        </w:tc>
        <w:tc>
          <w:tcPr>
            <w:tcW w:w="806" w:type="dxa"/>
            <w:tcBorders>
              <w:left w:val="outset" w:sz="6" w:space="0" w:color="auto"/>
            </w:tcBorders>
            <w:vAlign w:val="center"/>
          </w:tcPr>
          <w:p w:rsidR="00217B90" w:rsidRDefault="00217B90" w:rsidP="00570522">
            <w:pPr>
              <w:jc w:val="center"/>
            </w:pPr>
            <w:r>
              <w:t>***/</w:t>
            </w:r>
          </w:p>
          <w:p w:rsidR="00217B90" w:rsidRDefault="00217B90" w:rsidP="00570522">
            <w:pPr>
              <w:jc w:val="center"/>
            </w:pPr>
            <w:r>
              <w:t>***</w:t>
            </w:r>
          </w:p>
        </w:tc>
        <w:tc>
          <w:tcPr>
            <w:tcW w:w="824" w:type="dxa"/>
            <w:tcBorders>
              <w:left w:val="outset" w:sz="6" w:space="0" w:color="auto"/>
            </w:tcBorders>
          </w:tcPr>
          <w:p w:rsidR="00217B90" w:rsidRDefault="00217B90" w:rsidP="00570522">
            <w:pPr>
              <w:jc w:val="center"/>
            </w:pPr>
            <w:r>
              <w:t>***/</w:t>
            </w:r>
          </w:p>
          <w:p w:rsidR="00217B90" w:rsidRDefault="00217B90" w:rsidP="00570522">
            <w:pPr>
              <w:jc w:val="center"/>
            </w:pPr>
            <w:r>
              <w:t>***</w:t>
            </w:r>
          </w:p>
        </w:tc>
        <w:tc>
          <w:tcPr>
            <w:tcW w:w="804" w:type="dxa"/>
            <w:tcBorders>
              <w:left w:val="outset" w:sz="6" w:space="0" w:color="auto"/>
            </w:tcBorders>
          </w:tcPr>
          <w:p w:rsidR="00217B90" w:rsidRDefault="00217B90" w:rsidP="00570522">
            <w:pPr>
              <w:jc w:val="center"/>
            </w:pPr>
            <w:r>
              <w:t>18.26/23.95</w:t>
            </w:r>
          </w:p>
        </w:tc>
      </w:tr>
      <w:tr w:rsidR="00217B90" w:rsidRPr="00DF0915" w:rsidTr="00217B90">
        <w:trPr>
          <w:tblCellSpacing w:w="20" w:type="dxa"/>
          <w:jc w:val="center"/>
        </w:trPr>
        <w:tc>
          <w:tcPr>
            <w:tcW w:w="1185" w:type="dxa"/>
            <w:vMerge/>
            <w:shd w:val="clear" w:color="auto" w:fill="auto"/>
            <w:vAlign w:val="center"/>
          </w:tcPr>
          <w:p w:rsidR="00217B90" w:rsidRPr="00DF0915" w:rsidRDefault="00217B90" w:rsidP="00DF0915">
            <w:pPr>
              <w:jc w:val="center"/>
              <w:rPr>
                <w:rFonts w:ascii="Arial" w:hAnsi="Arial" w:cs="Arial"/>
              </w:rPr>
            </w:pPr>
          </w:p>
        </w:tc>
        <w:tc>
          <w:tcPr>
            <w:tcW w:w="1400" w:type="dxa"/>
            <w:shd w:val="clear" w:color="auto" w:fill="auto"/>
            <w:vAlign w:val="center"/>
          </w:tcPr>
          <w:p w:rsidR="00217B90" w:rsidRPr="00DF0915" w:rsidRDefault="00217B90" w:rsidP="00DF0915">
            <w:pPr>
              <w:jc w:val="center"/>
              <w:rPr>
                <w:rFonts w:ascii="Arial" w:hAnsi="Arial" w:cs="Arial"/>
              </w:rPr>
            </w:pPr>
            <w:r w:rsidRPr="00DF0915">
              <w:rPr>
                <w:rFonts w:ascii="Arial" w:hAnsi="Arial" w:cs="Arial"/>
              </w:rPr>
              <w:t>CT6-Industrial**</w:t>
            </w:r>
          </w:p>
        </w:tc>
        <w:tc>
          <w:tcPr>
            <w:tcW w:w="770" w:type="dxa"/>
            <w:shd w:val="clear" w:color="auto" w:fill="auto"/>
            <w:vAlign w:val="center"/>
          </w:tcPr>
          <w:p w:rsidR="00217B90" w:rsidRDefault="00217B90" w:rsidP="00570522">
            <w:pPr>
              <w:jc w:val="center"/>
              <w:rPr>
                <w:rFonts w:ascii="Arial" w:hAnsi="Arial" w:cs="Arial"/>
              </w:rPr>
            </w:pPr>
            <w:r>
              <w:rPr>
                <w:rFonts w:ascii="Arial" w:hAnsi="Arial" w:cs="Arial"/>
              </w:rPr>
              <w:t>***</w:t>
            </w:r>
            <w:r w:rsidRPr="00DF0915">
              <w:rPr>
                <w:rFonts w:ascii="Arial" w:hAnsi="Arial" w:cs="Arial"/>
              </w:rPr>
              <w:t xml:space="preserve"> /</w:t>
            </w:r>
          </w:p>
          <w:p w:rsidR="00217B90" w:rsidRPr="00DF0915" w:rsidRDefault="00217B90" w:rsidP="00570522">
            <w:pPr>
              <w:jc w:val="center"/>
              <w:rPr>
                <w:rFonts w:ascii="Arial" w:hAnsi="Arial" w:cs="Arial"/>
              </w:rPr>
            </w:pPr>
            <w:r>
              <w:rPr>
                <w:rFonts w:ascii="Arial" w:hAnsi="Arial" w:cs="Arial"/>
              </w:rPr>
              <w:t>*</w:t>
            </w:r>
          </w:p>
        </w:tc>
        <w:tc>
          <w:tcPr>
            <w:tcW w:w="770" w:type="dxa"/>
            <w:shd w:val="clear" w:color="auto" w:fill="auto"/>
            <w:vAlign w:val="center"/>
          </w:tcPr>
          <w:p w:rsidR="00217B90" w:rsidRPr="00DF0915" w:rsidRDefault="00217B90" w:rsidP="00570522">
            <w:pPr>
              <w:jc w:val="center"/>
              <w:rPr>
                <w:rFonts w:ascii="Arial" w:hAnsi="Arial" w:cs="Arial"/>
              </w:rPr>
            </w:pPr>
            <w:r w:rsidRPr="00DF0915">
              <w:rPr>
                <w:rFonts w:ascii="Arial" w:hAnsi="Arial" w:cs="Arial"/>
              </w:rPr>
              <w:t xml:space="preserve">24 / </w:t>
            </w:r>
            <w:r>
              <w:rPr>
                <w:rFonts w:ascii="Arial" w:hAnsi="Arial" w:cs="Arial"/>
              </w:rPr>
              <w:t xml:space="preserve"> *</w:t>
            </w:r>
          </w:p>
        </w:tc>
        <w:tc>
          <w:tcPr>
            <w:tcW w:w="860" w:type="dxa"/>
            <w:tcBorders>
              <w:right w:val="outset" w:sz="6" w:space="0" w:color="auto"/>
            </w:tcBorders>
            <w:shd w:val="clear" w:color="auto" w:fill="auto"/>
            <w:vAlign w:val="center"/>
          </w:tcPr>
          <w:p w:rsidR="00217B90" w:rsidRDefault="00217B90" w:rsidP="00570522">
            <w:pPr>
              <w:jc w:val="center"/>
              <w:rPr>
                <w:rFonts w:ascii="Arial" w:hAnsi="Arial" w:cs="Arial"/>
              </w:rPr>
            </w:pPr>
            <w:r w:rsidRPr="00DF0915">
              <w:rPr>
                <w:rFonts w:ascii="Arial" w:hAnsi="Arial" w:cs="Arial"/>
              </w:rPr>
              <w:t>28 /</w:t>
            </w:r>
          </w:p>
          <w:p w:rsidR="00217B90" w:rsidRPr="00DF0915" w:rsidRDefault="00217B90" w:rsidP="00570522">
            <w:pPr>
              <w:jc w:val="center"/>
              <w:rPr>
                <w:rFonts w:ascii="Arial" w:hAnsi="Arial" w:cs="Arial"/>
              </w:rPr>
            </w:pPr>
            <w:r>
              <w:rPr>
                <w:rFonts w:ascii="Arial" w:hAnsi="Arial" w:cs="Arial"/>
              </w:rPr>
              <w:t>*</w:t>
            </w:r>
          </w:p>
        </w:tc>
        <w:tc>
          <w:tcPr>
            <w:tcW w:w="860" w:type="dxa"/>
            <w:tcBorders>
              <w:left w:val="outset" w:sz="6" w:space="0" w:color="auto"/>
              <w:right w:val="outset" w:sz="6" w:space="0" w:color="auto"/>
            </w:tcBorders>
            <w:shd w:val="clear" w:color="auto" w:fill="auto"/>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r w:rsidRPr="00DF0915">
              <w:rPr>
                <w:rFonts w:ascii="Arial" w:hAnsi="Arial" w:cs="Arial"/>
              </w:rPr>
              <w:t xml:space="preserve"> /</w:t>
            </w:r>
          </w:p>
          <w:p w:rsidR="00217B90" w:rsidRPr="00DF0915" w:rsidRDefault="00217B90" w:rsidP="00570522">
            <w:pPr>
              <w:tabs>
                <w:tab w:val="center" w:pos="4680"/>
                <w:tab w:val="right" w:pos="9000"/>
              </w:tabs>
              <w:jc w:val="center"/>
              <w:rPr>
                <w:rFonts w:ascii="Arial" w:hAnsi="Arial" w:cs="Arial"/>
              </w:rPr>
            </w:pPr>
            <w:r>
              <w:rPr>
                <w:rFonts w:ascii="Arial" w:hAnsi="Arial" w:cs="Arial"/>
              </w:rPr>
              <w:t>*</w:t>
            </w:r>
          </w:p>
        </w:tc>
        <w:tc>
          <w:tcPr>
            <w:tcW w:w="860" w:type="dxa"/>
            <w:tcBorders>
              <w:left w:val="outset" w:sz="6" w:space="0" w:color="auto"/>
            </w:tcBorders>
            <w:shd w:val="clear" w:color="auto" w:fill="auto"/>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p>
          <w:p w:rsidR="00217B90" w:rsidRPr="00DF0915" w:rsidRDefault="00217B90" w:rsidP="00570522">
            <w:pPr>
              <w:tabs>
                <w:tab w:val="center" w:pos="4680"/>
                <w:tab w:val="right" w:pos="9000"/>
              </w:tabs>
              <w:jc w:val="center"/>
              <w:rPr>
                <w:rFonts w:ascii="Arial" w:hAnsi="Arial" w:cs="Arial"/>
              </w:rPr>
            </w:pPr>
            <w:r>
              <w:rPr>
                <w:rFonts w:ascii="Arial" w:hAnsi="Arial" w:cs="Arial"/>
              </w:rPr>
              <w:t>*</w:t>
            </w:r>
          </w:p>
        </w:tc>
        <w:tc>
          <w:tcPr>
            <w:tcW w:w="950" w:type="dxa"/>
            <w:tcBorders>
              <w:left w:val="outset" w:sz="6" w:space="0" w:color="auto"/>
            </w:tcBorders>
            <w:vAlign w:val="center"/>
          </w:tcPr>
          <w:p w:rsidR="00217B90" w:rsidRDefault="00217B90" w:rsidP="00570522">
            <w:pPr>
              <w:tabs>
                <w:tab w:val="center" w:pos="4680"/>
                <w:tab w:val="right" w:pos="9000"/>
              </w:tabs>
              <w:jc w:val="center"/>
              <w:rPr>
                <w:rFonts w:ascii="Arial" w:hAnsi="Arial" w:cs="Arial"/>
              </w:rPr>
            </w:pPr>
            <w:r>
              <w:rPr>
                <w:rFonts w:ascii="Arial" w:hAnsi="Arial" w:cs="Arial"/>
              </w:rPr>
              <w:t>25,32/</w:t>
            </w:r>
          </w:p>
          <w:p w:rsidR="00217B90" w:rsidRPr="00DF0915" w:rsidRDefault="00217B90" w:rsidP="00570522">
            <w:pPr>
              <w:tabs>
                <w:tab w:val="center" w:pos="4680"/>
                <w:tab w:val="right" w:pos="9000"/>
              </w:tabs>
              <w:jc w:val="center"/>
              <w:rPr>
                <w:rFonts w:ascii="Arial" w:hAnsi="Arial" w:cs="Arial"/>
              </w:rPr>
            </w:pPr>
            <w:r>
              <w:rPr>
                <w:rFonts w:ascii="Arial" w:hAnsi="Arial" w:cs="Arial"/>
              </w:rPr>
              <w:t>*</w:t>
            </w:r>
          </w:p>
        </w:tc>
        <w:tc>
          <w:tcPr>
            <w:tcW w:w="770" w:type="dxa"/>
            <w:tcBorders>
              <w:left w:val="outset" w:sz="6" w:space="0" w:color="auto"/>
              <w:right w:val="outset" w:sz="6" w:space="0" w:color="auto"/>
            </w:tcBorders>
            <w:vAlign w:val="center"/>
          </w:tcPr>
          <w:p w:rsidR="00217B90" w:rsidRDefault="00217B90" w:rsidP="00570522">
            <w:pPr>
              <w:jc w:val="center"/>
              <w:rPr>
                <w:rFonts w:ascii="Arial" w:hAnsi="Arial" w:cs="Arial"/>
              </w:rPr>
            </w:pPr>
            <w:r w:rsidRPr="00F8672C">
              <w:rPr>
                <w:rFonts w:ascii="Arial" w:hAnsi="Arial" w:cs="Arial"/>
              </w:rPr>
              <w:t>***/</w:t>
            </w:r>
          </w:p>
          <w:p w:rsidR="00217B90" w:rsidRDefault="00217B90" w:rsidP="00570522">
            <w:pPr>
              <w:jc w:val="center"/>
            </w:pPr>
            <w:r w:rsidRPr="00F8672C">
              <w:rPr>
                <w:rFonts w:ascii="Arial" w:hAnsi="Arial" w:cs="Arial"/>
              </w:rPr>
              <w:t>*</w:t>
            </w:r>
          </w:p>
        </w:tc>
        <w:tc>
          <w:tcPr>
            <w:tcW w:w="806" w:type="dxa"/>
            <w:tcBorders>
              <w:left w:val="outset" w:sz="6" w:space="0" w:color="auto"/>
            </w:tcBorders>
            <w:vAlign w:val="center"/>
          </w:tcPr>
          <w:p w:rsidR="00217B90" w:rsidRDefault="00217B90" w:rsidP="00570522">
            <w:pPr>
              <w:jc w:val="center"/>
            </w:pPr>
            <w:r>
              <w:t>***/</w:t>
            </w:r>
          </w:p>
          <w:p w:rsidR="00217B90" w:rsidRDefault="00217B90" w:rsidP="00570522">
            <w:pPr>
              <w:jc w:val="center"/>
            </w:pPr>
            <w:r>
              <w:t>*</w:t>
            </w:r>
          </w:p>
        </w:tc>
        <w:tc>
          <w:tcPr>
            <w:tcW w:w="824" w:type="dxa"/>
            <w:tcBorders>
              <w:left w:val="outset" w:sz="6" w:space="0" w:color="auto"/>
            </w:tcBorders>
          </w:tcPr>
          <w:p w:rsidR="00217B90" w:rsidRDefault="00217B90" w:rsidP="00570522">
            <w:pPr>
              <w:jc w:val="center"/>
            </w:pPr>
            <w:r>
              <w:t>***/</w:t>
            </w:r>
          </w:p>
          <w:p w:rsidR="00217B90" w:rsidRDefault="00217B90" w:rsidP="00570522">
            <w:pPr>
              <w:jc w:val="center"/>
            </w:pPr>
            <w:r>
              <w:t>*</w:t>
            </w:r>
          </w:p>
        </w:tc>
        <w:tc>
          <w:tcPr>
            <w:tcW w:w="804" w:type="dxa"/>
            <w:tcBorders>
              <w:left w:val="outset" w:sz="6" w:space="0" w:color="auto"/>
            </w:tcBorders>
          </w:tcPr>
          <w:p w:rsidR="00217B90" w:rsidRDefault="00217B90" w:rsidP="00570522">
            <w:pPr>
              <w:jc w:val="center"/>
            </w:pPr>
            <w:r>
              <w:t>18.53/*</w:t>
            </w:r>
          </w:p>
        </w:tc>
      </w:tr>
      <w:tr w:rsidR="00217B90" w:rsidRPr="00DF0915" w:rsidTr="00217B90">
        <w:trPr>
          <w:tblCellSpacing w:w="20" w:type="dxa"/>
          <w:jc w:val="center"/>
        </w:trPr>
        <w:tc>
          <w:tcPr>
            <w:tcW w:w="1185" w:type="dxa"/>
            <w:vMerge/>
            <w:shd w:val="clear" w:color="auto" w:fill="auto"/>
            <w:vAlign w:val="center"/>
          </w:tcPr>
          <w:p w:rsidR="00217B90" w:rsidRPr="00DF0915" w:rsidRDefault="00217B90" w:rsidP="00DF0915">
            <w:pPr>
              <w:jc w:val="center"/>
              <w:rPr>
                <w:rFonts w:ascii="Arial" w:hAnsi="Arial" w:cs="Arial"/>
              </w:rPr>
            </w:pPr>
          </w:p>
        </w:tc>
        <w:tc>
          <w:tcPr>
            <w:tcW w:w="1400" w:type="dxa"/>
            <w:shd w:val="clear" w:color="auto" w:fill="auto"/>
            <w:vAlign w:val="center"/>
          </w:tcPr>
          <w:p w:rsidR="00217B90" w:rsidRPr="00DF0915" w:rsidRDefault="00217B90" w:rsidP="00DF0915">
            <w:pPr>
              <w:jc w:val="center"/>
              <w:rPr>
                <w:rFonts w:ascii="Arial" w:hAnsi="Arial" w:cs="Arial"/>
              </w:rPr>
            </w:pPr>
            <w:r w:rsidRPr="00DF0915">
              <w:rPr>
                <w:rFonts w:ascii="Arial" w:hAnsi="Arial" w:cs="Arial"/>
              </w:rPr>
              <w:t>CT7-Industrial</w:t>
            </w:r>
          </w:p>
        </w:tc>
        <w:tc>
          <w:tcPr>
            <w:tcW w:w="770" w:type="dxa"/>
            <w:shd w:val="clear" w:color="auto" w:fill="auto"/>
            <w:vAlign w:val="center"/>
          </w:tcPr>
          <w:p w:rsidR="00217B90" w:rsidRPr="00DF0915" w:rsidRDefault="00217B90" w:rsidP="00570522">
            <w:pPr>
              <w:jc w:val="center"/>
              <w:rPr>
                <w:rFonts w:ascii="Arial" w:hAnsi="Arial" w:cs="Arial"/>
              </w:rPr>
            </w:pPr>
            <w:r w:rsidRPr="00DF0915">
              <w:rPr>
                <w:rFonts w:ascii="Arial" w:hAnsi="Arial" w:cs="Arial"/>
              </w:rPr>
              <w:t>29 / 25</w:t>
            </w:r>
          </w:p>
        </w:tc>
        <w:tc>
          <w:tcPr>
            <w:tcW w:w="770" w:type="dxa"/>
            <w:shd w:val="clear" w:color="auto" w:fill="auto"/>
            <w:vAlign w:val="center"/>
          </w:tcPr>
          <w:p w:rsidR="00217B90" w:rsidRPr="00DF0915" w:rsidRDefault="00217B90" w:rsidP="00570522">
            <w:pPr>
              <w:jc w:val="center"/>
              <w:rPr>
                <w:rFonts w:ascii="Arial" w:hAnsi="Arial" w:cs="Arial"/>
              </w:rPr>
            </w:pPr>
            <w:r>
              <w:rPr>
                <w:rFonts w:ascii="Arial" w:hAnsi="Arial" w:cs="Arial"/>
              </w:rPr>
              <w:t>25</w:t>
            </w:r>
            <w:r w:rsidRPr="00DF0915">
              <w:rPr>
                <w:rFonts w:ascii="Arial" w:hAnsi="Arial" w:cs="Arial"/>
              </w:rPr>
              <w:t>/</w:t>
            </w:r>
            <w:r>
              <w:rPr>
                <w:rFonts w:ascii="Arial" w:hAnsi="Arial" w:cs="Arial"/>
              </w:rPr>
              <w:t xml:space="preserve"> ***</w:t>
            </w:r>
          </w:p>
        </w:tc>
        <w:tc>
          <w:tcPr>
            <w:tcW w:w="860" w:type="dxa"/>
            <w:tcBorders>
              <w:right w:val="outset" w:sz="6" w:space="0" w:color="auto"/>
            </w:tcBorders>
            <w:shd w:val="clear" w:color="auto" w:fill="auto"/>
            <w:vAlign w:val="center"/>
          </w:tcPr>
          <w:p w:rsidR="00217B90" w:rsidRDefault="00217B90" w:rsidP="00570522">
            <w:pPr>
              <w:jc w:val="center"/>
              <w:rPr>
                <w:rFonts w:ascii="Arial" w:hAnsi="Arial" w:cs="Arial"/>
              </w:rPr>
            </w:pPr>
            <w:r w:rsidRPr="00DF0915">
              <w:rPr>
                <w:rFonts w:ascii="Arial" w:hAnsi="Arial" w:cs="Arial"/>
              </w:rPr>
              <w:t>26 /</w:t>
            </w:r>
          </w:p>
          <w:p w:rsidR="00217B90" w:rsidRPr="00DF0915" w:rsidRDefault="00217B90" w:rsidP="00570522">
            <w:pPr>
              <w:jc w:val="center"/>
              <w:rPr>
                <w:rFonts w:ascii="Arial" w:hAnsi="Arial" w:cs="Arial"/>
              </w:rPr>
            </w:pPr>
            <w:r w:rsidRPr="00DF0915">
              <w:rPr>
                <w:rFonts w:ascii="Arial" w:hAnsi="Arial" w:cs="Arial"/>
              </w:rPr>
              <w:t>28</w:t>
            </w:r>
          </w:p>
        </w:tc>
        <w:tc>
          <w:tcPr>
            <w:tcW w:w="860" w:type="dxa"/>
            <w:tcBorders>
              <w:left w:val="outset" w:sz="6" w:space="0" w:color="auto"/>
              <w:right w:val="outset" w:sz="6" w:space="0" w:color="auto"/>
            </w:tcBorders>
            <w:shd w:val="clear" w:color="auto" w:fill="auto"/>
            <w:vAlign w:val="center"/>
          </w:tcPr>
          <w:p w:rsidR="00217B90" w:rsidRPr="00DF0915" w:rsidRDefault="00217B90" w:rsidP="00570522">
            <w:pPr>
              <w:tabs>
                <w:tab w:val="center" w:pos="4680"/>
                <w:tab w:val="right" w:pos="9000"/>
              </w:tabs>
              <w:jc w:val="center"/>
              <w:rPr>
                <w:rFonts w:ascii="Arial" w:hAnsi="Arial" w:cs="Arial"/>
              </w:rPr>
            </w:pPr>
            <w:r w:rsidRPr="00DF0915">
              <w:rPr>
                <w:rFonts w:ascii="Arial" w:hAnsi="Arial" w:cs="Arial"/>
              </w:rPr>
              <w:t xml:space="preserve">26 / </w:t>
            </w:r>
            <w:r>
              <w:rPr>
                <w:rFonts w:ascii="Arial" w:hAnsi="Arial" w:cs="Arial"/>
              </w:rPr>
              <w:t>***</w:t>
            </w:r>
          </w:p>
        </w:tc>
        <w:tc>
          <w:tcPr>
            <w:tcW w:w="860" w:type="dxa"/>
            <w:tcBorders>
              <w:left w:val="outset" w:sz="6" w:space="0" w:color="auto"/>
            </w:tcBorders>
            <w:shd w:val="clear" w:color="auto" w:fill="auto"/>
            <w:vAlign w:val="center"/>
          </w:tcPr>
          <w:p w:rsidR="00217B90" w:rsidRDefault="00217B90" w:rsidP="00570522">
            <w:pPr>
              <w:tabs>
                <w:tab w:val="center" w:pos="4680"/>
                <w:tab w:val="right" w:pos="9000"/>
              </w:tabs>
              <w:jc w:val="center"/>
              <w:rPr>
                <w:rFonts w:ascii="Arial" w:hAnsi="Arial" w:cs="Arial"/>
              </w:rPr>
            </w:pPr>
            <w:r>
              <w:rPr>
                <w:rFonts w:ascii="Arial" w:hAnsi="Arial" w:cs="Arial"/>
              </w:rPr>
              <w:t>***/</w:t>
            </w:r>
          </w:p>
          <w:p w:rsidR="00217B90" w:rsidRPr="00DF0915" w:rsidRDefault="00217B90" w:rsidP="00570522">
            <w:pPr>
              <w:tabs>
                <w:tab w:val="center" w:pos="4680"/>
                <w:tab w:val="right" w:pos="9000"/>
              </w:tabs>
              <w:jc w:val="center"/>
              <w:rPr>
                <w:rFonts w:ascii="Arial" w:hAnsi="Arial" w:cs="Arial"/>
              </w:rPr>
            </w:pPr>
            <w:r>
              <w:rPr>
                <w:rFonts w:ascii="Arial" w:hAnsi="Arial" w:cs="Arial"/>
              </w:rPr>
              <w:t>***</w:t>
            </w:r>
          </w:p>
        </w:tc>
        <w:tc>
          <w:tcPr>
            <w:tcW w:w="950" w:type="dxa"/>
            <w:tcBorders>
              <w:left w:val="outset" w:sz="6" w:space="0" w:color="auto"/>
            </w:tcBorders>
            <w:vAlign w:val="center"/>
          </w:tcPr>
          <w:p w:rsidR="00217B90" w:rsidRDefault="00217B90" w:rsidP="00570522">
            <w:pPr>
              <w:tabs>
                <w:tab w:val="center" w:pos="4680"/>
                <w:tab w:val="right" w:pos="9000"/>
              </w:tabs>
              <w:jc w:val="center"/>
              <w:rPr>
                <w:rFonts w:ascii="Arial" w:hAnsi="Arial" w:cs="Arial"/>
              </w:rPr>
            </w:pPr>
            <w:r>
              <w:rPr>
                <w:rFonts w:ascii="Arial" w:hAnsi="Arial" w:cs="Arial"/>
              </w:rPr>
              <w:t>26,56/</w:t>
            </w:r>
          </w:p>
          <w:p w:rsidR="00217B90" w:rsidRPr="00DF0915" w:rsidRDefault="00217B90" w:rsidP="00570522">
            <w:pPr>
              <w:tabs>
                <w:tab w:val="center" w:pos="4680"/>
                <w:tab w:val="right" w:pos="9000"/>
              </w:tabs>
              <w:jc w:val="center"/>
              <w:rPr>
                <w:rFonts w:ascii="Arial" w:hAnsi="Arial" w:cs="Arial"/>
              </w:rPr>
            </w:pPr>
            <w:r>
              <w:rPr>
                <w:rFonts w:ascii="Arial" w:hAnsi="Arial" w:cs="Arial"/>
              </w:rPr>
              <w:t>28,86</w:t>
            </w:r>
          </w:p>
        </w:tc>
        <w:tc>
          <w:tcPr>
            <w:tcW w:w="770" w:type="dxa"/>
            <w:tcBorders>
              <w:left w:val="outset" w:sz="6" w:space="0" w:color="auto"/>
              <w:right w:val="outset" w:sz="6" w:space="0" w:color="auto"/>
            </w:tcBorders>
            <w:vAlign w:val="center"/>
          </w:tcPr>
          <w:p w:rsidR="00217B90" w:rsidRDefault="00217B90" w:rsidP="00570522">
            <w:pPr>
              <w:jc w:val="center"/>
              <w:rPr>
                <w:rFonts w:ascii="Arial" w:hAnsi="Arial" w:cs="Arial"/>
              </w:rPr>
            </w:pPr>
            <w:r w:rsidRPr="00F8672C">
              <w:rPr>
                <w:rFonts w:ascii="Arial" w:hAnsi="Arial" w:cs="Arial"/>
              </w:rPr>
              <w:t>***/</w:t>
            </w:r>
          </w:p>
          <w:p w:rsidR="00217B90" w:rsidRDefault="00217B90" w:rsidP="00570522">
            <w:pPr>
              <w:jc w:val="center"/>
            </w:pPr>
            <w:r w:rsidRPr="00F8672C">
              <w:rPr>
                <w:rFonts w:ascii="Arial" w:hAnsi="Arial" w:cs="Arial"/>
              </w:rPr>
              <w:t>***</w:t>
            </w:r>
          </w:p>
        </w:tc>
        <w:tc>
          <w:tcPr>
            <w:tcW w:w="806" w:type="dxa"/>
            <w:tcBorders>
              <w:left w:val="outset" w:sz="6" w:space="0" w:color="auto"/>
            </w:tcBorders>
            <w:vAlign w:val="center"/>
          </w:tcPr>
          <w:p w:rsidR="00217B90" w:rsidRDefault="00217B90" w:rsidP="00570522">
            <w:pPr>
              <w:jc w:val="center"/>
            </w:pPr>
            <w:r>
              <w:t>30,51/</w:t>
            </w:r>
          </w:p>
          <w:p w:rsidR="00217B90" w:rsidRDefault="00217B90" w:rsidP="00570522">
            <w:pPr>
              <w:jc w:val="center"/>
            </w:pPr>
            <w:r>
              <w:t>25,81</w:t>
            </w:r>
          </w:p>
        </w:tc>
        <w:tc>
          <w:tcPr>
            <w:tcW w:w="824" w:type="dxa"/>
            <w:tcBorders>
              <w:left w:val="outset" w:sz="6" w:space="0" w:color="auto"/>
            </w:tcBorders>
          </w:tcPr>
          <w:p w:rsidR="00217B90" w:rsidRDefault="00217B90" w:rsidP="00570522">
            <w:pPr>
              <w:jc w:val="center"/>
            </w:pPr>
            <w:r>
              <w:t>***/</w:t>
            </w:r>
          </w:p>
          <w:p w:rsidR="00217B90" w:rsidRDefault="00217B90" w:rsidP="00570522">
            <w:pPr>
              <w:jc w:val="center"/>
            </w:pPr>
            <w:r>
              <w:t>***</w:t>
            </w:r>
          </w:p>
        </w:tc>
        <w:tc>
          <w:tcPr>
            <w:tcW w:w="804" w:type="dxa"/>
            <w:tcBorders>
              <w:left w:val="outset" w:sz="6" w:space="0" w:color="auto"/>
            </w:tcBorders>
          </w:tcPr>
          <w:p w:rsidR="00217B90" w:rsidRDefault="00217B90" w:rsidP="00570522">
            <w:pPr>
              <w:jc w:val="center"/>
            </w:pPr>
            <w:r>
              <w:t>23.26/24.12</w:t>
            </w:r>
          </w:p>
        </w:tc>
      </w:tr>
    </w:tbl>
    <w:p w:rsidR="00C07171" w:rsidRDefault="00217B90" w:rsidP="00C07171">
      <w:pPr>
        <w:rPr>
          <w:rFonts w:ascii="Arial" w:hAnsi="Arial" w:cs="Arial"/>
          <w:lang w:val="it-IT"/>
        </w:rPr>
      </w:pPr>
      <w:r w:rsidRPr="00D572F6">
        <w:rPr>
          <w:rFonts w:ascii="Arial" w:hAnsi="Arial" w:cs="Arial"/>
          <w:i/>
          <w:sz w:val="24"/>
          <w:szCs w:val="24"/>
          <w:lang w:val="ro-RO" w:eastAsia="ro-RO"/>
        </w:rPr>
        <w:t xml:space="preserve">                                                                                </w:t>
      </w:r>
      <w:r>
        <w:rPr>
          <w:rFonts w:ascii="Arial" w:hAnsi="Arial" w:cs="Arial"/>
          <w:i/>
          <w:sz w:val="24"/>
          <w:szCs w:val="24"/>
          <w:lang w:val="ro-RO" w:eastAsia="ro-RO"/>
        </w:rPr>
        <w:t xml:space="preserve">                           </w:t>
      </w:r>
      <w:r w:rsidRPr="005D02B0">
        <w:rPr>
          <w:rFonts w:ascii="Arial" w:hAnsi="Arial" w:cs="Arial"/>
          <w:i/>
          <w:sz w:val="24"/>
          <w:szCs w:val="24"/>
          <w:lang w:val="ro-RO" w:eastAsia="ro-RO"/>
        </w:rPr>
        <w:t>Tabel 1.1.1.2.</w:t>
      </w:r>
      <w:r>
        <w:rPr>
          <w:rFonts w:ascii="Arial" w:hAnsi="Arial" w:cs="Arial"/>
          <w:i/>
          <w:sz w:val="24"/>
          <w:szCs w:val="24"/>
          <w:lang w:val="ro-RO" w:eastAsia="ro-RO"/>
        </w:rPr>
        <w:t>6</w:t>
      </w:r>
      <w:r w:rsidRPr="005D02B0">
        <w:rPr>
          <w:rFonts w:ascii="Arial" w:hAnsi="Arial" w:cs="Arial"/>
          <w:i/>
          <w:sz w:val="24"/>
          <w:szCs w:val="24"/>
          <w:lang w:val="ro-RO" w:eastAsia="ro-RO"/>
        </w:rPr>
        <w:t>.</w:t>
      </w:r>
    </w:p>
    <w:p w:rsidR="00E210EE" w:rsidRDefault="00E210EE" w:rsidP="00E210EE">
      <w:pPr>
        <w:autoSpaceDE w:val="0"/>
        <w:autoSpaceDN w:val="0"/>
        <w:adjustRightInd w:val="0"/>
        <w:jc w:val="both"/>
        <w:rPr>
          <w:rFonts w:ascii="Arial" w:hAnsi="Arial" w:cs="Arial"/>
          <w:bCs/>
          <w:sz w:val="24"/>
          <w:szCs w:val="24"/>
          <w:lang w:val="it-IT"/>
        </w:rPr>
      </w:pPr>
      <w:r w:rsidRPr="000C2A63">
        <w:rPr>
          <w:rFonts w:ascii="Arial" w:hAnsi="Arial" w:cs="Arial"/>
          <w:sz w:val="24"/>
          <w:szCs w:val="24"/>
        </w:rPr>
        <w:t xml:space="preserve">Din motive tehnice, pentru statiile care nu apar in grafic nu exista </w:t>
      </w:r>
      <w:r w:rsidR="00217B90">
        <w:rPr>
          <w:rFonts w:ascii="Arial" w:hAnsi="Arial" w:cs="Arial"/>
          <w:sz w:val="24"/>
          <w:szCs w:val="24"/>
        </w:rPr>
        <w:t xml:space="preserve">in anii anteriori </w:t>
      </w:r>
      <w:r w:rsidRPr="000C2A63">
        <w:rPr>
          <w:rFonts w:ascii="Arial" w:hAnsi="Arial" w:cs="Arial"/>
          <w:bCs/>
          <w:sz w:val="24"/>
          <w:szCs w:val="24"/>
          <w:lang w:val="it-IT"/>
        </w:rPr>
        <w:t>date/datele validate sunt insuficiente pentru a respecta criteriile de calitate conform Legii 104/2011 (captura de date pentru minim 75% din intervalul de timp calendaristic).</w:t>
      </w:r>
    </w:p>
    <w:p w:rsidR="00855108" w:rsidRDefault="00855108" w:rsidP="00E210EE">
      <w:pPr>
        <w:autoSpaceDE w:val="0"/>
        <w:autoSpaceDN w:val="0"/>
        <w:adjustRightInd w:val="0"/>
        <w:jc w:val="both"/>
        <w:rPr>
          <w:rFonts w:ascii="Arial" w:hAnsi="Arial" w:cs="Arial"/>
          <w:bCs/>
          <w:sz w:val="24"/>
          <w:szCs w:val="24"/>
          <w:lang w:val="it-IT"/>
        </w:rPr>
      </w:pPr>
    </w:p>
    <w:p w:rsidR="00855108" w:rsidRDefault="00855108" w:rsidP="00E210EE">
      <w:pPr>
        <w:autoSpaceDE w:val="0"/>
        <w:autoSpaceDN w:val="0"/>
        <w:adjustRightInd w:val="0"/>
        <w:jc w:val="both"/>
        <w:rPr>
          <w:rFonts w:ascii="Arial" w:hAnsi="Arial" w:cs="Arial"/>
          <w:bCs/>
          <w:sz w:val="24"/>
          <w:szCs w:val="24"/>
          <w:lang w:val="it-IT"/>
        </w:rPr>
      </w:pPr>
      <w:r w:rsidRPr="00855108">
        <w:rPr>
          <w:rFonts w:ascii="Arial" w:hAnsi="Arial" w:cs="Arial"/>
          <w:bCs/>
          <w:noProof/>
          <w:sz w:val="24"/>
          <w:szCs w:val="24"/>
        </w:rPr>
        <w:drawing>
          <wp:inline distT="0" distB="0" distL="0" distR="0">
            <wp:extent cx="5613999" cy="4157933"/>
            <wp:effectExtent l="19050" t="0" r="24801" b="0"/>
            <wp:docPr id="6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0BE8" w:rsidRPr="00FE50FF" w:rsidRDefault="006223BE" w:rsidP="00FE50FF">
      <w:pPr>
        <w:autoSpaceDE w:val="0"/>
        <w:autoSpaceDN w:val="0"/>
        <w:adjustRightInd w:val="0"/>
        <w:ind w:left="6480"/>
        <w:jc w:val="both"/>
        <w:rPr>
          <w:rFonts w:ascii="Arial" w:eastAsia="Calibri" w:hAnsi="Arial" w:cs="Arial"/>
          <w:sz w:val="24"/>
          <w:szCs w:val="24"/>
          <w:lang w:val="pt-BR"/>
        </w:rPr>
      </w:pPr>
      <w:r>
        <w:rPr>
          <w:rFonts w:ascii="Arial" w:eastAsia="Calibri" w:hAnsi="Arial" w:cs="Arial"/>
          <w:sz w:val="24"/>
          <w:szCs w:val="24"/>
          <w:lang w:val="pt-BR"/>
        </w:rPr>
        <w:tab/>
      </w:r>
      <w:r w:rsidR="00FE50FF">
        <w:rPr>
          <w:rFonts w:ascii="Arial" w:eastAsia="Calibri" w:hAnsi="Arial" w:cs="Arial"/>
          <w:sz w:val="24"/>
          <w:szCs w:val="24"/>
          <w:lang w:val="pt-BR"/>
        </w:rPr>
        <w:t xml:space="preserve">         </w:t>
      </w:r>
      <w:r w:rsidR="00950BE8" w:rsidRPr="00F56142">
        <w:rPr>
          <w:rFonts w:ascii="Arial" w:hAnsi="Arial" w:cs="Arial"/>
          <w:bCs/>
          <w:i/>
          <w:sz w:val="24"/>
          <w:szCs w:val="24"/>
          <w:lang w:val="it-IT"/>
        </w:rPr>
        <w:t>Figura 1.1.1.2.</w:t>
      </w:r>
      <w:r w:rsidR="000F293F">
        <w:rPr>
          <w:rFonts w:ascii="Arial" w:hAnsi="Arial" w:cs="Arial"/>
          <w:bCs/>
          <w:i/>
          <w:sz w:val="24"/>
          <w:szCs w:val="24"/>
          <w:lang w:val="it-IT"/>
        </w:rPr>
        <w:t>6</w:t>
      </w:r>
    </w:p>
    <w:p w:rsidR="005A1306" w:rsidRDefault="005A1306" w:rsidP="00A00234">
      <w:pPr>
        <w:spacing w:line="276" w:lineRule="auto"/>
        <w:jc w:val="both"/>
        <w:outlineLvl w:val="0"/>
        <w:rPr>
          <w:rFonts w:ascii="Arial" w:eastAsia="Calibri" w:hAnsi="Arial" w:cs="Arial"/>
          <w:sz w:val="24"/>
          <w:szCs w:val="24"/>
          <w:lang w:val="pt-BR"/>
        </w:rPr>
      </w:pPr>
    </w:p>
    <w:p w:rsidR="00A14E05" w:rsidRDefault="00247C10" w:rsidP="005A1306">
      <w:pPr>
        <w:jc w:val="both"/>
        <w:outlineLvl w:val="0"/>
        <w:rPr>
          <w:rFonts w:ascii="Arial" w:eastAsia="Calibri" w:hAnsi="Arial" w:cs="Arial"/>
          <w:b/>
          <w:sz w:val="24"/>
          <w:szCs w:val="24"/>
          <w:lang w:val="pt-BR"/>
        </w:rPr>
      </w:pPr>
      <w:r>
        <w:rPr>
          <w:rFonts w:ascii="Arial" w:eastAsia="Calibri" w:hAnsi="Arial" w:cs="Arial"/>
          <w:b/>
          <w:sz w:val="24"/>
          <w:szCs w:val="24"/>
          <w:lang w:val="pt-BR"/>
        </w:rPr>
        <w:t xml:space="preserve">       </w:t>
      </w:r>
    </w:p>
    <w:p w:rsidR="004C35CC" w:rsidRPr="00247C10" w:rsidRDefault="00247C10" w:rsidP="005A1306">
      <w:pPr>
        <w:jc w:val="both"/>
        <w:outlineLvl w:val="0"/>
        <w:rPr>
          <w:rFonts w:ascii="Arial" w:eastAsia="Calibri" w:hAnsi="Arial" w:cs="Arial"/>
          <w:b/>
          <w:sz w:val="24"/>
          <w:szCs w:val="24"/>
          <w:lang w:val="pt-BR"/>
        </w:rPr>
      </w:pPr>
      <w:r>
        <w:rPr>
          <w:rFonts w:ascii="Arial" w:eastAsia="Calibri" w:hAnsi="Arial" w:cs="Arial"/>
          <w:b/>
          <w:sz w:val="24"/>
          <w:szCs w:val="24"/>
          <w:lang w:val="pt-BR"/>
        </w:rPr>
        <w:t xml:space="preserve"> </w:t>
      </w:r>
      <w:r w:rsidRPr="00247C10">
        <w:rPr>
          <w:rFonts w:ascii="Arial" w:eastAsia="Calibri" w:hAnsi="Arial" w:cs="Arial"/>
          <w:b/>
          <w:sz w:val="24"/>
          <w:szCs w:val="24"/>
          <w:lang w:val="pt-BR"/>
        </w:rPr>
        <w:t>PM2,5</w:t>
      </w:r>
    </w:p>
    <w:p w:rsidR="0090508C" w:rsidRDefault="00C07171" w:rsidP="00C07171">
      <w:pPr>
        <w:rPr>
          <w:rFonts w:ascii="Arial" w:hAnsi="Arial" w:cs="Arial"/>
          <w:bCs/>
          <w:i/>
          <w:noProof/>
          <w:sz w:val="24"/>
          <w:szCs w:val="24"/>
          <w:lang w:val="ro-RO"/>
        </w:rPr>
      </w:pPr>
      <w:r w:rsidRPr="00D572F6">
        <w:rPr>
          <w:rFonts w:ascii="Arial" w:hAnsi="Arial" w:cs="Arial"/>
          <w:bCs/>
          <w:i/>
          <w:noProof/>
          <w:sz w:val="24"/>
          <w:szCs w:val="24"/>
          <w:lang w:val="ro-RO"/>
        </w:rPr>
        <w:tab/>
      </w:r>
      <w:r w:rsidRPr="00D572F6">
        <w:rPr>
          <w:rFonts w:ascii="Arial" w:hAnsi="Arial" w:cs="Arial"/>
          <w:bCs/>
          <w:i/>
          <w:noProof/>
          <w:sz w:val="24"/>
          <w:szCs w:val="24"/>
          <w:lang w:val="ro-RO"/>
        </w:rPr>
        <w:tab/>
      </w:r>
      <w:r w:rsidRPr="00D572F6">
        <w:rPr>
          <w:rFonts w:ascii="Arial" w:hAnsi="Arial" w:cs="Arial"/>
          <w:bCs/>
          <w:i/>
          <w:noProof/>
          <w:sz w:val="24"/>
          <w:szCs w:val="24"/>
          <w:lang w:val="ro-RO"/>
        </w:rPr>
        <w:tab/>
      </w:r>
      <w:r w:rsidRPr="00D572F6">
        <w:rPr>
          <w:rFonts w:ascii="Arial" w:hAnsi="Arial" w:cs="Arial"/>
          <w:bCs/>
          <w:i/>
          <w:noProof/>
          <w:sz w:val="24"/>
          <w:szCs w:val="24"/>
          <w:lang w:val="ro-RO"/>
        </w:rPr>
        <w:tab/>
      </w:r>
      <w:r w:rsidRPr="00D572F6">
        <w:rPr>
          <w:rFonts w:ascii="Arial" w:hAnsi="Arial" w:cs="Arial"/>
          <w:bCs/>
          <w:i/>
          <w:noProof/>
          <w:sz w:val="24"/>
          <w:szCs w:val="24"/>
          <w:lang w:val="ro-RO"/>
        </w:rPr>
        <w:tab/>
      </w:r>
      <w:r w:rsidRPr="00D572F6">
        <w:rPr>
          <w:rFonts w:ascii="Arial" w:hAnsi="Arial" w:cs="Arial"/>
          <w:bCs/>
          <w:i/>
          <w:noProof/>
          <w:sz w:val="24"/>
          <w:szCs w:val="24"/>
          <w:lang w:val="ro-RO"/>
        </w:rPr>
        <w:tab/>
      </w:r>
      <w:r w:rsidRPr="00D572F6">
        <w:rPr>
          <w:rFonts w:ascii="Arial" w:hAnsi="Arial" w:cs="Arial"/>
          <w:bCs/>
          <w:i/>
          <w:noProof/>
          <w:sz w:val="24"/>
          <w:szCs w:val="24"/>
          <w:lang w:val="ro-RO"/>
        </w:rPr>
        <w:tab/>
      </w:r>
      <w:r w:rsidRPr="00D572F6">
        <w:rPr>
          <w:rFonts w:ascii="Arial" w:hAnsi="Arial" w:cs="Arial"/>
          <w:bCs/>
          <w:i/>
          <w:noProof/>
          <w:sz w:val="24"/>
          <w:szCs w:val="24"/>
          <w:lang w:val="ro-RO"/>
        </w:rPr>
        <w:tab/>
        <w:t xml:space="preserve">              </w:t>
      </w:r>
    </w:p>
    <w:p w:rsidR="00C07171" w:rsidRDefault="00C07171" w:rsidP="00C07171">
      <w:pPr>
        <w:rPr>
          <w:rFonts w:ascii="Arial" w:hAnsi="Arial" w:cs="Arial"/>
          <w:bCs/>
          <w:i/>
          <w:noProof/>
          <w:sz w:val="24"/>
          <w:szCs w:val="24"/>
          <w:lang w:val="ro-RO"/>
        </w:rPr>
      </w:pPr>
      <w:r w:rsidRPr="00D572F6">
        <w:rPr>
          <w:rFonts w:ascii="Arial" w:hAnsi="Arial" w:cs="Arial"/>
          <w:bCs/>
          <w:i/>
          <w:noProof/>
          <w:sz w:val="24"/>
          <w:szCs w:val="24"/>
          <w:lang w:val="ro-RO"/>
        </w:rPr>
        <w:t xml:space="preserve"> </w:t>
      </w:r>
      <w:r w:rsidR="0090508C">
        <w:rPr>
          <w:rFonts w:ascii="Arial" w:hAnsi="Arial" w:cs="Arial"/>
          <w:bCs/>
          <w:i/>
          <w:noProof/>
          <w:sz w:val="24"/>
          <w:szCs w:val="24"/>
          <w:lang w:val="ro-RO"/>
        </w:rPr>
        <w:t xml:space="preserve">                                                                                                                </w:t>
      </w:r>
      <w:r w:rsidR="005D02B0">
        <w:rPr>
          <w:rFonts w:ascii="Arial" w:hAnsi="Arial" w:cs="Arial"/>
          <w:bCs/>
          <w:i/>
          <w:noProof/>
          <w:sz w:val="24"/>
          <w:szCs w:val="24"/>
          <w:lang w:val="ro-RO"/>
        </w:rPr>
        <w:t>Tabel 1.1.1.2.</w:t>
      </w:r>
      <w:r w:rsidR="0090508C">
        <w:rPr>
          <w:rFonts w:ascii="Arial" w:hAnsi="Arial" w:cs="Arial"/>
          <w:bCs/>
          <w:i/>
          <w:noProof/>
          <w:sz w:val="24"/>
          <w:szCs w:val="24"/>
          <w:lang w:val="ro-RO"/>
        </w:rPr>
        <w:t>7</w:t>
      </w:r>
      <w:r w:rsidRPr="00D572F6">
        <w:rPr>
          <w:rFonts w:ascii="Arial" w:hAnsi="Arial" w:cs="Arial"/>
          <w:bCs/>
          <w:i/>
          <w:noProof/>
          <w:sz w:val="24"/>
          <w:szCs w:val="24"/>
          <w:lang w:val="ro-RO"/>
        </w:rPr>
        <w:t>.</w:t>
      </w:r>
    </w:p>
    <w:tbl>
      <w:tblPr>
        <w:tblW w:w="0" w:type="auto"/>
        <w:jc w:val="center"/>
        <w:tblCellSpacing w:w="20" w:type="dxa"/>
        <w:tblInd w:w="-130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29"/>
        <w:gridCol w:w="1061"/>
        <w:gridCol w:w="800"/>
        <w:gridCol w:w="752"/>
        <w:gridCol w:w="841"/>
        <w:gridCol w:w="964"/>
        <w:gridCol w:w="793"/>
        <w:gridCol w:w="731"/>
        <w:gridCol w:w="731"/>
        <w:gridCol w:w="737"/>
        <w:gridCol w:w="1055"/>
      </w:tblGrid>
      <w:tr w:rsidR="00855108" w:rsidRPr="00D572F6" w:rsidTr="00855108">
        <w:trPr>
          <w:tblCellSpacing w:w="20" w:type="dxa"/>
          <w:jc w:val="center"/>
        </w:trPr>
        <w:tc>
          <w:tcPr>
            <w:tcW w:w="2369" w:type="dxa"/>
            <w:vMerge w:val="restart"/>
            <w:shd w:val="clear" w:color="auto" w:fill="FFFFCC"/>
            <w:vAlign w:val="center"/>
          </w:tcPr>
          <w:p w:rsidR="00855108" w:rsidRPr="00D572F6" w:rsidRDefault="00855108" w:rsidP="00DF0915">
            <w:pPr>
              <w:jc w:val="center"/>
              <w:rPr>
                <w:rFonts w:ascii="Arial" w:hAnsi="Arial" w:cs="Arial"/>
                <w:b/>
              </w:rPr>
            </w:pPr>
            <w:r w:rsidRPr="00D572F6">
              <w:rPr>
                <w:rFonts w:ascii="Arial" w:hAnsi="Arial" w:cs="Arial"/>
                <w:b/>
              </w:rPr>
              <w:t>POLUANT</w:t>
            </w:r>
          </w:p>
        </w:tc>
        <w:tc>
          <w:tcPr>
            <w:tcW w:w="1021" w:type="dxa"/>
            <w:vMerge w:val="restart"/>
            <w:tcBorders>
              <w:right w:val="outset" w:sz="6" w:space="0" w:color="auto"/>
            </w:tcBorders>
            <w:shd w:val="clear" w:color="auto" w:fill="FFFFCC"/>
            <w:vAlign w:val="center"/>
          </w:tcPr>
          <w:p w:rsidR="00855108" w:rsidRPr="00D572F6" w:rsidRDefault="00855108" w:rsidP="00DF0915">
            <w:pPr>
              <w:jc w:val="center"/>
              <w:rPr>
                <w:rFonts w:ascii="Arial" w:hAnsi="Arial" w:cs="Arial"/>
                <w:b/>
              </w:rPr>
            </w:pPr>
            <w:r w:rsidRPr="00D572F6">
              <w:rPr>
                <w:rFonts w:ascii="Arial" w:hAnsi="Arial" w:cs="Arial"/>
                <w:b/>
              </w:rPr>
              <w:t>Tip statie</w:t>
            </w:r>
          </w:p>
        </w:tc>
        <w:tc>
          <w:tcPr>
            <w:tcW w:w="7344" w:type="dxa"/>
            <w:gridSpan w:val="9"/>
            <w:tcBorders>
              <w:left w:val="outset" w:sz="6" w:space="0" w:color="auto"/>
              <w:bottom w:val="outset" w:sz="6" w:space="0" w:color="auto"/>
              <w:right w:val="outset" w:sz="6" w:space="0" w:color="A0A0A0"/>
            </w:tcBorders>
            <w:shd w:val="clear" w:color="auto" w:fill="FFFFCC"/>
            <w:vAlign w:val="center"/>
          </w:tcPr>
          <w:p w:rsidR="00855108" w:rsidRPr="00D572F6" w:rsidRDefault="00855108" w:rsidP="00DF0915">
            <w:pPr>
              <w:jc w:val="center"/>
              <w:rPr>
                <w:rFonts w:ascii="Arial" w:hAnsi="Arial" w:cs="Arial"/>
                <w:b/>
              </w:rPr>
            </w:pPr>
            <w:r w:rsidRPr="00D572F6">
              <w:rPr>
                <w:rFonts w:ascii="Arial" w:hAnsi="Arial" w:cs="Arial"/>
                <w:b/>
              </w:rPr>
              <w:t>Concentratia medie anuala</w:t>
            </w:r>
          </w:p>
        </w:tc>
      </w:tr>
      <w:tr w:rsidR="00855108" w:rsidRPr="00DF0915" w:rsidTr="00855108">
        <w:trPr>
          <w:tblCellSpacing w:w="20" w:type="dxa"/>
          <w:jc w:val="center"/>
        </w:trPr>
        <w:tc>
          <w:tcPr>
            <w:tcW w:w="2369" w:type="dxa"/>
            <w:vMerge/>
            <w:shd w:val="clear" w:color="auto" w:fill="FFFFCC"/>
            <w:vAlign w:val="center"/>
          </w:tcPr>
          <w:p w:rsidR="00855108" w:rsidRPr="00DF0915" w:rsidRDefault="00855108" w:rsidP="00DF0915">
            <w:pPr>
              <w:jc w:val="center"/>
              <w:rPr>
                <w:rFonts w:ascii="Arial" w:hAnsi="Arial" w:cs="Arial"/>
              </w:rPr>
            </w:pPr>
          </w:p>
        </w:tc>
        <w:tc>
          <w:tcPr>
            <w:tcW w:w="1021" w:type="dxa"/>
            <w:vMerge/>
            <w:tcBorders>
              <w:right w:val="outset" w:sz="6" w:space="0" w:color="auto"/>
            </w:tcBorders>
            <w:shd w:val="clear" w:color="auto" w:fill="FFFFCC"/>
            <w:vAlign w:val="center"/>
          </w:tcPr>
          <w:p w:rsidR="00855108" w:rsidRPr="00DF0915" w:rsidRDefault="00855108" w:rsidP="00DF0915">
            <w:pPr>
              <w:jc w:val="center"/>
              <w:rPr>
                <w:rFonts w:ascii="Arial" w:hAnsi="Arial" w:cs="Arial"/>
              </w:rPr>
            </w:pPr>
          </w:p>
        </w:tc>
        <w:tc>
          <w:tcPr>
            <w:tcW w:w="760" w:type="dxa"/>
            <w:tcBorders>
              <w:top w:val="outset" w:sz="6" w:space="0" w:color="auto"/>
              <w:left w:val="outset" w:sz="6" w:space="0" w:color="auto"/>
            </w:tcBorders>
            <w:shd w:val="clear" w:color="auto" w:fill="FFFFCC"/>
            <w:vAlign w:val="center"/>
          </w:tcPr>
          <w:p w:rsidR="00855108" w:rsidRPr="00DF0915" w:rsidRDefault="00855108" w:rsidP="00DF0915">
            <w:pPr>
              <w:jc w:val="center"/>
              <w:rPr>
                <w:rFonts w:ascii="Arial" w:hAnsi="Arial" w:cs="Arial"/>
              </w:rPr>
            </w:pPr>
            <w:r w:rsidRPr="00DF0915">
              <w:rPr>
                <w:rFonts w:ascii="Arial" w:hAnsi="Arial" w:cs="Arial"/>
              </w:rPr>
              <w:t>2009</w:t>
            </w:r>
          </w:p>
        </w:tc>
        <w:tc>
          <w:tcPr>
            <w:tcW w:w="712" w:type="dxa"/>
            <w:shd w:val="clear" w:color="auto" w:fill="FFFFCC"/>
            <w:vAlign w:val="center"/>
          </w:tcPr>
          <w:p w:rsidR="00855108" w:rsidRPr="00DF0915" w:rsidRDefault="00855108" w:rsidP="00DF0915">
            <w:pPr>
              <w:jc w:val="center"/>
              <w:rPr>
                <w:rFonts w:ascii="Arial" w:hAnsi="Arial" w:cs="Arial"/>
              </w:rPr>
            </w:pPr>
            <w:r w:rsidRPr="00DF0915">
              <w:rPr>
                <w:rFonts w:ascii="Arial" w:hAnsi="Arial" w:cs="Arial"/>
              </w:rPr>
              <w:t>2010</w:t>
            </w:r>
          </w:p>
        </w:tc>
        <w:tc>
          <w:tcPr>
            <w:tcW w:w="801" w:type="dxa"/>
            <w:tcBorders>
              <w:right w:val="outset" w:sz="6" w:space="0" w:color="auto"/>
            </w:tcBorders>
            <w:shd w:val="clear" w:color="auto" w:fill="FFFFCC"/>
            <w:vAlign w:val="center"/>
          </w:tcPr>
          <w:p w:rsidR="00855108" w:rsidRPr="00DF0915" w:rsidRDefault="00855108" w:rsidP="00DF0915">
            <w:pPr>
              <w:jc w:val="center"/>
              <w:rPr>
                <w:rFonts w:ascii="Arial" w:hAnsi="Arial" w:cs="Arial"/>
              </w:rPr>
            </w:pPr>
            <w:r w:rsidRPr="00DF0915">
              <w:rPr>
                <w:rFonts w:ascii="Arial" w:hAnsi="Arial" w:cs="Arial"/>
              </w:rPr>
              <w:t>2011</w:t>
            </w:r>
          </w:p>
        </w:tc>
        <w:tc>
          <w:tcPr>
            <w:tcW w:w="924" w:type="dxa"/>
            <w:tcBorders>
              <w:left w:val="outset" w:sz="6" w:space="0" w:color="auto"/>
            </w:tcBorders>
            <w:shd w:val="clear" w:color="auto" w:fill="FFFFCC"/>
            <w:vAlign w:val="center"/>
          </w:tcPr>
          <w:p w:rsidR="00855108" w:rsidRPr="00B4038F" w:rsidRDefault="00855108" w:rsidP="00DF0915">
            <w:pPr>
              <w:jc w:val="center"/>
              <w:rPr>
                <w:rFonts w:ascii="Arial" w:hAnsi="Arial" w:cs="Arial"/>
              </w:rPr>
            </w:pPr>
            <w:r w:rsidRPr="00B4038F">
              <w:rPr>
                <w:rFonts w:ascii="Arial" w:hAnsi="Arial" w:cs="Arial"/>
              </w:rPr>
              <w:t>2012</w:t>
            </w:r>
          </w:p>
        </w:tc>
        <w:tc>
          <w:tcPr>
            <w:tcW w:w="753" w:type="dxa"/>
            <w:tcBorders>
              <w:left w:val="outset" w:sz="6" w:space="0" w:color="auto"/>
              <w:right w:val="outset" w:sz="6" w:space="0" w:color="auto"/>
            </w:tcBorders>
            <w:shd w:val="clear" w:color="auto" w:fill="FFFFCC"/>
          </w:tcPr>
          <w:p w:rsidR="00855108" w:rsidRPr="00B4038F" w:rsidRDefault="00855108" w:rsidP="00DF0915">
            <w:pPr>
              <w:jc w:val="center"/>
              <w:rPr>
                <w:rFonts w:ascii="Arial" w:hAnsi="Arial" w:cs="Arial"/>
              </w:rPr>
            </w:pPr>
            <w:r w:rsidRPr="00B4038F">
              <w:rPr>
                <w:rFonts w:ascii="Arial" w:hAnsi="Arial" w:cs="Arial"/>
              </w:rPr>
              <w:t>2013</w:t>
            </w:r>
          </w:p>
        </w:tc>
        <w:tc>
          <w:tcPr>
            <w:tcW w:w="691" w:type="dxa"/>
            <w:tcBorders>
              <w:left w:val="outset" w:sz="6" w:space="0" w:color="auto"/>
              <w:right w:val="outset" w:sz="6" w:space="0" w:color="auto"/>
            </w:tcBorders>
            <w:shd w:val="clear" w:color="auto" w:fill="FFFFCC"/>
          </w:tcPr>
          <w:p w:rsidR="00855108" w:rsidRPr="00B4038F" w:rsidRDefault="00855108" w:rsidP="008D4511">
            <w:pPr>
              <w:jc w:val="center"/>
              <w:rPr>
                <w:rFonts w:ascii="Arial" w:hAnsi="Arial" w:cs="Arial"/>
              </w:rPr>
            </w:pPr>
            <w:r w:rsidRPr="00B4038F">
              <w:rPr>
                <w:rFonts w:ascii="Arial" w:hAnsi="Arial" w:cs="Arial"/>
              </w:rPr>
              <w:t>2014</w:t>
            </w:r>
          </w:p>
        </w:tc>
        <w:tc>
          <w:tcPr>
            <w:tcW w:w="691" w:type="dxa"/>
            <w:tcBorders>
              <w:left w:val="outset" w:sz="6" w:space="0" w:color="auto"/>
            </w:tcBorders>
            <w:shd w:val="clear" w:color="auto" w:fill="FFFFCC"/>
          </w:tcPr>
          <w:p w:rsidR="00855108" w:rsidRPr="00B4038F" w:rsidRDefault="00855108" w:rsidP="008D4511">
            <w:pPr>
              <w:jc w:val="center"/>
              <w:rPr>
                <w:rFonts w:ascii="Arial" w:hAnsi="Arial" w:cs="Arial"/>
              </w:rPr>
            </w:pPr>
            <w:r>
              <w:rPr>
                <w:rFonts w:ascii="Arial" w:hAnsi="Arial" w:cs="Arial"/>
              </w:rPr>
              <w:t>2015</w:t>
            </w:r>
          </w:p>
        </w:tc>
        <w:tc>
          <w:tcPr>
            <w:tcW w:w="697" w:type="dxa"/>
            <w:tcBorders>
              <w:left w:val="outset" w:sz="6" w:space="0" w:color="auto"/>
            </w:tcBorders>
            <w:shd w:val="clear" w:color="auto" w:fill="FFFFCC"/>
          </w:tcPr>
          <w:p w:rsidR="00855108" w:rsidRDefault="00855108" w:rsidP="008D4511">
            <w:pPr>
              <w:jc w:val="center"/>
              <w:rPr>
                <w:rFonts w:ascii="Arial" w:hAnsi="Arial" w:cs="Arial"/>
              </w:rPr>
            </w:pPr>
            <w:r>
              <w:rPr>
                <w:rFonts w:ascii="Arial" w:hAnsi="Arial" w:cs="Arial"/>
              </w:rPr>
              <w:t>2016</w:t>
            </w:r>
          </w:p>
        </w:tc>
        <w:tc>
          <w:tcPr>
            <w:tcW w:w="995" w:type="dxa"/>
            <w:tcBorders>
              <w:left w:val="outset" w:sz="6" w:space="0" w:color="auto"/>
            </w:tcBorders>
            <w:shd w:val="clear" w:color="auto" w:fill="FFFFCC"/>
          </w:tcPr>
          <w:p w:rsidR="00855108" w:rsidRDefault="00855108" w:rsidP="008D4511">
            <w:pPr>
              <w:jc w:val="center"/>
              <w:rPr>
                <w:rFonts w:ascii="Arial" w:hAnsi="Arial" w:cs="Arial"/>
              </w:rPr>
            </w:pPr>
            <w:r>
              <w:rPr>
                <w:rFonts w:ascii="Arial" w:hAnsi="Arial" w:cs="Arial"/>
              </w:rPr>
              <w:t>2017</w:t>
            </w:r>
          </w:p>
        </w:tc>
      </w:tr>
      <w:tr w:rsidR="00855108" w:rsidRPr="00DF0915" w:rsidTr="00855108">
        <w:trPr>
          <w:trHeight w:val="297"/>
          <w:tblCellSpacing w:w="20" w:type="dxa"/>
          <w:jc w:val="center"/>
        </w:trPr>
        <w:tc>
          <w:tcPr>
            <w:tcW w:w="2369" w:type="dxa"/>
            <w:shd w:val="clear" w:color="auto" w:fill="auto"/>
            <w:vAlign w:val="center"/>
          </w:tcPr>
          <w:p w:rsidR="00855108" w:rsidRPr="00DF0915" w:rsidRDefault="00855108" w:rsidP="00DF0915">
            <w:pPr>
              <w:jc w:val="center"/>
              <w:rPr>
                <w:rFonts w:ascii="Arial" w:hAnsi="Arial" w:cs="Arial"/>
                <w:lang w:val="it-IT"/>
              </w:rPr>
            </w:pPr>
            <w:r w:rsidRPr="00DF0915">
              <w:rPr>
                <w:rFonts w:ascii="Arial" w:hAnsi="Arial" w:cs="Arial"/>
                <w:lang w:val="it-IT"/>
              </w:rPr>
              <w:t>PM2,5</w:t>
            </w:r>
            <w:r w:rsidRPr="00DF0915">
              <w:rPr>
                <w:rFonts w:ascii="Arial" w:hAnsi="Arial" w:cs="Arial"/>
                <w:vertAlign w:val="subscript"/>
                <w:lang w:val="it-IT"/>
              </w:rPr>
              <w:t xml:space="preserve"> </w:t>
            </w:r>
            <w:r w:rsidRPr="00DF0915">
              <w:rPr>
                <w:rFonts w:ascii="Arial" w:hAnsi="Arial" w:cs="Arial"/>
                <w:lang w:val="it-IT"/>
              </w:rPr>
              <w:t>(</w:t>
            </w:r>
            <w:r w:rsidRPr="00DF0915">
              <w:rPr>
                <w:rFonts w:ascii="Arial" w:hAnsi="Arial" w:cs="Arial"/>
              </w:rPr>
              <w:t>μ</w:t>
            </w:r>
            <w:r w:rsidRPr="00DF0915">
              <w:rPr>
                <w:rFonts w:ascii="Arial" w:hAnsi="Arial" w:cs="Arial"/>
                <w:lang w:val="it-IT"/>
              </w:rPr>
              <w:t>g/mc)</w:t>
            </w:r>
          </w:p>
          <w:p w:rsidR="00855108" w:rsidRPr="00DF0915" w:rsidRDefault="00855108" w:rsidP="00E934AC">
            <w:pPr>
              <w:jc w:val="center"/>
              <w:rPr>
                <w:rFonts w:ascii="Arial" w:hAnsi="Arial" w:cs="Arial"/>
                <w:lang w:val="it-IT"/>
              </w:rPr>
            </w:pPr>
            <w:r w:rsidRPr="00DF0915">
              <w:rPr>
                <w:rFonts w:ascii="Arial" w:hAnsi="Arial" w:cs="Arial"/>
                <w:lang w:val="it-IT"/>
              </w:rPr>
              <w:t>nefelometric/gravimetric</w:t>
            </w:r>
          </w:p>
        </w:tc>
        <w:tc>
          <w:tcPr>
            <w:tcW w:w="1021" w:type="dxa"/>
            <w:tcBorders>
              <w:right w:val="outset" w:sz="6" w:space="0" w:color="auto"/>
            </w:tcBorders>
            <w:shd w:val="clear" w:color="auto" w:fill="auto"/>
            <w:vAlign w:val="center"/>
          </w:tcPr>
          <w:p w:rsidR="00855108" w:rsidRPr="00DF0915" w:rsidRDefault="00855108" w:rsidP="00DF0915">
            <w:pPr>
              <w:jc w:val="center"/>
              <w:rPr>
                <w:rFonts w:ascii="Arial" w:hAnsi="Arial" w:cs="Arial"/>
              </w:rPr>
            </w:pPr>
            <w:r w:rsidRPr="00DF0915">
              <w:rPr>
                <w:rFonts w:ascii="Arial" w:hAnsi="Arial" w:cs="Arial"/>
              </w:rPr>
              <w:t>CT2-Fond urban</w:t>
            </w:r>
          </w:p>
        </w:tc>
        <w:tc>
          <w:tcPr>
            <w:tcW w:w="760" w:type="dxa"/>
            <w:tcBorders>
              <w:left w:val="outset" w:sz="6" w:space="0" w:color="auto"/>
            </w:tcBorders>
            <w:shd w:val="clear" w:color="auto" w:fill="auto"/>
            <w:vAlign w:val="center"/>
          </w:tcPr>
          <w:p w:rsidR="00855108" w:rsidRDefault="00855108" w:rsidP="00C44716">
            <w:pPr>
              <w:jc w:val="center"/>
              <w:rPr>
                <w:rFonts w:ascii="Arial" w:hAnsi="Arial" w:cs="Arial"/>
              </w:rPr>
            </w:pPr>
            <w:r w:rsidRPr="00DF0915">
              <w:rPr>
                <w:rFonts w:ascii="Arial" w:hAnsi="Arial" w:cs="Arial"/>
              </w:rPr>
              <w:t>14 /</w:t>
            </w:r>
          </w:p>
          <w:p w:rsidR="00855108" w:rsidRPr="00DF0915" w:rsidRDefault="00855108" w:rsidP="00C44716">
            <w:pPr>
              <w:jc w:val="center"/>
              <w:rPr>
                <w:rFonts w:ascii="Arial" w:hAnsi="Arial" w:cs="Arial"/>
              </w:rPr>
            </w:pPr>
            <w:r w:rsidRPr="00DF0915">
              <w:rPr>
                <w:rFonts w:ascii="Arial" w:hAnsi="Arial" w:cs="Arial"/>
              </w:rPr>
              <w:t>13</w:t>
            </w:r>
          </w:p>
        </w:tc>
        <w:tc>
          <w:tcPr>
            <w:tcW w:w="712" w:type="dxa"/>
            <w:shd w:val="clear" w:color="auto" w:fill="auto"/>
            <w:vAlign w:val="center"/>
          </w:tcPr>
          <w:p w:rsidR="00855108" w:rsidRDefault="00855108" w:rsidP="00C44716">
            <w:pPr>
              <w:jc w:val="center"/>
              <w:rPr>
                <w:rFonts w:ascii="Arial" w:hAnsi="Arial" w:cs="Arial"/>
              </w:rPr>
            </w:pPr>
            <w:r w:rsidRPr="00DF0915">
              <w:rPr>
                <w:rFonts w:ascii="Arial" w:hAnsi="Arial" w:cs="Arial"/>
              </w:rPr>
              <w:t>16 /</w:t>
            </w:r>
          </w:p>
          <w:p w:rsidR="00855108" w:rsidRPr="00DF0915" w:rsidRDefault="00855108" w:rsidP="00C44716">
            <w:pPr>
              <w:jc w:val="center"/>
              <w:rPr>
                <w:rFonts w:ascii="Arial" w:hAnsi="Arial" w:cs="Arial"/>
              </w:rPr>
            </w:pPr>
            <w:r>
              <w:rPr>
                <w:rFonts w:ascii="Arial" w:hAnsi="Arial" w:cs="Arial"/>
              </w:rPr>
              <w:t>***</w:t>
            </w:r>
          </w:p>
        </w:tc>
        <w:tc>
          <w:tcPr>
            <w:tcW w:w="801" w:type="dxa"/>
            <w:tcBorders>
              <w:right w:val="outset" w:sz="6" w:space="0" w:color="auto"/>
            </w:tcBorders>
            <w:shd w:val="clear" w:color="auto" w:fill="auto"/>
            <w:vAlign w:val="center"/>
          </w:tcPr>
          <w:p w:rsidR="00855108" w:rsidRDefault="00855108" w:rsidP="00C44716">
            <w:pPr>
              <w:jc w:val="center"/>
              <w:rPr>
                <w:rFonts w:ascii="Arial" w:hAnsi="Arial" w:cs="Arial"/>
              </w:rPr>
            </w:pPr>
            <w:r>
              <w:rPr>
                <w:rFonts w:ascii="Arial" w:hAnsi="Arial" w:cs="Arial"/>
              </w:rPr>
              <w:t>17,32</w:t>
            </w:r>
            <w:r w:rsidRPr="00DF0915">
              <w:rPr>
                <w:rFonts w:ascii="Arial" w:hAnsi="Arial" w:cs="Arial"/>
              </w:rPr>
              <w:t xml:space="preserve"> /</w:t>
            </w:r>
          </w:p>
          <w:p w:rsidR="00855108" w:rsidRPr="00DF0915" w:rsidRDefault="00855108" w:rsidP="00C44716">
            <w:pPr>
              <w:jc w:val="center"/>
              <w:rPr>
                <w:rFonts w:ascii="Arial" w:hAnsi="Arial" w:cs="Arial"/>
              </w:rPr>
            </w:pPr>
            <w:r>
              <w:rPr>
                <w:rFonts w:ascii="Arial" w:hAnsi="Arial" w:cs="Arial"/>
              </w:rPr>
              <w:t>***</w:t>
            </w:r>
          </w:p>
        </w:tc>
        <w:tc>
          <w:tcPr>
            <w:tcW w:w="924" w:type="dxa"/>
            <w:tcBorders>
              <w:left w:val="outset" w:sz="6" w:space="0" w:color="auto"/>
            </w:tcBorders>
            <w:shd w:val="clear" w:color="auto" w:fill="auto"/>
            <w:vAlign w:val="center"/>
          </w:tcPr>
          <w:p w:rsidR="00855108" w:rsidRDefault="00855108" w:rsidP="00C44716">
            <w:pPr>
              <w:jc w:val="center"/>
              <w:rPr>
                <w:rFonts w:ascii="Arial" w:hAnsi="Arial" w:cs="Arial"/>
              </w:rPr>
            </w:pPr>
            <w:r w:rsidRPr="00DF0915">
              <w:rPr>
                <w:rFonts w:ascii="Arial" w:hAnsi="Arial" w:cs="Arial"/>
              </w:rPr>
              <w:t>18,162/</w:t>
            </w:r>
          </w:p>
          <w:p w:rsidR="00855108" w:rsidRPr="00DF0915" w:rsidRDefault="00855108" w:rsidP="00C44716">
            <w:pPr>
              <w:jc w:val="center"/>
              <w:rPr>
                <w:rFonts w:ascii="Arial" w:hAnsi="Arial" w:cs="Arial"/>
              </w:rPr>
            </w:pPr>
            <w:r w:rsidRPr="00DF0915">
              <w:rPr>
                <w:rFonts w:ascii="Arial" w:hAnsi="Arial" w:cs="Arial"/>
              </w:rPr>
              <w:t>16,29</w:t>
            </w:r>
          </w:p>
        </w:tc>
        <w:tc>
          <w:tcPr>
            <w:tcW w:w="753" w:type="dxa"/>
            <w:tcBorders>
              <w:left w:val="outset" w:sz="6" w:space="0" w:color="auto"/>
              <w:right w:val="outset" w:sz="6" w:space="0" w:color="auto"/>
            </w:tcBorders>
            <w:vAlign w:val="center"/>
          </w:tcPr>
          <w:p w:rsidR="00855108" w:rsidRDefault="00855108" w:rsidP="00C44716">
            <w:pPr>
              <w:jc w:val="center"/>
              <w:rPr>
                <w:rFonts w:ascii="Arial" w:hAnsi="Arial" w:cs="Arial"/>
              </w:rPr>
            </w:pPr>
            <w:r>
              <w:rPr>
                <w:rFonts w:ascii="Arial" w:hAnsi="Arial" w:cs="Arial"/>
              </w:rPr>
              <w:t>***/</w:t>
            </w:r>
          </w:p>
          <w:p w:rsidR="00855108" w:rsidRPr="00DF0915" w:rsidRDefault="00855108" w:rsidP="00C44716">
            <w:pPr>
              <w:jc w:val="center"/>
              <w:rPr>
                <w:rFonts w:ascii="Arial" w:hAnsi="Arial" w:cs="Arial"/>
              </w:rPr>
            </w:pPr>
            <w:r>
              <w:rPr>
                <w:rFonts w:ascii="Arial" w:hAnsi="Arial" w:cs="Arial"/>
              </w:rPr>
              <w:t>13,41</w:t>
            </w:r>
          </w:p>
        </w:tc>
        <w:tc>
          <w:tcPr>
            <w:tcW w:w="691" w:type="dxa"/>
            <w:tcBorders>
              <w:left w:val="outset" w:sz="6" w:space="0" w:color="auto"/>
              <w:right w:val="outset" w:sz="6" w:space="0" w:color="auto"/>
            </w:tcBorders>
            <w:vAlign w:val="center"/>
          </w:tcPr>
          <w:p w:rsidR="00855108" w:rsidRDefault="00855108" w:rsidP="00C44716">
            <w:pPr>
              <w:jc w:val="center"/>
              <w:rPr>
                <w:rFonts w:ascii="Arial" w:hAnsi="Arial" w:cs="Arial"/>
              </w:rPr>
            </w:pPr>
            <w:r>
              <w:rPr>
                <w:rFonts w:ascii="Arial" w:hAnsi="Arial" w:cs="Arial"/>
              </w:rPr>
              <w:t>***/</w:t>
            </w:r>
          </w:p>
          <w:p w:rsidR="00855108" w:rsidRPr="00DF0915" w:rsidRDefault="00855108" w:rsidP="00C44716">
            <w:pPr>
              <w:jc w:val="center"/>
              <w:rPr>
                <w:rFonts w:ascii="Arial" w:hAnsi="Arial" w:cs="Arial"/>
              </w:rPr>
            </w:pPr>
            <w:r>
              <w:rPr>
                <w:rFonts w:ascii="Arial" w:hAnsi="Arial" w:cs="Arial"/>
              </w:rPr>
              <w:t>***</w:t>
            </w:r>
          </w:p>
        </w:tc>
        <w:tc>
          <w:tcPr>
            <w:tcW w:w="691" w:type="dxa"/>
            <w:tcBorders>
              <w:left w:val="outset" w:sz="6" w:space="0" w:color="auto"/>
            </w:tcBorders>
            <w:vAlign w:val="center"/>
          </w:tcPr>
          <w:p w:rsidR="00855108" w:rsidRDefault="00855108" w:rsidP="00C44716">
            <w:pPr>
              <w:jc w:val="center"/>
              <w:rPr>
                <w:rFonts w:ascii="Arial" w:hAnsi="Arial" w:cs="Arial"/>
              </w:rPr>
            </w:pPr>
            <w:r>
              <w:rPr>
                <w:rFonts w:ascii="Arial" w:hAnsi="Arial" w:cs="Arial"/>
              </w:rPr>
              <w:t>***/</w:t>
            </w:r>
          </w:p>
          <w:p w:rsidR="00855108" w:rsidRPr="00DF0915" w:rsidRDefault="00855108" w:rsidP="00C44716">
            <w:pPr>
              <w:jc w:val="center"/>
              <w:rPr>
                <w:rFonts w:ascii="Arial" w:hAnsi="Arial" w:cs="Arial"/>
              </w:rPr>
            </w:pPr>
            <w:r>
              <w:rPr>
                <w:rFonts w:ascii="Arial" w:hAnsi="Arial" w:cs="Arial"/>
              </w:rPr>
              <w:t>***</w:t>
            </w:r>
          </w:p>
        </w:tc>
        <w:tc>
          <w:tcPr>
            <w:tcW w:w="697" w:type="dxa"/>
            <w:tcBorders>
              <w:left w:val="outset" w:sz="6" w:space="0" w:color="auto"/>
            </w:tcBorders>
            <w:vAlign w:val="center"/>
          </w:tcPr>
          <w:p w:rsidR="00855108" w:rsidRDefault="00855108" w:rsidP="00D13010">
            <w:pPr>
              <w:jc w:val="center"/>
              <w:rPr>
                <w:rFonts w:ascii="Arial" w:hAnsi="Arial" w:cs="Arial"/>
              </w:rPr>
            </w:pPr>
            <w:r>
              <w:rPr>
                <w:rFonts w:ascii="Arial" w:hAnsi="Arial" w:cs="Arial"/>
              </w:rPr>
              <w:t>***/</w:t>
            </w:r>
          </w:p>
          <w:p w:rsidR="00855108" w:rsidRPr="00DF0915" w:rsidRDefault="00855108" w:rsidP="00D13010">
            <w:pPr>
              <w:jc w:val="center"/>
              <w:rPr>
                <w:rFonts w:ascii="Arial" w:hAnsi="Arial" w:cs="Arial"/>
              </w:rPr>
            </w:pPr>
            <w:r>
              <w:rPr>
                <w:rFonts w:ascii="Arial" w:hAnsi="Arial" w:cs="Arial"/>
              </w:rPr>
              <w:t>***</w:t>
            </w:r>
          </w:p>
        </w:tc>
        <w:tc>
          <w:tcPr>
            <w:tcW w:w="995" w:type="dxa"/>
            <w:tcBorders>
              <w:left w:val="outset" w:sz="6" w:space="0" w:color="auto"/>
            </w:tcBorders>
          </w:tcPr>
          <w:p w:rsidR="00855108" w:rsidRDefault="00855108" w:rsidP="00D13010">
            <w:pPr>
              <w:jc w:val="center"/>
              <w:rPr>
                <w:rFonts w:ascii="Arial" w:hAnsi="Arial" w:cs="Arial"/>
              </w:rPr>
            </w:pPr>
            <w:r>
              <w:rPr>
                <w:rFonts w:ascii="Arial" w:hAnsi="Arial" w:cs="Arial"/>
              </w:rPr>
              <w:t>18.89/</w:t>
            </w:r>
          </w:p>
          <w:p w:rsidR="00855108" w:rsidRDefault="00855108" w:rsidP="00D13010">
            <w:pPr>
              <w:jc w:val="center"/>
              <w:rPr>
                <w:rFonts w:ascii="Arial" w:hAnsi="Arial" w:cs="Arial"/>
              </w:rPr>
            </w:pPr>
            <w:r>
              <w:rPr>
                <w:rFonts w:ascii="Arial" w:hAnsi="Arial" w:cs="Arial"/>
              </w:rPr>
              <w:t>12.29</w:t>
            </w:r>
          </w:p>
        </w:tc>
      </w:tr>
    </w:tbl>
    <w:p w:rsidR="00810E10" w:rsidRDefault="00810E10" w:rsidP="00810E10">
      <w:pPr>
        <w:autoSpaceDE w:val="0"/>
        <w:autoSpaceDN w:val="0"/>
        <w:adjustRightInd w:val="0"/>
        <w:jc w:val="both"/>
        <w:rPr>
          <w:rFonts w:ascii="Arial" w:hAnsi="Arial" w:cs="Arial"/>
          <w:sz w:val="24"/>
          <w:szCs w:val="24"/>
        </w:rPr>
      </w:pPr>
    </w:p>
    <w:p w:rsidR="00810E10" w:rsidRDefault="00810E10" w:rsidP="00810E10">
      <w:pPr>
        <w:autoSpaceDE w:val="0"/>
        <w:autoSpaceDN w:val="0"/>
        <w:adjustRightInd w:val="0"/>
        <w:jc w:val="both"/>
        <w:rPr>
          <w:rFonts w:ascii="Arial" w:hAnsi="Arial" w:cs="Arial"/>
          <w:bCs/>
          <w:sz w:val="24"/>
          <w:szCs w:val="24"/>
          <w:lang w:val="it-IT"/>
        </w:rPr>
      </w:pPr>
      <w:r w:rsidRPr="006325A2">
        <w:rPr>
          <w:rFonts w:ascii="Arial" w:hAnsi="Arial" w:cs="Arial"/>
          <w:sz w:val="24"/>
          <w:szCs w:val="24"/>
        </w:rPr>
        <w:t>Din motive tehnice, pentru anii 2014</w:t>
      </w:r>
      <w:r w:rsidR="00855108">
        <w:rPr>
          <w:rFonts w:ascii="Arial" w:hAnsi="Arial" w:cs="Arial"/>
          <w:sz w:val="24"/>
          <w:szCs w:val="24"/>
        </w:rPr>
        <w:t xml:space="preserve"> -</w:t>
      </w:r>
      <w:r w:rsidRPr="006325A2">
        <w:rPr>
          <w:rFonts w:ascii="Arial" w:hAnsi="Arial" w:cs="Arial"/>
          <w:sz w:val="24"/>
          <w:szCs w:val="24"/>
        </w:rPr>
        <w:t xml:space="preserve"> 201</w:t>
      </w:r>
      <w:r w:rsidR="00855108">
        <w:rPr>
          <w:rFonts w:ascii="Arial" w:hAnsi="Arial" w:cs="Arial"/>
          <w:sz w:val="24"/>
          <w:szCs w:val="24"/>
        </w:rPr>
        <w:t>6</w:t>
      </w:r>
      <w:r w:rsidRPr="006325A2">
        <w:rPr>
          <w:rFonts w:ascii="Arial" w:hAnsi="Arial" w:cs="Arial"/>
          <w:sz w:val="24"/>
          <w:szCs w:val="24"/>
        </w:rPr>
        <w:t xml:space="preserve"> </w:t>
      </w:r>
      <w:r w:rsidRPr="006325A2">
        <w:rPr>
          <w:rFonts w:ascii="Arial" w:hAnsi="Arial" w:cs="Arial"/>
          <w:bCs/>
          <w:sz w:val="24"/>
          <w:szCs w:val="24"/>
          <w:lang w:val="it-IT"/>
        </w:rPr>
        <w:t>datele validate sunt insuficiente pentru a respecta criteriile de calitate conform Legii 104/2011 (captura de date pentru minim 75% din intervalul de timp calendaristic).</w:t>
      </w:r>
    </w:p>
    <w:p w:rsidR="00855108" w:rsidRDefault="00855108" w:rsidP="00810E10">
      <w:pPr>
        <w:autoSpaceDE w:val="0"/>
        <w:autoSpaceDN w:val="0"/>
        <w:adjustRightInd w:val="0"/>
        <w:jc w:val="both"/>
        <w:rPr>
          <w:rFonts w:ascii="Arial" w:hAnsi="Arial" w:cs="Arial"/>
          <w:bCs/>
          <w:sz w:val="24"/>
          <w:szCs w:val="24"/>
          <w:lang w:val="it-IT"/>
        </w:rPr>
      </w:pPr>
    </w:p>
    <w:p w:rsidR="00855108" w:rsidRPr="006325A2" w:rsidRDefault="00855108" w:rsidP="00810E10">
      <w:pPr>
        <w:autoSpaceDE w:val="0"/>
        <w:autoSpaceDN w:val="0"/>
        <w:adjustRightInd w:val="0"/>
        <w:jc w:val="both"/>
        <w:rPr>
          <w:rFonts w:ascii="Arial" w:hAnsi="Arial" w:cs="Arial"/>
          <w:bCs/>
          <w:sz w:val="24"/>
          <w:szCs w:val="24"/>
          <w:lang w:val="it-IT"/>
        </w:rPr>
      </w:pPr>
      <w:r w:rsidRPr="00855108">
        <w:rPr>
          <w:rFonts w:ascii="Arial" w:hAnsi="Arial" w:cs="Arial"/>
          <w:bCs/>
          <w:noProof/>
          <w:sz w:val="24"/>
          <w:szCs w:val="24"/>
        </w:rPr>
        <w:drawing>
          <wp:inline distT="0" distB="0" distL="0" distR="0">
            <wp:extent cx="5485873" cy="3614468"/>
            <wp:effectExtent l="19050" t="0" r="19577" b="5032"/>
            <wp:docPr id="6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07171" w:rsidRPr="00083153" w:rsidRDefault="00D77F9B" w:rsidP="00E045C9">
      <w:pPr>
        <w:jc w:val="center"/>
        <w:rPr>
          <w:rFonts w:ascii="Arial" w:hAnsi="Arial" w:cs="Arial"/>
          <w:i/>
          <w:sz w:val="24"/>
          <w:szCs w:val="24"/>
          <w:lang w:val="ro-RO"/>
        </w:rPr>
      </w:pPr>
      <w:r w:rsidRPr="00D129ED">
        <w:rPr>
          <w:rFonts w:ascii="Arial" w:hAnsi="Arial" w:cs="Arial"/>
          <w:color w:val="FF0000"/>
          <w:sz w:val="24"/>
          <w:szCs w:val="24"/>
          <w:lang w:val="it-IT"/>
        </w:rPr>
        <w:t xml:space="preserve"> </w:t>
      </w:r>
      <w:r w:rsidR="00E045C9">
        <w:rPr>
          <w:rFonts w:ascii="Arial" w:hAnsi="Arial" w:cs="Arial"/>
          <w:i/>
          <w:sz w:val="24"/>
          <w:szCs w:val="24"/>
          <w:lang w:val="ro-RO"/>
        </w:rPr>
        <w:t xml:space="preserve">                                                                                                               </w:t>
      </w:r>
      <w:r w:rsidR="00C07171" w:rsidRPr="00083153">
        <w:rPr>
          <w:rFonts w:ascii="Arial" w:hAnsi="Arial" w:cs="Arial"/>
          <w:i/>
          <w:sz w:val="24"/>
          <w:szCs w:val="24"/>
          <w:lang w:val="ro-RO"/>
        </w:rPr>
        <w:t xml:space="preserve">Figura </w:t>
      </w:r>
      <w:r w:rsidR="00083153" w:rsidRPr="00083153">
        <w:rPr>
          <w:rFonts w:ascii="Arial" w:hAnsi="Arial" w:cs="Arial"/>
          <w:i/>
          <w:sz w:val="24"/>
          <w:szCs w:val="24"/>
          <w:lang w:val="ro-RO"/>
        </w:rPr>
        <w:t>1.1.1</w:t>
      </w:r>
      <w:r w:rsidR="00C07171" w:rsidRPr="00083153">
        <w:rPr>
          <w:rFonts w:ascii="Arial" w:hAnsi="Arial" w:cs="Arial"/>
          <w:i/>
          <w:sz w:val="24"/>
          <w:szCs w:val="24"/>
          <w:lang w:val="ro-RO"/>
        </w:rPr>
        <w:t>.2.</w:t>
      </w:r>
      <w:r w:rsidR="00DA3703">
        <w:rPr>
          <w:rFonts w:ascii="Arial" w:hAnsi="Arial" w:cs="Arial"/>
          <w:i/>
          <w:sz w:val="24"/>
          <w:szCs w:val="24"/>
          <w:lang w:val="ro-RO"/>
        </w:rPr>
        <w:t>7</w:t>
      </w:r>
      <w:r w:rsidR="00C07171" w:rsidRPr="00083153">
        <w:rPr>
          <w:rFonts w:ascii="Arial" w:hAnsi="Arial" w:cs="Arial"/>
          <w:i/>
          <w:sz w:val="24"/>
          <w:szCs w:val="24"/>
          <w:lang w:val="ro-RO"/>
        </w:rPr>
        <w:t>.</w:t>
      </w:r>
    </w:p>
    <w:p w:rsidR="00A65047" w:rsidRDefault="00A65047" w:rsidP="00810E10">
      <w:pPr>
        <w:tabs>
          <w:tab w:val="num" w:pos="0"/>
        </w:tabs>
        <w:jc w:val="both"/>
        <w:rPr>
          <w:rFonts w:ascii="Arial" w:hAnsi="Arial" w:cs="Arial"/>
          <w:color w:val="FF0000"/>
          <w:sz w:val="24"/>
          <w:szCs w:val="24"/>
          <w:lang w:val="it-IT" w:eastAsia="ro-RO"/>
        </w:rPr>
      </w:pPr>
    </w:p>
    <w:p w:rsidR="00C07171" w:rsidRDefault="00855108" w:rsidP="009776CE">
      <w:pPr>
        <w:tabs>
          <w:tab w:val="num" w:pos="0"/>
        </w:tabs>
        <w:jc w:val="both"/>
        <w:rPr>
          <w:rFonts w:ascii="Arial" w:hAnsi="Arial" w:cs="Arial"/>
          <w:sz w:val="24"/>
          <w:szCs w:val="24"/>
          <w:lang w:val="ro-RO" w:eastAsia="ro-RO"/>
        </w:rPr>
      </w:pPr>
      <w:r>
        <w:rPr>
          <w:rFonts w:ascii="Arial" w:hAnsi="Arial" w:cs="Arial"/>
          <w:sz w:val="24"/>
          <w:szCs w:val="24"/>
          <w:lang w:val="ro-RO" w:eastAsia="ro-RO"/>
        </w:rPr>
        <w:t>N</w:t>
      </w:r>
      <w:r w:rsidR="00A957E1" w:rsidRPr="00A14E05">
        <w:rPr>
          <w:rFonts w:ascii="Arial" w:hAnsi="Arial" w:cs="Arial"/>
          <w:sz w:val="24"/>
          <w:szCs w:val="24"/>
          <w:lang w:val="ro-RO" w:eastAsia="ro-RO"/>
        </w:rPr>
        <w:t xml:space="preserve">u </w:t>
      </w:r>
      <w:r>
        <w:rPr>
          <w:rFonts w:ascii="Arial" w:hAnsi="Arial" w:cs="Arial"/>
          <w:sz w:val="24"/>
          <w:szCs w:val="24"/>
          <w:lang w:val="ro-RO" w:eastAsia="ro-RO"/>
        </w:rPr>
        <w:t>s-au inregistrat</w:t>
      </w:r>
      <w:r w:rsidR="00A957E1" w:rsidRPr="00A14E05">
        <w:rPr>
          <w:rFonts w:ascii="Arial" w:hAnsi="Arial" w:cs="Arial"/>
          <w:sz w:val="24"/>
          <w:szCs w:val="24"/>
          <w:lang w:val="ro-RO" w:eastAsia="ro-RO"/>
        </w:rPr>
        <w:t xml:space="preserve"> depasiri pentru poluantul</w:t>
      </w:r>
      <w:r w:rsidR="00A957E1">
        <w:rPr>
          <w:rFonts w:ascii="Arial" w:hAnsi="Arial" w:cs="Arial"/>
          <w:sz w:val="24"/>
          <w:szCs w:val="24"/>
          <w:lang w:val="ro-RO" w:eastAsia="ro-RO"/>
        </w:rPr>
        <w:t xml:space="preserve"> PM2,5.</w:t>
      </w:r>
    </w:p>
    <w:p w:rsidR="00A957E1" w:rsidRDefault="00A957E1" w:rsidP="009776CE">
      <w:pPr>
        <w:tabs>
          <w:tab w:val="num" w:pos="0"/>
        </w:tabs>
        <w:jc w:val="both"/>
        <w:rPr>
          <w:rFonts w:ascii="Arial" w:hAnsi="Arial" w:cs="Arial"/>
          <w:b/>
          <w:sz w:val="24"/>
          <w:szCs w:val="24"/>
          <w:lang w:val="ro-RO" w:eastAsia="ro-RO"/>
        </w:rPr>
      </w:pPr>
    </w:p>
    <w:p w:rsidR="00585294" w:rsidRPr="00EF3F11" w:rsidRDefault="008E2B1D" w:rsidP="00D57F46">
      <w:pPr>
        <w:tabs>
          <w:tab w:val="num" w:pos="0"/>
        </w:tabs>
        <w:jc w:val="both"/>
        <w:rPr>
          <w:rFonts w:ascii="Arial" w:hAnsi="Arial" w:cs="Arial"/>
          <w:b/>
          <w:sz w:val="24"/>
          <w:szCs w:val="24"/>
          <w:lang w:val="ro-RO"/>
        </w:rPr>
      </w:pPr>
      <w:r>
        <w:rPr>
          <w:rFonts w:ascii="Arial" w:hAnsi="Arial" w:cs="Arial"/>
          <w:b/>
          <w:sz w:val="24"/>
          <w:szCs w:val="24"/>
          <w:lang w:val="ro-RO"/>
        </w:rPr>
        <w:t xml:space="preserve">    </w:t>
      </w:r>
      <w:r w:rsidR="002F5E34" w:rsidRPr="00EF3F11">
        <w:rPr>
          <w:rFonts w:ascii="Arial" w:hAnsi="Arial" w:cs="Arial"/>
          <w:b/>
          <w:sz w:val="24"/>
          <w:szCs w:val="24"/>
          <w:lang w:val="ro-RO"/>
        </w:rPr>
        <w:t xml:space="preserve">Metale grele </w:t>
      </w:r>
      <w:r w:rsidR="00385D27" w:rsidRPr="00EF3F11">
        <w:rPr>
          <w:rFonts w:ascii="Arial" w:hAnsi="Arial" w:cs="Arial"/>
          <w:b/>
          <w:sz w:val="24"/>
          <w:szCs w:val="24"/>
          <w:lang w:val="ro-RO"/>
        </w:rPr>
        <w:t>–</w:t>
      </w:r>
      <w:r w:rsidR="002F5E34" w:rsidRPr="00EF3F11">
        <w:rPr>
          <w:rFonts w:ascii="Arial" w:hAnsi="Arial" w:cs="Arial"/>
          <w:b/>
          <w:sz w:val="24"/>
          <w:szCs w:val="24"/>
          <w:lang w:val="ro-RO"/>
        </w:rPr>
        <w:t xml:space="preserve"> plumb</w:t>
      </w:r>
      <w:r w:rsidR="009A202B" w:rsidRPr="00EF3F11">
        <w:rPr>
          <w:rFonts w:ascii="Arial" w:hAnsi="Arial" w:cs="Arial"/>
          <w:b/>
          <w:sz w:val="24"/>
          <w:szCs w:val="24"/>
          <w:lang w:val="ro-RO"/>
        </w:rPr>
        <w:t xml:space="preserve">, </w:t>
      </w:r>
      <w:r w:rsidR="00810573" w:rsidRPr="00EF3F11">
        <w:rPr>
          <w:rFonts w:ascii="Arial" w:hAnsi="Arial" w:cs="Arial"/>
          <w:b/>
          <w:sz w:val="24"/>
          <w:szCs w:val="24"/>
          <w:lang w:val="ro-RO"/>
        </w:rPr>
        <w:t>cadmiu</w:t>
      </w:r>
      <w:r w:rsidR="00810573">
        <w:rPr>
          <w:rFonts w:ascii="Arial" w:hAnsi="Arial" w:cs="Arial"/>
          <w:b/>
          <w:sz w:val="24"/>
          <w:szCs w:val="24"/>
          <w:lang w:val="ro-RO"/>
        </w:rPr>
        <w:t>,</w:t>
      </w:r>
      <w:r w:rsidR="00810573" w:rsidRPr="00EF3F11">
        <w:rPr>
          <w:rFonts w:ascii="Arial" w:hAnsi="Arial" w:cs="Arial"/>
          <w:b/>
          <w:sz w:val="24"/>
          <w:szCs w:val="24"/>
          <w:lang w:val="ro-RO"/>
        </w:rPr>
        <w:t xml:space="preserve"> </w:t>
      </w:r>
      <w:r w:rsidR="009A202B" w:rsidRPr="00EF3F11">
        <w:rPr>
          <w:rFonts w:ascii="Arial" w:hAnsi="Arial" w:cs="Arial"/>
          <w:b/>
          <w:sz w:val="24"/>
          <w:szCs w:val="24"/>
          <w:lang w:val="ro-RO"/>
        </w:rPr>
        <w:t>nichel, arseniu</w:t>
      </w:r>
    </w:p>
    <w:p w:rsidR="00C07171" w:rsidRPr="00EF3F11" w:rsidRDefault="00C07171" w:rsidP="009776CE">
      <w:pPr>
        <w:tabs>
          <w:tab w:val="num" w:pos="0"/>
        </w:tabs>
        <w:jc w:val="both"/>
        <w:rPr>
          <w:rFonts w:ascii="Arial" w:hAnsi="Arial" w:cs="Arial"/>
          <w:b/>
          <w:sz w:val="24"/>
          <w:szCs w:val="24"/>
          <w:lang w:val="ro-RO"/>
        </w:rPr>
      </w:pPr>
    </w:p>
    <w:p w:rsidR="00C07171" w:rsidRDefault="00C07171" w:rsidP="009776CE">
      <w:pPr>
        <w:tabs>
          <w:tab w:val="num" w:pos="0"/>
        </w:tabs>
        <w:jc w:val="both"/>
        <w:rPr>
          <w:rFonts w:ascii="Arial" w:hAnsi="Arial" w:cs="Arial"/>
          <w:i/>
          <w:sz w:val="24"/>
          <w:szCs w:val="24"/>
          <w:lang w:val="ro-RO"/>
        </w:rPr>
      </w:pPr>
      <w:r w:rsidRPr="00EF3F11">
        <w:rPr>
          <w:rFonts w:ascii="Arial" w:hAnsi="Arial" w:cs="Arial"/>
          <w:sz w:val="24"/>
          <w:szCs w:val="24"/>
          <w:lang w:val="ro-RO"/>
        </w:rPr>
        <w:tab/>
      </w:r>
      <w:r w:rsidRPr="00D572F6">
        <w:rPr>
          <w:rFonts w:ascii="Arial" w:hAnsi="Arial" w:cs="Arial"/>
          <w:i/>
          <w:sz w:val="24"/>
          <w:szCs w:val="24"/>
          <w:lang w:val="ro-RO"/>
        </w:rPr>
        <w:t xml:space="preserve">                                                                         </w:t>
      </w:r>
      <w:r w:rsidR="00AC7D51">
        <w:rPr>
          <w:rFonts w:ascii="Arial" w:hAnsi="Arial" w:cs="Arial"/>
          <w:i/>
          <w:sz w:val="24"/>
          <w:szCs w:val="24"/>
          <w:lang w:val="ro-RO"/>
        </w:rPr>
        <w:t xml:space="preserve">                 </w:t>
      </w:r>
      <w:r w:rsidRPr="00D572F6">
        <w:rPr>
          <w:rFonts w:ascii="Arial" w:hAnsi="Arial" w:cs="Arial"/>
          <w:i/>
          <w:sz w:val="24"/>
          <w:szCs w:val="24"/>
          <w:lang w:val="ro-RO"/>
        </w:rPr>
        <w:t xml:space="preserve"> </w:t>
      </w:r>
      <w:r w:rsidR="008E2B1D">
        <w:rPr>
          <w:rFonts w:ascii="Arial" w:hAnsi="Arial" w:cs="Arial"/>
          <w:i/>
          <w:sz w:val="24"/>
          <w:szCs w:val="24"/>
          <w:lang w:val="ro-RO"/>
        </w:rPr>
        <w:t xml:space="preserve">               </w:t>
      </w:r>
      <w:r w:rsidRPr="00D572F6">
        <w:rPr>
          <w:rFonts w:ascii="Arial" w:hAnsi="Arial" w:cs="Arial"/>
          <w:i/>
          <w:sz w:val="24"/>
          <w:szCs w:val="24"/>
          <w:lang w:val="ro-RO"/>
        </w:rPr>
        <w:t xml:space="preserve"> Tabel </w:t>
      </w:r>
      <w:r w:rsidR="00083153">
        <w:rPr>
          <w:rFonts w:ascii="Arial" w:hAnsi="Arial" w:cs="Arial"/>
          <w:i/>
          <w:sz w:val="24"/>
          <w:szCs w:val="24"/>
          <w:lang w:val="ro-RO"/>
        </w:rPr>
        <w:t>1.1.1.</w:t>
      </w:r>
      <w:r w:rsidRPr="00D572F6">
        <w:rPr>
          <w:rFonts w:ascii="Arial" w:hAnsi="Arial" w:cs="Arial"/>
          <w:i/>
          <w:sz w:val="24"/>
          <w:szCs w:val="24"/>
          <w:lang w:val="ro-RO"/>
        </w:rPr>
        <w:t>2.</w:t>
      </w:r>
      <w:r w:rsidR="00D57F46">
        <w:rPr>
          <w:rFonts w:ascii="Arial" w:hAnsi="Arial" w:cs="Arial"/>
          <w:i/>
          <w:sz w:val="24"/>
          <w:szCs w:val="24"/>
          <w:lang w:val="ro-RO"/>
        </w:rPr>
        <w:t>8</w:t>
      </w:r>
      <w:r w:rsidR="00083153">
        <w:rPr>
          <w:rFonts w:ascii="Arial" w:hAnsi="Arial" w:cs="Arial"/>
          <w:i/>
          <w:sz w:val="24"/>
          <w:szCs w:val="24"/>
          <w:lang w:val="ro-RO"/>
        </w:rPr>
        <w:t>.</w:t>
      </w:r>
    </w:p>
    <w:tbl>
      <w:tblPr>
        <w:tblW w:w="1059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40"/>
        <w:gridCol w:w="1287"/>
        <w:gridCol w:w="1021"/>
        <w:gridCol w:w="887"/>
        <w:gridCol w:w="887"/>
        <w:gridCol w:w="887"/>
        <w:gridCol w:w="820"/>
        <w:gridCol w:w="820"/>
        <w:gridCol w:w="820"/>
        <w:gridCol w:w="887"/>
        <w:gridCol w:w="920"/>
      </w:tblGrid>
      <w:tr w:rsidR="00DD763A" w:rsidRPr="00986548" w:rsidTr="00AD1314">
        <w:trPr>
          <w:tblCellSpacing w:w="20" w:type="dxa"/>
          <w:jc w:val="center"/>
        </w:trPr>
        <w:tc>
          <w:tcPr>
            <w:tcW w:w="1380" w:type="dxa"/>
            <w:vMerge w:val="restart"/>
            <w:shd w:val="clear" w:color="auto" w:fill="FFFFCC"/>
            <w:vAlign w:val="center"/>
          </w:tcPr>
          <w:p w:rsidR="00DD763A" w:rsidRPr="00986548" w:rsidRDefault="00DD763A" w:rsidP="00DF0915">
            <w:pPr>
              <w:jc w:val="center"/>
              <w:rPr>
                <w:rFonts w:ascii="Arial" w:hAnsi="Arial" w:cs="Arial"/>
                <w:sz w:val="24"/>
                <w:szCs w:val="24"/>
              </w:rPr>
            </w:pPr>
            <w:r w:rsidRPr="00986548">
              <w:rPr>
                <w:rFonts w:ascii="Arial" w:hAnsi="Arial" w:cs="Arial"/>
                <w:sz w:val="24"/>
                <w:szCs w:val="24"/>
              </w:rPr>
              <w:t>POLUANT</w:t>
            </w:r>
          </w:p>
        </w:tc>
        <w:tc>
          <w:tcPr>
            <w:tcW w:w="1247" w:type="dxa"/>
            <w:vMerge w:val="restart"/>
            <w:tcBorders>
              <w:right w:val="outset" w:sz="6" w:space="0" w:color="auto"/>
            </w:tcBorders>
            <w:shd w:val="clear" w:color="auto" w:fill="FFFFCC"/>
            <w:vAlign w:val="center"/>
          </w:tcPr>
          <w:p w:rsidR="00DD763A" w:rsidRPr="00986548" w:rsidRDefault="00DD763A" w:rsidP="00DF0915">
            <w:pPr>
              <w:jc w:val="center"/>
              <w:rPr>
                <w:rFonts w:ascii="Arial" w:hAnsi="Arial" w:cs="Arial"/>
                <w:sz w:val="24"/>
                <w:szCs w:val="24"/>
              </w:rPr>
            </w:pPr>
            <w:r w:rsidRPr="00986548">
              <w:rPr>
                <w:rFonts w:ascii="Arial" w:hAnsi="Arial" w:cs="Arial"/>
                <w:sz w:val="24"/>
                <w:szCs w:val="24"/>
              </w:rPr>
              <w:t>Tip statie</w:t>
            </w:r>
          </w:p>
        </w:tc>
        <w:tc>
          <w:tcPr>
            <w:tcW w:w="7809" w:type="dxa"/>
            <w:gridSpan w:val="9"/>
            <w:tcBorders>
              <w:left w:val="outset" w:sz="6" w:space="0" w:color="auto"/>
              <w:bottom w:val="outset" w:sz="6" w:space="0" w:color="auto"/>
              <w:right w:val="outset" w:sz="6" w:space="0" w:color="A0A0A0"/>
            </w:tcBorders>
            <w:shd w:val="clear" w:color="auto" w:fill="FFFFCC"/>
            <w:vAlign w:val="center"/>
          </w:tcPr>
          <w:p w:rsidR="00DD763A" w:rsidRPr="00986548" w:rsidRDefault="00DD763A" w:rsidP="00DF0915">
            <w:pPr>
              <w:jc w:val="center"/>
              <w:rPr>
                <w:rFonts w:ascii="Arial" w:hAnsi="Arial" w:cs="Arial"/>
                <w:sz w:val="24"/>
                <w:szCs w:val="24"/>
              </w:rPr>
            </w:pPr>
            <w:r w:rsidRPr="00986548">
              <w:rPr>
                <w:rFonts w:ascii="Arial" w:hAnsi="Arial" w:cs="Arial"/>
                <w:sz w:val="24"/>
                <w:szCs w:val="24"/>
              </w:rPr>
              <w:t>Concentratia medie anuala</w:t>
            </w:r>
          </w:p>
        </w:tc>
      </w:tr>
      <w:tr w:rsidR="003A2663" w:rsidRPr="00986548" w:rsidTr="00AD1314">
        <w:trPr>
          <w:tblCellSpacing w:w="20" w:type="dxa"/>
          <w:jc w:val="center"/>
        </w:trPr>
        <w:tc>
          <w:tcPr>
            <w:tcW w:w="1380" w:type="dxa"/>
            <w:vMerge/>
            <w:shd w:val="clear" w:color="auto" w:fill="FFFFCC"/>
            <w:vAlign w:val="center"/>
          </w:tcPr>
          <w:p w:rsidR="00DD763A" w:rsidRPr="00986548" w:rsidRDefault="00DD763A" w:rsidP="00DF0915">
            <w:pPr>
              <w:jc w:val="center"/>
              <w:rPr>
                <w:rFonts w:ascii="Arial" w:hAnsi="Arial" w:cs="Arial"/>
                <w:sz w:val="24"/>
                <w:szCs w:val="24"/>
              </w:rPr>
            </w:pPr>
          </w:p>
        </w:tc>
        <w:tc>
          <w:tcPr>
            <w:tcW w:w="1247" w:type="dxa"/>
            <w:vMerge/>
            <w:tcBorders>
              <w:right w:val="outset" w:sz="6" w:space="0" w:color="auto"/>
            </w:tcBorders>
            <w:shd w:val="clear" w:color="auto" w:fill="FFFFCC"/>
            <w:vAlign w:val="center"/>
          </w:tcPr>
          <w:p w:rsidR="00DD763A" w:rsidRPr="00986548" w:rsidRDefault="00DD763A" w:rsidP="00DF0915">
            <w:pPr>
              <w:jc w:val="center"/>
              <w:rPr>
                <w:rFonts w:ascii="Arial" w:hAnsi="Arial" w:cs="Arial"/>
                <w:sz w:val="24"/>
                <w:szCs w:val="24"/>
              </w:rPr>
            </w:pPr>
          </w:p>
        </w:tc>
        <w:tc>
          <w:tcPr>
            <w:tcW w:w="981" w:type="dxa"/>
            <w:tcBorders>
              <w:top w:val="outset" w:sz="6" w:space="0" w:color="auto"/>
              <w:left w:val="outset" w:sz="6" w:space="0" w:color="auto"/>
              <w:right w:val="outset" w:sz="6" w:space="0" w:color="auto"/>
            </w:tcBorders>
            <w:shd w:val="clear" w:color="auto" w:fill="FFFFCC"/>
            <w:vAlign w:val="center"/>
          </w:tcPr>
          <w:p w:rsidR="00DD763A" w:rsidRPr="00986548" w:rsidRDefault="00DD763A" w:rsidP="00DF0915">
            <w:pPr>
              <w:jc w:val="center"/>
              <w:rPr>
                <w:rFonts w:ascii="Arial" w:hAnsi="Arial" w:cs="Arial"/>
                <w:sz w:val="24"/>
                <w:szCs w:val="24"/>
              </w:rPr>
            </w:pPr>
            <w:r w:rsidRPr="00986548">
              <w:rPr>
                <w:rFonts w:ascii="Arial" w:hAnsi="Arial" w:cs="Arial"/>
                <w:sz w:val="24"/>
                <w:szCs w:val="24"/>
              </w:rPr>
              <w:t>2008</w:t>
            </w:r>
          </w:p>
        </w:tc>
        <w:tc>
          <w:tcPr>
            <w:tcW w:w="847" w:type="dxa"/>
            <w:tcBorders>
              <w:top w:val="outset" w:sz="6" w:space="0" w:color="auto"/>
              <w:left w:val="outset" w:sz="6" w:space="0" w:color="auto"/>
            </w:tcBorders>
            <w:shd w:val="clear" w:color="auto" w:fill="FFFFCC"/>
            <w:vAlign w:val="center"/>
          </w:tcPr>
          <w:p w:rsidR="00DD763A" w:rsidRPr="00986548" w:rsidRDefault="00DD763A" w:rsidP="0022167F">
            <w:pPr>
              <w:jc w:val="center"/>
              <w:rPr>
                <w:rFonts w:ascii="Arial" w:hAnsi="Arial" w:cs="Arial"/>
                <w:sz w:val="24"/>
                <w:szCs w:val="24"/>
              </w:rPr>
            </w:pPr>
            <w:r w:rsidRPr="00986548">
              <w:rPr>
                <w:rFonts w:ascii="Arial" w:hAnsi="Arial" w:cs="Arial"/>
                <w:sz w:val="24"/>
                <w:szCs w:val="24"/>
              </w:rPr>
              <w:t>2009</w:t>
            </w:r>
          </w:p>
        </w:tc>
        <w:tc>
          <w:tcPr>
            <w:tcW w:w="847" w:type="dxa"/>
            <w:shd w:val="clear" w:color="auto" w:fill="FFFFCC"/>
            <w:vAlign w:val="center"/>
          </w:tcPr>
          <w:p w:rsidR="00DD763A" w:rsidRPr="00986548" w:rsidRDefault="00DD763A" w:rsidP="0022167F">
            <w:pPr>
              <w:jc w:val="center"/>
              <w:rPr>
                <w:rFonts w:ascii="Arial" w:hAnsi="Arial" w:cs="Arial"/>
                <w:sz w:val="24"/>
                <w:szCs w:val="24"/>
              </w:rPr>
            </w:pPr>
            <w:r w:rsidRPr="00986548">
              <w:rPr>
                <w:rFonts w:ascii="Arial" w:hAnsi="Arial" w:cs="Arial"/>
                <w:sz w:val="24"/>
                <w:szCs w:val="24"/>
              </w:rPr>
              <w:t>2010</w:t>
            </w:r>
          </w:p>
        </w:tc>
        <w:tc>
          <w:tcPr>
            <w:tcW w:w="847" w:type="dxa"/>
            <w:shd w:val="clear" w:color="auto" w:fill="FFFFCC"/>
            <w:vAlign w:val="center"/>
          </w:tcPr>
          <w:p w:rsidR="00DD763A" w:rsidRPr="00986548" w:rsidRDefault="00DD763A" w:rsidP="0022167F">
            <w:pPr>
              <w:jc w:val="center"/>
              <w:rPr>
                <w:rFonts w:ascii="Arial" w:hAnsi="Arial" w:cs="Arial"/>
                <w:sz w:val="24"/>
                <w:szCs w:val="24"/>
              </w:rPr>
            </w:pPr>
            <w:r w:rsidRPr="00986548">
              <w:rPr>
                <w:rFonts w:ascii="Arial" w:hAnsi="Arial" w:cs="Arial"/>
                <w:sz w:val="24"/>
                <w:szCs w:val="24"/>
              </w:rPr>
              <w:t>2011</w:t>
            </w:r>
          </w:p>
        </w:tc>
        <w:tc>
          <w:tcPr>
            <w:tcW w:w="780" w:type="dxa"/>
            <w:tcBorders>
              <w:right w:val="outset" w:sz="6" w:space="0" w:color="auto"/>
            </w:tcBorders>
            <w:shd w:val="clear" w:color="auto" w:fill="FFFFCC"/>
            <w:vAlign w:val="center"/>
          </w:tcPr>
          <w:p w:rsidR="00DD763A" w:rsidRPr="00986548" w:rsidRDefault="00DD763A" w:rsidP="0022167F">
            <w:pPr>
              <w:jc w:val="center"/>
              <w:rPr>
                <w:rFonts w:ascii="Arial" w:hAnsi="Arial" w:cs="Arial"/>
                <w:sz w:val="24"/>
                <w:szCs w:val="24"/>
              </w:rPr>
            </w:pPr>
            <w:r w:rsidRPr="00986548">
              <w:rPr>
                <w:rFonts w:ascii="Arial" w:hAnsi="Arial" w:cs="Arial"/>
                <w:sz w:val="24"/>
                <w:szCs w:val="24"/>
              </w:rPr>
              <w:t>2012</w:t>
            </w:r>
          </w:p>
        </w:tc>
        <w:tc>
          <w:tcPr>
            <w:tcW w:w="780" w:type="dxa"/>
            <w:tcBorders>
              <w:left w:val="outset" w:sz="6" w:space="0" w:color="auto"/>
            </w:tcBorders>
            <w:shd w:val="clear" w:color="auto" w:fill="FFFFCC"/>
          </w:tcPr>
          <w:p w:rsidR="00DD763A" w:rsidRPr="00986548" w:rsidRDefault="00DD763A" w:rsidP="0022167F">
            <w:pPr>
              <w:jc w:val="center"/>
              <w:rPr>
                <w:rFonts w:ascii="Arial" w:hAnsi="Arial" w:cs="Arial"/>
                <w:sz w:val="24"/>
                <w:szCs w:val="24"/>
              </w:rPr>
            </w:pPr>
            <w:r w:rsidRPr="00986548">
              <w:rPr>
                <w:rFonts w:ascii="Arial" w:hAnsi="Arial" w:cs="Arial"/>
                <w:sz w:val="24"/>
                <w:szCs w:val="24"/>
              </w:rPr>
              <w:t>2013</w:t>
            </w:r>
          </w:p>
        </w:tc>
        <w:tc>
          <w:tcPr>
            <w:tcW w:w="780" w:type="dxa"/>
            <w:tcBorders>
              <w:left w:val="outset" w:sz="6" w:space="0" w:color="auto"/>
              <w:right w:val="outset" w:sz="6" w:space="0" w:color="auto"/>
            </w:tcBorders>
            <w:shd w:val="clear" w:color="auto" w:fill="FFFFCC"/>
          </w:tcPr>
          <w:p w:rsidR="00DD763A" w:rsidRPr="00986548" w:rsidRDefault="00DD763A" w:rsidP="00DF0915">
            <w:pPr>
              <w:jc w:val="center"/>
              <w:rPr>
                <w:rFonts w:ascii="Arial" w:hAnsi="Arial" w:cs="Arial"/>
                <w:sz w:val="24"/>
                <w:szCs w:val="24"/>
              </w:rPr>
            </w:pPr>
            <w:r>
              <w:rPr>
                <w:rFonts w:ascii="Arial" w:hAnsi="Arial" w:cs="Arial"/>
                <w:sz w:val="24"/>
                <w:szCs w:val="24"/>
              </w:rPr>
              <w:t>2014</w:t>
            </w:r>
          </w:p>
        </w:tc>
        <w:tc>
          <w:tcPr>
            <w:tcW w:w="847" w:type="dxa"/>
            <w:tcBorders>
              <w:left w:val="outset" w:sz="6" w:space="0" w:color="auto"/>
            </w:tcBorders>
            <w:shd w:val="clear" w:color="auto" w:fill="FFFFCC"/>
          </w:tcPr>
          <w:p w:rsidR="00DD763A" w:rsidRPr="00986548" w:rsidRDefault="00DD763A" w:rsidP="00DF0915">
            <w:pPr>
              <w:jc w:val="center"/>
              <w:rPr>
                <w:rFonts w:ascii="Arial" w:hAnsi="Arial" w:cs="Arial"/>
                <w:sz w:val="24"/>
                <w:szCs w:val="24"/>
              </w:rPr>
            </w:pPr>
            <w:r>
              <w:rPr>
                <w:rFonts w:ascii="Arial" w:hAnsi="Arial" w:cs="Arial"/>
                <w:sz w:val="24"/>
                <w:szCs w:val="24"/>
              </w:rPr>
              <w:t>2015</w:t>
            </w:r>
          </w:p>
        </w:tc>
        <w:tc>
          <w:tcPr>
            <w:tcW w:w="780" w:type="dxa"/>
            <w:tcBorders>
              <w:left w:val="outset" w:sz="6" w:space="0" w:color="auto"/>
            </w:tcBorders>
            <w:shd w:val="clear" w:color="auto" w:fill="FFFFCC"/>
          </w:tcPr>
          <w:p w:rsidR="00DD763A" w:rsidRDefault="00DD763A" w:rsidP="00DF0915">
            <w:pPr>
              <w:jc w:val="center"/>
              <w:rPr>
                <w:rFonts w:ascii="Arial" w:hAnsi="Arial" w:cs="Arial"/>
                <w:sz w:val="24"/>
                <w:szCs w:val="24"/>
              </w:rPr>
            </w:pPr>
            <w:r>
              <w:rPr>
                <w:rFonts w:ascii="Arial" w:hAnsi="Arial" w:cs="Arial"/>
                <w:sz w:val="24"/>
                <w:szCs w:val="24"/>
              </w:rPr>
              <w:t>2016</w:t>
            </w:r>
            <w:r w:rsidR="00855108">
              <w:rPr>
                <w:rFonts w:ascii="Arial" w:hAnsi="Arial" w:cs="Arial"/>
                <w:sz w:val="24"/>
                <w:szCs w:val="24"/>
              </w:rPr>
              <w:t>-2017</w:t>
            </w:r>
          </w:p>
        </w:tc>
      </w:tr>
      <w:tr w:rsidR="00AD1314" w:rsidRPr="00986548" w:rsidTr="00AD1314">
        <w:trPr>
          <w:trHeight w:val="298"/>
          <w:tblCellSpacing w:w="20" w:type="dxa"/>
          <w:jc w:val="center"/>
        </w:trPr>
        <w:tc>
          <w:tcPr>
            <w:tcW w:w="1380" w:type="dxa"/>
            <w:vMerge w:val="restart"/>
            <w:shd w:val="clear" w:color="auto" w:fill="auto"/>
            <w:vAlign w:val="center"/>
          </w:tcPr>
          <w:p w:rsidR="00AD1314" w:rsidRPr="00986548" w:rsidRDefault="00AD1314" w:rsidP="00DF0915">
            <w:pPr>
              <w:jc w:val="center"/>
              <w:rPr>
                <w:rFonts w:ascii="Arial" w:hAnsi="Arial" w:cs="Arial"/>
                <w:sz w:val="24"/>
                <w:szCs w:val="24"/>
                <w:lang w:val="it-IT"/>
              </w:rPr>
            </w:pPr>
            <w:r w:rsidRPr="00986548">
              <w:rPr>
                <w:rFonts w:ascii="Arial" w:hAnsi="Arial" w:cs="Arial"/>
                <w:sz w:val="24"/>
                <w:szCs w:val="24"/>
                <w:lang w:val="it-IT"/>
              </w:rPr>
              <w:t>Pb</w:t>
            </w:r>
            <w:r w:rsidRPr="00986548">
              <w:rPr>
                <w:rFonts w:ascii="Arial" w:hAnsi="Arial" w:cs="Arial"/>
                <w:sz w:val="24"/>
                <w:szCs w:val="24"/>
                <w:vertAlign w:val="subscript"/>
                <w:lang w:val="it-IT"/>
              </w:rPr>
              <w:t xml:space="preserve"> </w:t>
            </w:r>
            <w:r w:rsidRPr="00986548">
              <w:rPr>
                <w:rFonts w:ascii="Arial" w:hAnsi="Arial" w:cs="Arial"/>
                <w:sz w:val="24"/>
                <w:szCs w:val="24"/>
                <w:lang w:val="it-IT"/>
              </w:rPr>
              <w:t>(</w:t>
            </w:r>
            <w:r w:rsidRPr="00986548">
              <w:rPr>
                <w:rFonts w:ascii="Arial" w:hAnsi="Arial" w:cs="Arial"/>
                <w:sz w:val="24"/>
                <w:szCs w:val="24"/>
              </w:rPr>
              <w:t>μ</w:t>
            </w:r>
            <w:r w:rsidRPr="00986548">
              <w:rPr>
                <w:rFonts w:ascii="Arial" w:hAnsi="Arial" w:cs="Arial"/>
                <w:sz w:val="24"/>
                <w:szCs w:val="24"/>
                <w:lang w:val="it-IT"/>
              </w:rPr>
              <w:t>g/mc)</w:t>
            </w:r>
          </w:p>
          <w:p w:rsidR="00AD1314" w:rsidRPr="00986548" w:rsidRDefault="00AD1314" w:rsidP="00DF0915">
            <w:pPr>
              <w:jc w:val="center"/>
              <w:rPr>
                <w:rFonts w:ascii="Arial" w:hAnsi="Arial" w:cs="Arial"/>
                <w:sz w:val="24"/>
                <w:szCs w:val="24"/>
                <w:lang w:val="it-IT"/>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CT1-Trafic</w:t>
            </w:r>
          </w:p>
        </w:tc>
        <w:tc>
          <w:tcPr>
            <w:tcW w:w="981" w:type="dxa"/>
            <w:tcBorders>
              <w:left w:val="outset" w:sz="6" w:space="0" w:color="auto"/>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0,1768</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0,017</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0,014</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0,008</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0,03</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FB1F9E">
            <w:pPr>
              <w:jc w:val="center"/>
            </w:pPr>
            <w:r w:rsidRPr="003A3954">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0A0239">
              <w:rPr>
                <w:rFonts w:ascii="Arial" w:hAnsi="Arial" w:cs="Arial"/>
                <w:sz w:val="24"/>
                <w:szCs w:val="24"/>
              </w:rPr>
              <w:t>***</w:t>
            </w:r>
          </w:p>
        </w:tc>
      </w:tr>
      <w:tr w:rsidR="00AD1314" w:rsidRPr="00986548" w:rsidTr="00AD1314">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CT3-Fond suburban</w:t>
            </w:r>
          </w:p>
        </w:tc>
        <w:tc>
          <w:tcPr>
            <w:tcW w:w="981" w:type="dxa"/>
            <w:tcBorders>
              <w:left w:val="outset" w:sz="6" w:space="0" w:color="auto"/>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0,0612</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0,009</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0,009</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0,009</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FB1F9E">
            <w:pPr>
              <w:jc w:val="center"/>
            </w:pPr>
            <w:r w:rsidRPr="003A3954">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0A0239">
              <w:rPr>
                <w:rFonts w:ascii="Arial" w:hAnsi="Arial" w:cs="Arial"/>
                <w:sz w:val="24"/>
                <w:szCs w:val="24"/>
              </w:rPr>
              <w:t>***</w:t>
            </w:r>
          </w:p>
        </w:tc>
      </w:tr>
      <w:tr w:rsidR="00AD1314" w:rsidRPr="00986548" w:rsidTr="00AD1314">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CT4-Trafic</w:t>
            </w:r>
          </w:p>
        </w:tc>
        <w:tc>
          <w:tcPr>
            <w:tcW w:w="981" w:type="dxa"/>
            <w:tcBorders>
              <w:left w:val="outset" w:sz="6" w:space="0" w:color="auto"/>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0,009</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0,010</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0,010</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0,02</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0,00</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Pr="006E51DC" w:rsidRDefault="00AD1314" w:rsidP="00FF65E1">
            <w:pPr>
              <w:jc w:val="center"/>
              <w:rPr>
                <w:rFonts w:ascii="Arial" w:hAnsi="Arial" w:cs="Arial"/>
                <w:sz w:val="24"/>
                <w:szCs w:val="24"/>
              </w:rPr>
            </w:pPr>
            <w:r w:rsidRPr="006E51DC">
              <w:rPr>
                <w:rFonts w:ascii="Arial" w:hAnsi="Arial" w:cs="Arial"/>
                <w:sz w:val="24"/>
                <w:szCs w:val="24"/>
              </w:rPr>
              <w:t>0,008</w:t>
            </w:r>
          </w:p>
        </w:tc>
        <w:tc>
          <w:tcPr>
            <w:tcW w:w="780" w:type="dxa"/>
            <w:tcBorders>
              <w:left w:val="outset" w:sz="6" w:space="0" w:color="auto"/>
            </w:tcBorders>
          </w:tcPr>
          <w:p w:rsidR="00AD1314" w:rsidRDefault="00AD1314" w:rsidP="00AD1314">
            <w:pPr>
              <w:jc w:val="center"/>
            </w:pPr>
            <w:r w:rsidRPr="000A0239">
              <w:rPr>
                <w:rFonts w:ascii="Arial" w:hAnsi="Arial" w:cs="Arial"/>
                <w:sz w:val="24"/>
                <w:szCs w:val="24"/>
              </w:rPr>
              <w:t>***</w:t>
            </w:r>
          </w:p>
        </w:tc>
      </w:tr>
      <w:tr w:rsidR="00AD1314" w:rsidRPr="00986548" w:rsidTr="00AD1314">
        <w:trPr>
          <w:trHeight w:val="314"/>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CT5-Industrial</w:t>
            </w:r>
          </w:p>
        </w:tc>
        <w:tc>
          <w:tcPr>
            <w:tcW w:w="981" w:type="dxa"/>
            <w:tcBorders>
              <w:left w:val="outset" w:sz="6" w:space="0" w:color="auto"/>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0,0283</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0,018</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0,017</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0,013</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0,03</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Pr="006E51DC" w:rsidRDefault="00AD1314" w:rsidP="00FF65E1">
            <w:pPr>
              <w:jc w:val="center"/>
              <w:rPr>
                <w:rFonts w:ascii="Arial" w:hAnsi="Arial" w:cs="Arial"/>
                <w:sz w:val="24"/>
                <w:szCs w:val="24"/>
              </w:rP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0A0239">
              <w:rPr>
                <w:rFonts w:ascii="Arial" w:hAnsi="Arial" w:cs="Arial"/>
                <w:sz w:val="24"/>
                <w:szCs w:val="24"/>
              </w:rPr>
              <w:t>***</w:t>
            </w:r>
          </w:p>
        </w:tc>
      </w:tr>
      <w:tr w:rsidR="00AD1314" w:rsidRPr="00986548" w:rsidTr="00AD1314">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CT7-Industrial</w:t>
            </w:r>
          </w:p>
        </w:tc>
        <w:tc>
          <w:tcPr>
            <w:tcW w:w="981" w:type="dxa"/>
            <w:tcBorders>
              <w:left w:val="outset" w:sz="6" w:space="0" w:color="auto"/>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0,0183</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0,017</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0,016</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0,013</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0,02</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0,01</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Pr="006E51DC" w:rsidRDefault="00AD1314" w:rsidP="00FF65E1">
            <w:pPr>
              <w:jc w:val="center"/>
              <w:rPr>
                <w:rFonts w:ascii="Arial" w:hAnsi="Arial" w:cs="Arial"/>
                <w:sz w:val="24"/>
                <w:szCs w:val="24"/>
              </w:rPr>
            </w:pPr>
            <w:r w:rsidRPr="006E51DC">
              <w:rPr>
                <w:rFonts w:ascii="Arial" w:hAnsi="Arial" w:cs="Arial"/>
                <w:sz w:val="24"/>
                <w:szCs w:val="24"/>
              </w:rPr>
              <w:t>0,009</w:t>
            </w:r>
          </w:p>
        </w:tc>
        <w:tc>
          <w:tcPr>
            <w:tcW w:w="780" w:type="dxa"/>
            <w:tcBorders>
              <w:left w:val="outset" w:sz="6" w:space="0" w:color="auto"/>
            </w:tcBorders>
          </w:tcPr>
          <w:p w:rsidR="00AD1314" w:rsidRDefault="00AD1314" w:rsidP="00AD1314">
            <w:pPr>
              <w:jc w:val="center"/>
            </w:pPr>
            <w:r w:rsidRPr="000A0239">
              <w:rPr>
                <w:rFonts w:ascii="Arial" w:hAnsi="Arial" w:cs="Arial"/>
                <w:sz w:val="24"/>
                <w:szCs w:val="24"/>
              </w:rPr>
              <w:t>***</w:t>
            </w:r>
          </w:p>
        </w:tc>
      </w:tr>
      <w:tr w:rsidR="00AD1314" w:rsidRPr="00986548" w:rsidTr="00AD1314">
        <w:trPr>
          <w:tblCellSpacing w:w="20" w:type="dxa"/>
          <w:jc w:val="center"/>
        </w:trPr>
        <w:tc>
          <w:tcPr>
            <w:tcW w:w="1380" w:type="dxa"/>
            <w:vMerge w:val="restart"/>
            <w:shd w:val="clear" w:color="auto" w:fill="auto"/>
            <w:vAlign w:val="center"/>
          </w:tcPr>
          <w:p w:rsidR="00AD1314" w:rsidRPr="00986548" w:rsidRDefault="00AD1314" w:rsidP="00DF0915">
            <w:pPr>
              <w:jc w:val="center"/>
              <w:rPr>
                <w:rFonts w:ascii="Arial" w:hAnsi="Arial" w:cs="Arial"/>
                <w:sz w:val="24"/>
                <w:szCs w:val="24"/>
                <w:lang w:val="it-IT"/>
              </w:rPr>
            </w:pPr>
            <w:r w:rsidRPr="00986548">
              <w:rPr>
                <w:rFonts w:ascii="Arial" w:hAnsi="Arial" w:cs="Arial"/>
                <w:sz w:val="24"/>
                <w:szCs w:val="24"/>
                <w:lang w:val="it-IT"/>
              </w:rPr>
              <w:t>Cd</w:t>
            </w:r>
            <w:r w:rsidRPr="00986548">
              <w:rPr>
                <w:rFonts w:ascii="Arial" w:hAnsi="Arial" w:cs="Arial"/>
                <w:sz w:val="24"/>
                <w:szCs w:val="24"/>
                <w:vertAlign w:val="subscript"/>
                <w:lang w:val="it-IT"/>
              </w:rPr>
              <w:t xml:space="preserve"> </w:t>
            </w:r>
            <w:r w:rsidRPr="00986548">
              <w:rPr>
                <w:rFonts w:ascii="Arial" w:hAnsi="Arial" w:cs="Arial"/>
                <w:sz w:val="24"/>
                <w:szCs w:val="24"/>
                <w:lang w:val="it-IT"/>
              </w:rPr>
              <w:t>(ng/mc)</w:t>
            </w:r>
          </w:p>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CT1-Trafic</w:t>
            </w:r>
          </w:p>
        </w:tc>
        <w:tc>
          <w:tcPr>
            <w:tcW w:w="981" w:type="dxa"/>
            <w:tcBorders>
              <w:left w:val="outset" w:sz="6" w:space="0" w:color="auto"/>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Pr>
                <w:rFonts w:ascii="Arial" w:hAnsi="Arial" w:cs="Arial"/>
                <w:sz w:val="24"/>
                <w:szCs w:val="24"/>
              </w:rPr>
              <w:t>***</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0,376</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0,444</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0,333</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0,76</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0,58</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0A0239">
              <w:rPr>
                <w:rFonts w:ascii="Arial" w:hAnsi="Arial" w:cs="Arial"/>
                <w:sz w:val="24"/>
                <w:szCs w:val="24"/>
              </w:rPr>
              <w:t>***</w:t>
            </w:r>
          </w:p>
        </w:tc>
      </w:tr>
      <w:tr w:rsidR="00AD1314" w:rsidRPr="00986548" w:rsidTr="00AD1314">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CT3-Fond suburban</w:t>
            </w:r>
          </w:p>
        </w:tc>
        <w:tc>
          <w:tcPr>
            <w:tcW w:w="981" w:type="dxa"/>
            <w:tcBorders>
              <w:left w:val="outset" w:sz="6" w:space="0" w:color="auto"/>
              <w:right w:val="outset" w:sz="6" w:space="0" w:color="auto"/>
            </w:tcBorders>
            <w:shd w:val="clear" w:color="auto" w:fill="auto"/>
            <w:vAlign w:val="center"/>
          </w:tcPr>
          <w:p w:rsidR="00AD1314" w:rsidRDefault="00AD1314" w:rsidP="00FF65E1">
            <w:pPr>
              <w:jc w:val="center"/>
            </w:pPr>
            <w:r w:rsidRPr="00081E27">
              <w:rPr>
                <w:rFonts w:ascii="Arial" w:hAnsi="Arial" w:cs="Arial"/>
                <w:sz w:val="24"/>
                <w:szCs w:val="24"/>
              </w:rPr>
              <w:t>***</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0,174</w:t>
            </w:r>
          </w:p>
        </w:tc>
        <w:tc>
          <w:tcPr>
            <w:tcW w:w="847" w:type="dxa"/>
            <w:shd w:val="clear" w:color="auto" w:fill="auto"/>
            <w:vAlign w:val="center"/>
          </w:tcPr>
          <w:p w:rsidR="00AD1314" w:rsidRDefault="00AD1314" w:rsidP="00FF65E1">
            <w:pPr>
              <w:jc w:val="center"/>
            </w:pPr>
            <w:r w:rsidRPr="004821F6">
              <w:rPr>
                <w:rFonts w:ascii="Arial" w:hAnsi="Arial" w:cs="Arial"/>
                <w:sz w:val="24"/>
                <w:szCs w:val="24"/>
              </w:rPr>
              <w:t>***</w:t>
            </w:r>
          </w:p>
        </w:tc>
        <w:tc>
          <w:tcPr>
            <w:tcW w:w="847" w:type="dxa"/>
            <w:shd w:val="clear" w:color="auto" w:fill="auto"/>
            <w:vAlign w:val="center"/>
          </w:tcPr>
          <w:p w:rsidR="00AD1314" w:rsidRDefault="00AD1314" w:rsidP="00FF65E1">
            <w:pPr>
              <w:jc w:val="center"/>
            </w:pPr>
            <w:r w:rsidRPr="004821F6">
              <w:rPr>
                <w:rFonts w:ascii="Arial" w:hAnsi="Arial" w:cs="Arial"/>
                <w:sz w:val="24"/>
                <w:szCs w:val="24"/>
              </w:rPr>
              <w:t>***</w:t>
            </w:r>
          </w:p>
        </w:tc>
        <w:tc>
          <w:tcPr>
            <w:tcW w:w="780" w:type="dxa"/>
            <w:tcBorders>
              <w:right w:val="outset" w:sz="6" w:space="0" w:color="auto"/>
            </w:tcBorders>
            <w:shd w:val="clear" w:color="auto" w:fill="auto"/>
            <w:vAlign w:val="center"/>
          </w:tcPr>
          <w:p w:rsidR="00AD1314" w:rsidRDefault="00AD1314" w:rsidP="00FF65E1">
            <w:pPr>
              <w:jc w:val="center"/>
            </w:pPr>
            <w:r w:rsidRPr="004821F6">
              <w:rPr>
                <w:rFonts w:ascii="Arial" w:hAnsi="Arial" w:cs="Arial"/>
                <w:sz w:val="24"/>
                <w:szCs w:val="24"/>
              </w:rPr>
              <w:t>***</w:t>
            </w:r>
          </w:p>
        </w:tc>
        <w:tc>
          <w:tcPr>
            <w:tcW w:w="780" w:type="dxa"/>
            <w:tcBorders>
              <w:left w:val="outset" w:sz="6" w:space="0" w:color="auto"/>
            </w:tcBorders>
            <w:shd w:val="clear" w:color="auto" w:fill="auto"/>
            <w:vAlign w:val="center"/>
          </w:tcPr>
          <w:p w:rsidR="00AD1314" w:rsidRDefault="00AD1314" w:rsidP="00FF65E1">
            <w:pPr>
              <w:jc w:val="center"/>
            </w:pPr>
            <w:r w:rsidRPr="004821F6">
              <w:rPr>
                <w:rFonts w:ascii="Arial" w:hAnsi="Arial" w:cs="Arial"/>
                <w:sz w:val="24"/>
                <w:szCs w:val="24"/>
              </w:rPr>
              <w:t>***</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0A0239">
              <w:rPr>
                <w:rFonts w:ascii="Arial" w:hAnsi="Arial" w:cs="Arial"/>
                <w:sz w:val="24"/>
                <w:szCs w:val="24"/>
              </w:rPr>
              <w:t>***</w:t>
            </w:r>
          </w:p>
        </w:tc>
      </w:tr>
      <w:tr w:rsidR="00AD1314" w:rsidRPr="00986548" w:rsidTr="00AD1314">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CT4-Trafic</w:t>
            </w:r>
          </w:p>
        </w:tc>
        <w:tc>
          <w:tcPr>
            <w:tcW w:w="981" w:type="dxa"/>
            <w:tcBorders>
              <w:left w:val="outset" w:sz="6" w:space="0" w:color="auto"/>
              <w:right w:val="outset" w:sz="6" w:space="0" w:color="auto"/>
            </w:tcBorders>
            <w:shd w:val="clear" w:color="auto" w:fill="auto"/>
            <w:vAlign w:val="center"/>
          </w:tcPr>
          <w:p w:rsidR="00AD1314" w:rsidRDefault="00AD1314" w:rsidP="00FF65E1">
            <w:pPr>
              <w:jc w:val="center"/>
            </w:pPr>
            <w:r w:rsidRPr="00081E27">
              <w:rPr>
                <w:rFonts w:ascii="Arial" w:hAnsi="Arial" w:cs="Arial"/>
                <w:sz w:val="24"/>
                <w:szCs w:val="24"/>
              </w:rPr>
              <w:t>***</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0,184</w:t>
            </w:r>
          </w:p>
        </w:tc>
        <w:tc>
          <w:tcPr>
            <w:tcW w:w="847" w:type="dxa"/>
            <w:shd w:val="clear" w:color="auto" w:fill="auto"/>
            <w:vAlign w:val="center"/>
          </w:tcPr>
          <w:p w:rsidR="00AD1314" w:rsidRDefault="00AD1314" w:rsidP="00FF65E1">
            <w:pPr>
              <w:jc w:val="center"/>
            </w:pPr>
            <w:r w:rsidRPr="004821F6">
              <w:rPr>
                <w:rFonts w:ascii="Arial" w:hAnsi="Arial" w:cs="Arial"/>
                <w:sz w:val="24"/>
                <w:szCs w:val="24"/>
              </w:rPr>
              <w:t>***</w:t>
            </w:r>
          </w:p>
        </w:tc>
        <w:tc>
          <w:tcPr>
            <w:tcW w:w="847" w:type="dxa"/>
            <w:shd w:val="clear" w:color="auto" w:fill="auto"/>
            <w:vAlign w:val="center"/>
          </w:tcPr>
          <w:p w:rsidR="00AD1314" w:rsidRDefault="00AD1314" w:rsidP="00FF65E1">
            <w:pPr>
              <w:jc w:val="center"/>
            </w:pPr>
            <w:r w:rsidRPr="004821F6">
              <w:rPr>
                <w:rFonts w:ascii="Arial" w:hAnsi="Arial" w:cs="Arial"/>
                <w:sz w:val="24"/>
                <w:szCs w:val="24"/>
              </w:rPr>
              <w:t>***</w:t>
            </w:r>
          </w:p>
        </w:tc>
        <w:tc>
          <w:tcPr>
            <w:tcW w:w="780" w:type="dxa"/>
            <w:tcBorders>
              <w:right w:val="outset" w:sz="6" w:space="0" w:color="auto"/>
            </w:tcBorders>
            <w:shd w:val="clear" w:color="auto" w:fill="auto"/>
            <w:vAlign w:val="center"/>
          </w:tcPr>
          <w:p w:rsidR="00AD1314" w:rsidRDefault="00AD1314" w:rsidP="00FF65E1">
            <w:pPr>
              <w:jc w:val="center"/>
            </w:pPr>
            <w:r w:rsidRPr="004821F6">
              <w:rPr>
                <w:rFonts w:ascii="Arial" w:hAnsi="Arial" w:cs="Arial"/>
                <w:sz w:val="24"/>
                <w:szCs w:val="24"/>
              </w:rPr>
              <w:t>***</w:t>
            </w:r>
          </w:p>
        </w:tc>
        <w:tc>
          <w:tcPr>
            <w:tcW w:w="780" w:type="dxa"/>
            <w:tcBorders>
              <w:left w:val="outset" w:sz="6" w:space="0" w:color="auto"/>
            </w:tcBorders>
            <w:shd w:val="clear" w:color="auto" w:fill="auto"/>
            <w:vAlign w:val="center"/>
          </w:tcPr>
          <w:p w:rsidR="00AD1314" w:rsidRDefault="00AD1314" w:rsidP="00FF65E1">
            <w:pPr>
              <w:jc w:val="center"/>
            </w:pPr>
            <w:r w:rsidRPr="004821F6">
              <w:rPr>
                <w:rFonts w:ascii="Arial" w:hAnsi="Arial" w:cs="Arial"/>
                <w:sz w:val="24"/>
                <w:szCs w:val="24"/>
              </w:rPr>
              <w:t>***</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0A0239">
              <w:rPr>
                <w:rFonts w:ascii="Arial" w:hAnsi="Arial" w:cs="Arial"/>
                <w:sz w:val="24"/>
                <w:szCs w:val="24"/>
              </w:rPr>
              <w:t>***</w:t>
            </w:r>
          </w:p>
        </w:tc>
      </w:tr>
      <w:tr w:rsidR="00AD1314" w:rsidRPr="00986548" w:rsidTr="00AD1314">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CT5-Industrial</w:t>
            </w:r>
          </w:p>
        </w:tc>
        <w:tc>
          <w:tcPr>
            <w:tcW w:w="981" w:type="dxa"/>
            <w:tcBorders>
              <w:left w:val="outset" w:sz="6" w:space="0" w:color="auto"/>
              <w:right w:val="outset" w:sz="6" w:space="0" w:color="auto"/>
            </w:tcBorders>
            <w:shd w:val="clear" w:color="auto" w:fill="auto"/>
            <w:vAlign w:val="center"/>
          </w:tcPr>
          <w:p w:rsidR="00AD1314" w:rsidRDefault="00AD1314" w:rsidP="00FF65E1">
            <w:pPr>
              <w:jc w:val="center"/>
            </w:pPr>
            <w:r w:rsidRPr="00081E27">
              <w:rPr>
                <w:rFonts w:ascii="Arial" w:hAnsi="Arial" w:cs="Arial"/>
                <w:sz w:val="24"/>
                <w:szCs w:val="24"/>
              </w:rPr>
              <w:t>***</w:t>
            </w:r>
          </w:p>
        </w:tc>
        <w:tc>
          <w:tcPr>
            <w:tcW w:w="847"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0,254</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Pr>
                <w:rFonts w:ascii="Arial" w:hAnsi="Arial" w:cs="Arial"/>
                <w:sz w:val="24"/>
                <w:szCs w:val="24"/>
              </w:rPr>
              <w:t>***</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0,471</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0,45</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0,96</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CT7-Industrial</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630DA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0,288</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0,575</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0,466</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0,69</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0,94</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Pr="006E51DC" w:rsidRDefault="00AD1314" w:rsidP="00FF65E1">
            <w:pPr>
              <w:jc w:val="center"/>
              <w:rPr>
                <w:rFonts w:ascii="Arial" w:hAnsi="Arial" w:cs="Arial"/>
                <w:sz w:val="24"/>
                <w:szCs w:val="24"/>
              </w:rPr>
            </w:pPr>
            <w:r w:rsidRPr="006E51DC">
              <w:rPr>
                <w:rFonts w:ascii="Arial" w:hAnsi="Arial" w:cs="Arial"/>
                <w:sz w:val="24"/>
                <w:szCs w:val="24"/>
              </w:rPr>
              <w:t>0,468</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val="restart"/>
            <w:shd w:val="clear" w:color="auto" w:fill="auto"/>
            <w:vAlign w:val="center"/>
          </w:tcPr>
          <w:p w:rsidR="00AD1314" w:rsidRPr="00986548" w:rsidRDefault="00AD1314" w:rsidP="00DF0915">
            <w:pPr>
              <w:jc w:val="center"/>
              <w:rPr>
                <w:rFonts w:ascii="Arial" w:hAnsi="Arial" w:cs="Arial"/>
                <w:sz w:val="24"/>
                <w:szCs w:val="24"/>
                <w:lang w:val="it-IT"/>
              </w:rPr>
            </w:pPr>
            <w:r w:rsidRPr="00986548">
              <w:rPr>
                <w:rFonts w:ascii="Arial" w:hAnsi="Arial" w:cs="Arial"/>
                <w:sz w:val="24"/>
                <w:szCs w:val="24"/>
                <w:lang w:val="it-IT"/>
              </w:rPr>
              <w:t>Ni</w:t>
            </w:r>
            <w:r w:rsidRPr="00986548">
              <w:rPr>
                <w:rFonts w:ascii="Arial" w:hAnsi="Arial" w:cs="Arial"/>
                <w:sz w:val="24"/>
                <w:szCs w:val="24"/>
                <w:vertAlign w:val="subscript"/>
                <w:lang w:val="it-IT"/>
              </w:rPr>
              <w:t xml:space="preserve"> </w:t>
            </w:r>
            <w:r w:rsidRPr="00986548">
              <w:rPr>
                <w:rFonts w:ascii="Arial" w:hAnsi="Arial" w:cs="Arial"/>
                <w:sz w:val="24"/>
                <w:szCs w:val="24"/>
                <w:lang w:val="it-IT"/>
              </w:rPr>
              <w:t>(ng/mc)</w:t>
            </w:r>
          </w:p>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CT1-Trafic</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630DA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1,534</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3,227</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2,561</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3,49</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3,35</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CT3-Fond suburban</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630DA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2,515</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2,882</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2,588</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2,64</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0,98</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CT4-Trafic</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630DA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1,718</w:t>
            </w:r>
          </w:p>
        </w:tc>
        <w:tc>
          <w:tcPr>
            <w:tcW w:w="847" w:type="dxa"/>
            <w:shd w:val="clear" w:color="auto" w:fill="auto"/>
            <w:vAlign w:val="center"/>
          </w:tcPr>
          <w:p w:rsidR="00AD1314" w:rsidRDefault="00AD1314" w:rsidP="00FF65E1">
            <w:pPr>
              <w:jc w:val="center"/>
            </w:pPr>
            <w:r w:rsidRPr="005347E6">
              <w:rPr>
                <w:rFonts w:ascii="Arial" w:hAnsi="Arial" w:cs="Arial"/>
                <w:sz w:val="24"/>
                <w:szCs w:val="24"/>
              </w:rPr>
              <w:t>***</w:t>
            </w:r>
          </w:p>
        </w:tc>
        <w:tc>
          <w:tcPr>
            <w:tcW w:w="847" w:type="dxa"/>
            <w:shd w:val="clear" w:color="auto" w:fill="auto"/>
            <w:vAlign w:val="center"/>
          </w:tcPr>
          <w:p w:rsidR="00AD1314" w:rsidRDefault="00AD1314" w:rsidP="00FF65E1">
            <w:pPr>
              <w:jc w:val="center"/>
            </w:pPr>
            <w:r w:rsidRPr="005347E6">
              <w:rPr>
                <w:rFonts w:ascii="Arial" w:hAnsi="Arial" w:cs="Arial"/>
                <w:sz w:val="24"/>
                <w:szCs w:val="24"/>
              </w:rPr>
              <w:t>***</w:t>
            </w:r>
          </w:p>
        </w:tc>
        <w:tc>
          <w:tcPr>
            <w:tcW w:w="780" w:type="dxa"/>
            <w:tcBorders>
              <w:right w:val="outset" w:sz="6" w:space="0" w:color="auto"/>
            </w:tcBorders>
            <w:shd w:val="clear" w:color="auto" w:fill="auto"/>
            <w:vAlign w:val="center"/>
          </w:tcPr>
          <w:p w:rsidR="00AD1314" w:rsidRDefault="00AD1314" w:rsidP="00FF65E1">
            <w:pPr>
              <w:jc w:val="center"/>
            </w:pPr>
            <w:r w:rsidRPr="005347E6">
              <w:rPr>
                <w:rFonts w:ascii="Arial" w:hAnsi="Arial" w:cs="Arial"/>
                <w:sz w:val="24"/>
                <w:szCs w:val="24"/>
              </w:rPr>
              <w:t>***</w:t>
            </w:r>
          </w:p>
        </w:tc>
        <w:tc>
          <w:tcPr>
            <w:tcW w:w="780" w:type="dxa"/>
            <w:tcBorders>
              <w:left w:val="outset" w:sz="6" w:space="0" w:color="auto"/>
            </w:tcBorders>
            <w:shd w:val="clear" w:color="auto" w:fill="auto"/>
            <w:vAlign w:val="center"/>
          </w:tcPr>
          <w:p w:rsidR="00AD1314" w:rsidRDefault="00AD1314" w:rsidP="00FF65E1">
            <w:pPr>
              <w:jc w:val="center"/>
            </w:pPr>
            <w:r w:rsidRPr="005347E6">
              <w:rPr>
                <w:rFonts w:ascii="Arial" w:hAnsi="Arial" w:cs="Arial"/>
                <w:sz w:val="24"/>
                <w:szCs w:val="24"/>
              </w:rPr>
              <w:t>***</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CT5-Industrial</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931F5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2,193</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Pr>
                <w:rFonts w:ascii="Arial" w:hAnsi="Arial" w:cs="Arial"/>
                <w:sz w:val="24"/>
                <w:szCs w:val="24"/>
              </w:rPr>
              <w:t>***</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3,038</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3,62</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2,37</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CT7-Industrial</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931F5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2,263</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3,695</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bCs/>
                <w:sz w:val="24"/>
                <w:szCs w:val="24"/>
              </w:rPr>
              <w:t>3,320</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4,56</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1,14</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Pr="006E51DC" w:rsidRDefault="00AD1314" w:rsidP="00FF65E1">
            <w:pPr>
              <w:jc w:val="center"/>
              <w:rPr>
                <w:rFonts w:ascii="Arial" w:hAnsi="Arial" w:cs="Arial"/>
                <w:sz w:val="24"/>
                <w:szCs w:val="24"/>
              </w:rPr>
            </w:pPr>
            <w:r w:rsidRPr="006E51DC">
              <w:rPr>
                <w:rFonts w:ascii="Arial" w:hAnsi="Arial" w:cs="Arial"/>
                <w:sz w:val="24"/>
                <w:szCs w:val="24"/>
              </w:rPr>
              <w:t>3,104</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val="restart"/>
            <w:shd w:val="clear" w:color="auto" w:fill="auto"/>
            <w:vAlign w:val="center"/>
          </w:tcPr>
          <w:p w:rsidR="00AD1314" w:rsidRPr="00986548" w:rsidRDefault="00AD1314" w:rsidP="00DF0915">
            <w:pPr>
              <w:jc w:val="center"/>
              <w:rPr>
                <w:rFonts w:ascii="Arial" w:hAnsi="Arial" w:cs="Arial"/>
                <w:sz w:val="24"/>
                <w:szCs w:val="24"/>
                <w:lang w:val="it-IT"/>
              </w:rPr>
            </w:pPr>
            <w:r w:rsidRPr="00986548">
              <w:rPr>
                <w:rFonts w:ascii="Arial" w:hAnsi="Arial" w:cs="Arial"/>
                <w:sz w:val="24"/>
                <w:szCs w:val="24"/>
                <w:lang w:val="it-IT"/>
              </w:rPr>
              <w:t>As</w:t>
            </w:r>
            <w:r w:rsidRPr="00986548">
              <w:rPr>
                <w:rFonts w:ascii="Arial" w:hAnsi="Arial" w:cs="Arial"/>
                <w:sz w:val="24"/>
                <w:szCs w:val="24"/>
                <w:vertAlign w:val="subscript"/>
                <w:lang w:val="it-IT"/>
              </w:rPr>
              <w:t xml:space="preserve"> </w:t>
            </w:r>
            <w:r w:rsidRPr="00986548">
              <w:rPr>
                <w:rFonts w:ascii="Arial" w:hAnsi="Arial" w:cs="Arial"/>
                <w:sz w:val="24"/>
                <w:szCs w:val="24"/>
                <w:lang w:val="it-IT"/>
              </w:rPr>
              <w:t>(ng/mc)</w:t>
            </w:r>
          </w:p>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CT1-Trafic</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931F5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0,243</w:t>
            </w:r>
          </w:p>
        </w:tc>
        <w:tc>
          <w:tcPr>
            <w:tcW w:w="847" w:type="dxa"/>
            <w:shd w:val="clear" w:color="auto" w:fill="auto"/>
            <w:vAlign w:val="center"/>
          </w:tcPr>
          <w:p w:rsidR="00AD1314" w:rsidRDefault="00AD1314" w:rsidP="00FF65E1">
            <w:pPr>
              <w:jc w:val="center"/>
            </w:pPr>
            <w:r w:rsidRPr="006E272C">
              <w:rPr>
                <w:rFonts w:ascii="Arial" w:hAnsi="Arial" w:cs="Arial"/>
                <w:sz w:val="24"/>
                <w:szCs w:val="24"/>
              </w:rPr>
              <w:t>***</w:t>
            </w:r>
          </w:p>
        </w:tc>
        <w:tc>
          <w:tcPr>
            <w:tcW w:w="847" w:type="dxa"/>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right w:val="outset" w:sz="6" w:space="0" w:color="auto"/>
            </w:tcBorders>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left w:val="outset" w:sz="6" w:space="0" w:color="auto"/>
            </w:tcBorders>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CT3-Fond suburban</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931F5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0,136</w:t>
            </w:r>
          </w:p>
        </w:tc>
        <w:tc>
          <w:tcPr>
            <w:tcW w:w="847" w:type="dxa"/>
            <w:shd w:val="clear" w:color="auto" w:fill="auto"/>
            <w:vAlign w:val="center"/>
          </w:tcPr>
          <w:p w:rsidR="00AD1314" w:rsidRDefault="00AD1314" w:rsidP="00FF65E1">
            <w:pPr>
              <w:jc w:val="center"/>
            </w:pPr>
            <w:r w:rsidRPr="006E272C">
              <w:rPr>
                <w:rFonts w:ascii="Arial" w:hAnsi="Arial" w:cs="Arial"/>
                <w:sz w:val="24"/>
                <w:szCs w:val="24"/>
              </w:rPr>
              <w:t>***</w:t>
            </w:r>
          </w:p>
        </w:tc>
        <w:tc>
          <w:tcPr>
            <w:tcW w:w="847" w:type="dxa"/>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right w:val="outset" w:sz="6" w:space="0" w:color="auto"/>
            </w:tcBorders>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left w:val="outset" w:sz="6" w:space="0" w:color="auto"/>
            </w:tcBorders>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CT4-Trafic</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931F5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0,167</w:t>
            </w:r>
          </w:p>
        </w:tc>
        <w:tc>
          <w:tcPr>
            <w:tcW w:w="847" w:type="dxa"/>
            <w:shd w:val="clear" w:color="auto" w:fill="auto"/>
            <w:vAlign w:val="center"/>
          </w:tcPr>
          <w:p w:rsidR="00AD1314" w:rsidRDefault="00AD1314" w:rsidP="00FF65E1">
            <w:pPr>
              <w:jc w:val="center"/>
            </w:pPr>
            <w:r w:rsidRPr="006E272C">
              <w:rPr>
                <w:rFonts w:ascii="Arial" w:hAnsi="Arial" w:cs="Arial"/>
                <w:sz w:val="24"/>
                <w:szCs w:val="24"/>
              </w:rPr>
              <w:t>***</w:t>
            </w:r>
          </w:p>
        </w:tc>
        <w:tc>
          <w:tcPr>
            <w:tcW w:w="847" w:type="dxa"/>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right w:val="outset" w:sz="6" w:space="0" w:color="auto"/>
            </w:tcBorders>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left w:val="outset" w:sz="6" w:space="0" w:color="auto"/>
            </w:tcBorders>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CT5-Industrial</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931F5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0,253</w:t>
            </w:r>
          </w:p>
        </w:tc>
        <w:tc>
          <w:tcPr>
            <w:tcW w:w="847" w:type="dxa"/>
            <w:shd w:val="clear" w:color="auto" w:fill="auto"/>
            <w:vAlign w:val="center"/>
          </w:tcPr>
          <w:p w:rsidR="00AD1314" w:rsidRDefault="00AD1314" w:rsidP="00FF65E1">
            <w:pPr>
              <w:jc w:val="center"/>
            </w:pPr>
            <w:r w:rsidRPr="006E272C">
              <w:rPr>
                <w:rFonts w:ascii="Arial" w:hAnsi="Arial" w:cs="Arial"/>
                <w:sz w:val="24"/>
                <w:szCs w:val="24"/>
              </w:rPr>
              <w:t>***</w:t>
            </w:r>
          </w:p>
        </w:tc>
        <w:tc>
          <w:tcPr>
            <w:tcW w:w="847" w:type="dxa"/>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right w:val="outset" w:sz="6" w:space="0" w:color="auto"/>
            </w:tcBorders>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left w:val="outset" w:sz="6" w:space="0" w:color="auto"/>
            </w:tcBorders>
            <w:shd w:val="clear" w:color="auto" w:fill="auto"/>
            <w:vAlign w:val="center"/>
          </w:tcPr>
          <w:p w:rsidR="00AD1314" w:rsidRDefault="00AD1314" w:rsidP="00FF65E1">
            <w:pPr>
              <w:jc w:val="center"/>
            </w:pPr>
            <w:r w:rsidRPr="006E272C">
              <w:rPr>
                <w:rFonts w:ascii="Arial" w:hAnsi="Arial" w:cs="Arial"/>
                <w:sz w:val="24"/>
                <w:szCs w:val="24"/>
              </w:rPr>
              <w:t>***</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Default="00AD1314" w:rsidP="00E15AE8">
            <w:pPr>
              <w:jc w:val="center"/>
            </w:pPr>
            <w:r w:rsidRPr="001F21ED">
              <w:rPr>
                <w:rFonts w:ascii="Arial" w:hAnsi="Arial" w:cs="Arial"/>
                <w:sz w:val="24"/>
                <w:szCs w:val="24"/>
              </w:rPr>
              <w:t>***</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r w:rsidR="00AD1314" w:rsidRPr="00986548" w:rsidTr="000C0A98">
        <w:trPr>
          <w:tblCellSpacing w:w="20" w:type="dxa"/>
          <w:jc w:val="center"/>
        </w:trPr>
        <w:tc>
          <w:tcPr>
            <w:tcW w:w="1380" w:type="dxa"/>
            <w:vMerge/>
            <w:shd w:val="clear" w:color="auto" w:fill="auto"/>
            <w:vAlign w:val="center"/>
          </w:tcPr>
          <w:p w:rsidR="00AD1314" w:rsidRPr="00986548" w:rsidRDefault="00AD1314" w:rsidP="00DF0915">
            <w:pPr>
              <w:jc w:val="center"/>
              <w:rPr>
                <w:rFonts w:ascii="Arial" w:hAnsi="Arial" w:cs="Arial"/>
                <w:sz w:val="24"/>
                <w:szCs w:val="24"/>
              </w:rPr>
            </w:pPr>
          </w:p>
        </w:tc>
        <w:tc>
          <w:tcPr>
            <w:tcW w:w="1247" w:type="dxa"/>
            <w:tcBorders>
              <w:right w:val="outset" w:sz="6" w:space="0" w:color="auto"/>
            </w:tcBorders>
            <w:shd w:val="clear" w:color="auto" w:fill="auto"/>
            <w:vAlign w:val="center"/>
          </w:tcPr>
          <w:p w:rsidR="00AD1314" w:rsidRPr="00986548" w:rsidRDefault="00AD1314" w:rsidP="00DF0915">
            <w:pPr>
              <w:jc w:val="center"/>
              <w:rPr>
                <w:rFonts w:ascii="Arial" w:hAnsi="Arial" w:cs="Arial"/>
                <w:sz w:val="24"/>
                <w:szCs w:val="24"/>
              </w:rPr>
            </w:pPr>
            <w:r w:rsidRPr="00986548">
              <w:rPr>
                <w:rFonts w:ascii="Arial" w:hAnsi="Arial" w:cs="Arial"/>
                <w:sz w:val="24"/>
                <w:szCs w:val="24"/>
              </w:rPr>
              <w:t>CT7-Industrial</w:t>
            </w:r>
          </w:p>
        </w:tc>
        <w:tc>
          <w:tcPr>
            <w:tcW w:w="984" w:type="dxa"/>
            <w:tcBorders>
              <w:left w:val="outset" w:sz="6" w:space="0" w:color="auto"/>
              <w:right w:val="outset" w:sz="6" w:space="0" w:color="auto"/>
            </w:tcBorders>
            <w:shd w:val="clear" w:color="auto" w:fill="auto"/>
            <w:vAlign w:val="center"/>
          </w:tcPr>
          <w:p w:rsidR="00AD1314" w:rsidRDefault="00AD1314" w:rsidP="00FF65E1">
            <w:pPr>
              <w:jc w:val="center"/>
            </w:pPr>
            <w:r w:rsidRPr="00931F55">
              <w:rPr>
                <w:rFonts w:ascii="Arial" w:hAnsi="Arial" w:cs="Arial"/>
                <w:sz w:val="24"/>
                <w:szCs w:val="24"/>
              </w:rPr>
              <w:t>***</w:t>
            </w:r>
          </w:p>
        </w:tc>
        <w:tc>
          <w:tcPr>
            <w:tcW w:w="844" w:type="dxa"/>
            <w:tcBorders>
              <w:left w:val="outset" w:sz="6" w:space="0" w:color="auto"/>
            </w:tcBorders>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0,278</w:t>
            </w:r>
          </w:p>
        </w:tc>
        <w:tc>
          <w:tcPr>
            <w:tcW w:w="847" w:type="dxa"/>
            <w:shd w:val="clear" w:color="auto" w:fill="auto"/>
            <w:vAlign w:val="center"/>
          </w:tcPr>
          <w:p w:rsidR="00AD1314" w:rsidRPr="00986548" w:rsidRDefault="00AD1314" w:rsidP="00FF65E1">
            <w:pPr>
              <w:jc w:val="center"/>
              <w:rPr>
                <w:rFonts w:ascii="Arial" w:hAnsi="Arial" w:cs="Arial"/>
                <w:sz w:val="24"/>
                <w:szCs w:val="24"/>
              </w:rPr>
            </w:pPr>
            <w:r w:rsidRPr="00986548">
              <w:rPr>
                <w:rFonts w:ascii="Arial" w:hAnsi="Arial" w:cs="Arial"/>
                <w:sz w:val="24"/>
                <w:szCs w:val="24"/>
              </w:rPr>
              <w:t>1,004</w:t>
            </w:r>
          </w:p>
        </w:tc>
        <w:tc>
          <w:tcPr>
            <w:tcW w:w="847" w:type="dxa"/>
            <w:shd w:val="clear" w:color="auto" w:fill="auto"/>
            <w:vAlign w:val="center"/>
          </w:tcPr>
          <w:p w:rsidR="00AD1314" w:rsidRPr="00986548" w:rsidRDefault="00AD1314" w:rsidP="00FF65E1">
            <w:pPr>
              <w:jc w:val="center"/>
              <w:rPr>
                <w:rFonts w:ascii="Arial" w:hAnsi="Arial" w:cs="Arial"/>
                <w:bCs/>
                <w:sz w:val="24"/>
                <w:szCs w:val="24"/>
              </w:rPr>
            </w:pPr>
            <w:r w:rsidRPr="00986548">
              <w:rPr>
                <w:rFonts w:ascii="Arial" w:hAnsi="Arial" w:cs="Arial"/>
                <w:bCs/>
                <w:sz w:val="24"/>
                <w:szCs w:val="24"/>
              </w:rPr>
              <w:t>1,158</w:t>
            </w:r>
          </w:p>
        </w:tc>
        <w:tc>
          <w:tcPr>
            <w:tcW w:w="780" w:type="dxa"/>
            <w:tcBorders>
              <w:right w:val="outset" w:sz="6" w:space="0" w:color="auto"/>
            </w:tcBorders>
            <w:shd w:val="clear" w:color="auto" w:fill="auto"/>
            <w:vAlign w:val="center"/>
          </w:tcPr>
          <w:p w:rsidR="00AD1314" w:rsidRPr="00986548" w:rsidRDefault="00AD1314" w:rsidP="00FF65E1">
            <w:pPr>
              <w:jc w:val="center"/>
              <w:rPr>
                <w:rFonts w:ascii="Arial" w:hAnsi="Arial" w:cs="Arial"/>
                <w:bCs/>
                <w:sz w:val="24"/>
                <w:szCs w:val="24"/>
              </w:rPr>
            </w:pPr>
            <w:r w:rsidRPr="00986548">
              <w:rPr>
                <w:rFonts w:ascii="Arial" w:hAnsi="Arial" w:cs="Arial"/>
                <w:bCs/>
                <w:sz w:val="24"/>
                <w:szCs w:val="24"/>
              </w:rPr>
              <w:t>0,68</w:t>
            </w:r>
          </w:p>
        </w:tc>
        <w:tc>
          <w:tcPr>
            <w:tcW w:w="780" w:type="dxa"/>
            <w:tcBorders>
              <w:left w:val="outset" w:sz="6" w:space="0" w:color="auto"/>
            </w:tcBorders>
            <w:shd w:val="clear" w:color="auto" w:fill="auto"/>
            <w:vAlign w:val="center"/>
          </w:tcPr>
          <w:p w:rsidR="00AD1314" w:rsidRPr="00986548" w:rsidRDefault="00AD1314" w:rsidP="00FF65E1">
            <w:pPr>
              <w:jc w:val="center"/>
              <w:rPr>
                <w:rFonts w:ascii="Arial" w:hAnsi="Arial" w:cs="Arial"/>
                <w:bCs/>
                <w:sz w:val="24"/>
                <w:szCs w:val="24"/>
              </w:rPr>
            </w:pPr>
            <w:r w:rsidRPr="00986548">
              <w:rPr>
                <w:rFonts w:ascii="Arial" w:hAnsi="Arial" w:cs="Arial"/>
                <w:bCs/>
                <w:sz w:val="24"/>
                <w:szCs w:val="24"/>
              </w:rPr>
              <w:t>0,63</w:t>
            </w:r>
          </w:p>
        </w:tc>
        <w:tc>
          <w:tcPr>
            <w:tcW w:w="780" w:type="dxa"/>
            <w:tcBorders>
              <w:left w:val="outset" w:sz="6" w:space="0" w:color="auto"/>
              <w:right w:val="outset" w:sz="6" w:space="0" w:color="auto"/>
            </w:tcBorders>
            <w:vAlign w:val="center"/>
          </w:tcPr>
          <w:p w:rsidR="00AD1314" w:rsidRDefault="00AD1314" w:rsidP="00FF65E1">
            <w:pPr>
              <w:jc w:val="center"/>
            </w:pPr>
            <w:r w:rsidRPr="001F21ED">
              <w:rPr>
                <w:rFonts w:ascii="Arial" w:hAnsi="Arial" w:cs="Arial"/>
                <w:sz w:val="24"/>
                <w:szCs w:val="24"/>
              </w:rPr>
              <w:t>***</w:t>
            </w:r>
          </w:p>
        </w:tc>
        <w:tc>
          <w:tcPr>
            <w:tcW w:w="847" w:type="dxa"/>
            <w:tcBorders>
              <w:left w:val="outset" w:sz="6" w:space="0" w:color="auto"/>
            </w:tcBorders>
            <w:vAlign w:val="center"/>
          </w:tcPr>
          <w:p w:rsidR="00AD1314" w:rsidRPr="00585294" w:rsidRDefault="00AD1314" w:rsidP="00585294">
            <w:pPr>
              <w:jc w:val="center"/>
              <w:rPr>
                <w:rFonts w:ascii="Arial" w:hAnsi="Arial" w:cs="Arial"/>
                <w:sz w:val="24"/>
                <w:szCs w:val="24"/>
              </w:rPr>
            </w:pPr>
            <w:r w:rsidRPr="00585294">
              <w:rPr>
                <w:rFonts w:ascii="Arial" w:hAnsi="Arial" w:cs="Arial"/>
                <w:color w:val="000000"/>
                <w:sz w:val="24"/>
                <w:szCs w:val="24"/>
              </w:rPr>
              <w:t>0,648</w:t>
            </w:r>
          </w:p>
        </w:tc>
        <w:tc>
          <w:tcPr>
            <w:tcW w:w="780" w:type="dxa"/>
            <w:tcBorders>
              <w:left w:val="outset" w:sz="6" w:space="0" w:color="auto"/>
            </w:tcBorders>
          </w:tcPr>
          <w:p w:rsidR="00AD1314" w:rsidRDefault="00AD1314" w:rsidP="00AD1314">
            <w:pPr>
              <w:jc w:val="center"/>
            </w:pPr>
            <w:r w:rsidRPr="007766B2">
              <w:rPr>
                <w:rFonts w:ascii="Arial" w:hAnsi="Arial" w:cs="Arial"/>
                <w:sz w:val="24"/>
                <w:szCs w:val="24"/>
              </w:rPr>
              <w:t>***</w:t>
            </w:r>
          </w:p>
        </w:tc>
      </w:tr>
    </w:tbl>
    <w:p w:rsidR="00A65047" w:rsidRPr="003A2663" w:rsidRDefault="00A65047" w:rsidP="00A65047">
      <w:pPr>
        <w:autoSpaceDE w:val="0"/>
        <w:autoSpaceDN w:val="0"/>
        <w:adjustRightInd w:val="0"/>
        <w:jc w:val="both"/>
        <w:rPr>
          <w:rFonts w:ascii="Arial" w:hAnsi="Arial" w:cs="Arial"/>
          <w:color w:val="FF0000"/>
          <w:sz w:val="24"/>
          <w:szCs w:val="24"/>
        </w:rPr>
      </w:pPr>
    </w:p>
    <w:p w:rsidR="00AD1314" w:rsidRDefault="004762C5" w:rsidP="004762C5">
      <w:pPr>
        <w:autoSpaceDE w:val="0"/>
        <w:autoSpaceDN w:val="0"/>
        <w:adjustRightInd w:val="0"/>
        <w:jc w:val="both"/>
        <w:rPr>
          <w:rFonts w:ascii="Arial" w:hAnsi="Arial" w:cs="Arial"/>
          <w:bCs/>
          <w:sz w:val="24"/>
          <w:szCs w:val="24"/>
          <w:lang w:val="it-IT"/>
        </w:rPr>
      </w:pPr>
      <w:r w:rsidRPr="00AD1314">
        <w:rPr>
          <w:rFonts w:ascii="Arial" w:hAnsi="Arial" w:cs="Arial"/>
          <w:sz w:val="24"/>
          <w:szCs w:val="24"/>
        </w:rPr>
        <w:t xml:space="preserve">Din motive tehnice, pentru statiile care nu apar in grafic nu exista </w:t>
      </w:r>
      <w:r w:rsidRPr="00AD1314">
        <w:rPr>
          <w:rFonts w:ascii="Arial" w:hAnsi="Arial" w:cs="Arial"/>
          <w:bCs/>
          <w:sz w:val="24"/>
          <w:szCs w:val="24"/>
          <w:lang w:val="it-IT"/>
        </w:rPr>
        <w:t>date/datele validate sunt insuficiente pentru a respecta criteriile de calitate conform Legii 104/2011 (captura de date pentru minim 75% din intervalul de timp calendaristic).</w:t>
      </w:r>
    </w:p>
    <w:p w:rsidR="008824EE" w:rsidRPr="00AD1314" w:rsidRDefault="008824EE" w:rsidP="004762C5">
      <w:pPr>
        <w:autoSpaceDE w:val="0"/>
        <w:autoSpaceDN w:val="0"/>
        <w:adjustRightInd w:val="0"/>
        <w:jc w:val="both"/>
        <w:rPr>
          <w:rFonts w:ascii="Arial" w:hAnsi="Arial" w:cs="Arial"/>
          <w:bCs/>
          <w:sz w:val="24"/>
          <w:szCs w:val="24"/>
          <w:lang w:val="it-IT"/>
        </w:rPr>
      </w:pPr>
    </w:p>
    <w:p w:rsidR="005B44A3" w:rsidRPr="00A32CD2" w:rsidRDefault="005F280D" w:rsidP="005F280D">
      <w:pPr>
        <w:autoSpaceDE w:val="0"/>
        <w:autoSpaceDN w:val="0"/>
        <w:adjustRightInd w:val="0"/>
        <w:jc w:val="center"/>
        <w:rPr>
          <w:rFonts w:ascii="Arial" w:hAnsi="Arial" w:cs="Arial"/>
          <w:bCs/>
          <w:sz w:val="24"/>
          <w:szCs w:val="24"/>
          <w:lang w:val="it-IT"/>
        </w:rPr>
      </w:pPr>
      <w:r w:rsidRPr="005F280D">
        <w:rPr>
          <w:rFonts w:ascii="Arial" w:hAnsi="Arial" w:cs="Arial"/>
          <w:bCs/>
          <w:noProof/>
          <w:sz w:val="24"/>
          <w:szCs w:val="24"/>
        </w:rPr>
        <w:drawing>
          <wp:inline distT="0" distB="0" distL="0" distR="0">
            <wp:extent cx="5948030" cy="2849525"/>
            <wp:effectExtent l="19050" t="0" r="14620" b="7975"/>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3153" w:rsidRPr="00E739E6" w:rsidRDefault="00324815" w:rsidP="000B668E">
      <w:pPr>
        <w:tabs>
          <w:tab w:val="num" w:pos="0"/>
        </w:tabs>
        <w:jc w:val="both"/>
        <w:rPr>
          <w:rFonts w:ascii="Arial" w:hAnsi="Arial" w:cs="Arial"/>
          <w:sz w:val="24"/>
          <w:szCs w:val="24"/>
          <w:lang w:val="ro-RO"/>
        </w:rPr>
      </w:pPr>
      <w:r>
        <w:rPr>
          <w:rFonts w:ascii="Arial" w:hAnsi="Arial" w:cs="Arial"/>
          <w:sz w:val="24"/>
          <w:szCs w:val="24"/>
          <w:lang w:val="ro-RO"/>
        </w:rPr>
        <w:tab/>
      </w:r>
      <w:r w:rsidR="00E739E6">
        <w:rPr>
          <w:rFonts w:ascii="Arial" w:hAnsi="Arial" w:cs="Arial"/>
          <w:sz w:val="24"/>
          <w:szCs w:val="24"/>
          <w:lang w:val="ro-RO"/>
        </w:rPr>
        <w:t xml:space="preserve">                                                                                                   </w:t>
      </w:r>
      <w:r w:rsidR="000B668E">
        <w:rPr>
          <w:rFonts w:ascii="Arial" w:hAnsi="Arial" w:cs="Arial"/>
          <w:i/>
          <w:sz w:val="24"/>
          <w:szCs w:val="24"/>
          <w:lang w:val="ro-RO"/>
        </w:rPr>
        <w:t xml:space="preserve">   </w:t>
      </w:r>
      <w:r w:rsidR="00C07171" w:rsidRPr="00D572F6">
        <w:rPr>
          <w:rFonts w:ascii="Arial" w:hAnsi="Arial" w:cs="Arial"/>
          <w:i/>
          <w:sz w:val="24"/>
          <w:szCs w:val="24"/>
          <w:lang w:val="ro-RO"/>
        </w:rPr>
        <w:t xml:space="preserve">Figura </w:t>
      </w:r>
      <w:r w:rsidR="00083153">
        <w:rPr>
          <w:rFonts w:ascii="Arial" w:hAnsi="Arial" w:cs="Arial"/>
          <w:i/>
          <w:sz w:val="24"/>
          <w:szCs w:val="24"/>
          <w:lang w:val="ro-RO"/>
        </w:rPr>
        <w:t>1.1.1.</w:t>
      </w:r>
      <w:r w:rsidR="00083153" w:rsidRPr="00D572F6">
        <w:rPr>
          <w:rFonts w:ascii="Arial" w:hAnsi="Arial" w:cs="Arial"/>
          <w:i/>
          <w:sz w:val="24"/>
          <w:szCs w:val="24"/>
          <w:lang w:val="ro-RO"/>
        </w:rPr>
        <w:t>2.</w:t>
      </w:r>
      <w:r w:rsidR="000B668E">
        <w:rPr>
          <w:rFonts w:ascii="Arial" w:hAnsi="Arial" w:cs="Arial"/>
          <w:i/>
          <w:sz w:val="24"/>
          <w:szCs w:val="24"/>
          <w:lang w:val="ro-RO"/>
        </w:rPr>
        <w:t>8</w:t>
      </w:r>
      <w:r w:rsidR="00083153">
        <w:rPr>
          <w:rFonts w:ascii="Arial" w:hAnsi="Arial" w:cs="Arial"/>
          <w:i/>
          <w:sz w:val="24"/>
          <w:szCs w:val="24"/>
          <w:lang w:val="ro-RO"/>
        </w:rPr>
        <w:t>.</w:t>
      </w:r>
      <w:r w:rsidR="00B44CD7">
        <w:rPr>
          <w:rFonts w:ascii="Arial" w:hAnsi="Arial" w:cs="Arial"/>
          <w:i/>
          <w:sz w:val="24"/>
          <w:szCs w:val="24"/>
          <w:lang w:val="ro-RO"/>
        </w:rPr>
        <w:t>-a.</w:t>
      </w:r>
    </w:p>
    <w:p w:rsidR="00C07171" w:rsidRPr="00D572F6" w:rsidRDefault="00C07171" w:rsidP="009776CE">
      <w:pPr>
        <w:tabs>
          <w:tab w:val="num" w:pos="0"/>
        </w:tabs>
        <w:jc w:val="both"/>
        <w:rPr>
          <w:rFonts w:ascii="Arial" w:hAnsi="Arial" w:cs="Arial"/>
          <w:i/>
          <w:sz w:val="24"/>
          <w:szCs w:val="24"/>
          <w:lang w:val="ro-RO"/>
        </w:rPr>
      </w:pPr>
    </w:p>
    <w:p w:rsidR="006E2794" w:rsidRPr="008B21ED" w:rsidRDefault="00855108" w:rsidP="006E2794">
      <w:pPr>
        <w:tabs>
          <w:tab w:val="num" w:pos="0"/>
        </w:tabs>
        <w:jc w:val="both"/>
        <w:rPr>
          <w:rFonts w:ascii="Arial" w:hAnsi="Arial" w:cs="Arial"/>
          <w:b/>
          <w:sz w:val="24"/>
          <w:szCs w:val="24"/>
          <w:lang w:val="ro-RO" w:eastAsia="ro-RO"/>
        </w:rPr>
      </w:pPr>
      <w:r>
        <w:rPr>
          <w:rFonts w:ascii="Arial" w:hAnsi="Arial" w:cs="Arial"/>
          <w:sz w:val="24"/>
          <w:szCs w:val="24"/>
          <w:lang w:val="ro-RO" w:eastAsia="ro-RO"/>
        </w:rPr>
        <w:t>N</w:t>
      </w:r>
      <w:r w:rsidR="008B21ED" w:rsidRPr="008B21ED">
        <w:rPr>
          <w:rFonts w:ascii="Arial" w:hAnsi="Arial" w:cs="Arial"/>
          <w:sz w:val="24"/>
          <w:szCs w:val="24"/>
          <w:lang w:val="ro-RO" w:eastAsia="ro-RO"/>
        </w:rPr>
        <w:t xml:space="preserve">u </w:t>
      </w:r>
      <w:r>
        <w:rPr>
          <w:rFonts w:ascii="Arial" w:hAnsi="Arial" w:cs="Arial"/>
          <w:sz w:val="24"/>
          <w:szCs w:val="24"/>
          <w:lang w:val="ro-RO" w:eastAsia="ro-RO"/>
        </w:rPr>
        <w:t xml:space="preserve">s-au inregistrat </w:t>
      </w:r>
      <w:r w:rsidR="008B21ED" w:rsidRPr="008B21ED">
        <w:rPr>
          <w:rFonts w:ascii="Arial" w:hAnsi="Arial" w:cs="Arial"/>
          <w:sz w:val="24"/>
          <w:szCs w:val="24"/>
          <w:lang w:val="ro-RO" w:eastAsia="ro-RO"/>
        </w:rPr>
        <w:t>depasiri</w:t>
      </w:r>
      <w:r w:rsidR="006E2794" w:rsidRPr="008B21ED">
        <w:rPr>
          <w:rFonts w:ascii="Arial" w:hAnsi="Arial" w:cs="Arial"/>
          <w:sz w:val="24"/>
          <w:szCs w:val="24"/>
          <w:lang w:val="ro-RO" w:eastAsia="ro-RO"/>
        </w:rPr>
        <w:t xml:space="preserve"> pentru Pb.</w:t>
      </w:r>
    </w:p>
    <w:p w:rsidR="00AC7D51" w:rsidRDefault="00DF0AD0" w:rsidP="008824EE">
      <w:pPr>
        <w:tabs>
          <w:tab w:val="num" w:pos="0"/>
        </w:tabs>
        <w:jc w:val="both"/>
        <w:rPr>
          <w:rFonts w:ascii="Arial" w:hAnsi="Arial" w:cs="Arial"/>
          <w:b/>
          <w:sz w:val="24"/>
          <w:szCs w:val="24"/>
          <w:lang w:val="ro-RO"/>
        </w:rPr>
      </w:pPr>
      <w:r w:rsidRPr="00DF0AD0">
        <w:rPr>
          <w:rFonts w:ascii="Arial" w:hAnsi="Arial" w:cs="Arial"/>
          <w:b/>
          <w:noProof/>
          <w:sz w:val="24"/>
          <w:szCs w:val="24"/>
        </w:rPr>
        <w:drawing>
          <wp:inline distT="0" distB="0" distL="0" distR="0">
            <wp:extent cx="5943600" cy="3764280"/>
            <wp:effectExtent l="19050" t="0" r="19050" b="7620"/>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114C" w:rsidRPr="00E739E6" w:rsidRDefault="00AC114C" w:rsidP="00AC114C">
      <w:pPr>
        <w:tabs>
          <w:tab w:val="num" w:pos="0"/>
        </w:tabs>
        <w:jc w:val="both"/>
        <w:rPr>
          <w:rFonts w:ascii="Arial" w:hAnsi="Arial" w:cs="Arial"/>
          <w:sz w:val="24"/>
          <w:szCs w:val="24"/>
          <w:lang w:val="ro-RO"/>
        </w:rPr>
      </w:pPr>
      <w:r>
        <w:rPr>
          <w:rFonts w:ascii="Arial" w:hAnsi="Arial" w:cs="Arial"/>
          <w:sz w:val="24"/>
          <w:szCs w:val="24"/>
          <w:lang w:val="ro-RO"/>
        </w:rPr>
        <w:t xml:space="preserve">                                                                                                   </w:t>
      </w:r>
      <w:r>
        <w:rPr>
          <w:rFonts w:ascii="Arial" w:hAnsi="Arial" w:cs="Arial"/>
          <w:i/>
          <w:sz w:val="24"/>
          <w:szCs w:val="24"/>
          <w:lang w:val="ro-RO"/>
        </w:rPr>
        <w:t xml:space="preserve">             </w:t>
      </w:r>
      <w:r w:rsidRPr="00D572F6">
        <w:rPr>
          <w:rFonts w:ascii="Arial" w:hAnsi="Arial" w:cs="Arial"/>
          <w:i/>
          <w:sz w:val="24"/>
          <w:szCs w:val="24"/>
          <w:lang w:val="ro-RO"/>
        </w:rPr>
        <w:t xml:space="preserve">Figura </w:t>
      </w:r>
      <w:r>
        <w:rPr>
          <w:rFonts w:ascii="Arial" w:hAnsi="Arial" w:cs="Arial"/>
          <w:i/>
          <w:sz w:val="24"/>
          <w:szCs w:val="24"/>
          <w:lang w:val="ro-RO"/>
        </w:rPr>
        <w:t>1.1.1.</w:t>
      </w:r>
      <w:r w:rsidRPr="00D572F6">
        <w:rPr>
          <w:rFonts w:ascii="Arial" w:hAnsi="Arial" w:cs="Arial"/>
          <w:i/>
          <w:sz w:val="24"/>
          <w:szCs w:val="24"/>
          <w:lang w:val="ro-RO"/>
        </w:rPr>
        <w:t>2.</w:t>
      </w:r>
      <w:r>
        <w:rPr>
          <w:rFonts w:ascii="Arial" w:hAnsi="Arial" w:cs="Arial"/>
          <w:i/>
          <w:sz w:val="24"/>
          <w:szCs w:val="24"/>
          <w:lang w:val="ro-RO"/>
        </w:rPr>
        <w:t>8.-b.</w:t>
      </w:r>
    </w:p>
    <w:p w:rsidR="00AC7D51" w:rsidRDefault="00AC7D51" w:rsidP="009776CE">
      <w:pPr>
        <w:tabs>
          <w:tab w:val="num" w:pos="0"/>
        </w:tabs>
        <w:jc w:val="both"/>
        <w:rPr>
          <w:rFonts w:ascii="Arial" w:hAnsi="Arial" w:cs="Arial"/>
          <w:b/>
          <w:sz w:val="24"/>
          <w:szCs w:val="24"/>
          <w:lang w:val="ro-RO"/>
        </w:rPr>
      </w:pPr>
    </w:p>
    <w:p w:rsidR="00AC7D51" w:rsidRDefault="00011C13" w:rsidP="009776CE">
      <w:pPr>
        <w:tabs>
          <w:tab w:val="num" w:pos="0"/>
        </w:tabs>
        <w:jc w:val="both"/>
        <w:rPr>
          <w:rFonts w:ascii="Arial" w:hAnsi="Arial" w:cs="Arial"/>
          <w:sz w:val="24"/>
          <w:szCs w:val="24"/>
          <w:lang w:val="ro-RO" w:eastAsia="ro-RO"/>
        </w:rPr>
      </w:pPr>
      <w:r>
        <w:rPr>
          <w:rFonts w:ascii="Arial" w:hAnsi="Arial" w:cs="Arial"/>
          <w:sz w:val="24"/>
          <w:szCs w:val="24"/>
          <w:lang w:val="ro-RO" w:eastAsia="ro-RO"/>
        </w:rPr>
        <w:t>Nu s-au inregistrat</w:t>
      </w:r>
      <w:r w:rsidR="00DF0AD0" w:rsidRPr="008B21ED">
        <w:rPr>
          <w:rFonts w:ascii="Arial" w:hAnsi="Arial" w:cs="Arial"/>
          <w:sz w:val="24"/>
          <w:szCs w:val="24"/>
          <w:lang w:val="ro-RO" w:eastAsia="ro-RO"/>
        </w:rPr>
        <w:t xml:space="preserve"> depasiri pentru poluantul </w:t>
      </w:r>
      <w:r w:rsidR="00AC114C" w:rsidRPr="00DF0AD0">
        <w:rPr>
          <w:rFonts w:ascii="Arial" w:hAnsi="Arial" w:cs="Arial"/>
          <w:sz w:val="24"/>
          <w:szCs w:val="24"/>
          <w:lang w:val="ro-RO" w:eastAsia="ro-RO"/>
        </w:rPr>
        <w:t>Cd.</w:t>
      </w:r>
    </w:p>
    <w:p w:rsidR="00DF0AD0" w:rsidRDefault="00DF0AD0" w:rsidP="009776CE">
      <w:pPr>
        <w:tabs>
          <w:tab w:val="num" w:pos="0"/>
        </w:tabs>
        <w:jc w:val="both"/>
        <w:rPr>
          <w:rFonts w:ascii="Arial" w:hAnsi="Arial" w:cs="Arial"/>
          <w:color w:val="FF0000"/>
          <w:sz w:val="24"/>
          <w:szCs w:val="24"/>
          <w:lang w:val="ro-RO" w:eastAsia="ro-RO"/>
        </w:rPr>
      </w:pPr>
    </w:p>
    <w:p w:rsidR="000D5FC8" w:rsidRDefault="00A73E64" w:rsidP="00A73E64">
      <w:pPr>
        <w:tabs>
          <w:tab w:val="num" w:pos="0"/>
        </w:tabs>
        <w:jc w:val="center"/>
        <w:rPr>
          <w:rFonts w:ascii="Arial" w:hAnsi="Arial" w:cs="Arial"/>
          <w:b/>
          <w:sz w:val="24"/>
          <w:szCs w:val="24"/>
          <w:lang w:val="ro-RO"/>
        </w:rPr>
      </w:pPr>
      <w:r w:rsidRPr="00A73E64">
        <w:rPr>
          <w:rFonts w:ascii="Arial" w:hAnsi="Arial" w:cs="Arial"/>
          <w:b/>
          <w:noProof/>
          <w:sz w:val="24"/>
          <w:szCs w:val="24"/>
        </w:rPr>
        <w:drawing>
          <wp:inline distT="0" distB="0" distL="0" distR="0">
            <wp:extent cx="5943600" cy="3551555"/>
            <wp:effectExtent l="19050" t="0" r="19050" b="0"/>
            <wp:docPr id="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0157" w:rsidRPr="00E739E6" w:rsidRDefault="00660157" w:rsidP="00660157">
      <w:pPr>
        <w:tabs>
          <w:tab w:val="num" w:pos="0"/>
        </w:tabs>
        <w:jc w:val="both"/>
        <w:rPr>
          <w:rFonts w:ascii="Arial" w:hAnsi="Arial" w:cs="Arial"/>
          <w:sz w:val="24"/>
          <w:szCs w:val="24"/>
          <w:lang w:val="ro-RO"/>
        </w:rPr>
      </w:pPr>
      <w:r>
        <w:rPr>
          <w:rFonts w:ascii="Arial" w:hAnsi="Arial" w:cs="Arial"/>
          <w:sz w:val="24"/>
          <w:szCs w:val="24"/>
          <w:lang w:val="ro-RO"/>
        </w:rPr>
        <w:t xml:space="preserve">                                                                                                   </w:t>
      </w:r>
      <w:r>
        <w:rPr>
          <w:rFonts w:ascii="Arial" w:hAnsi="Arial" w:cs="Arial"/>
          <w:i/>
          <w:sz w:val="24"/>
          <w:szCs w:val="24"/>
          <w:lang w:val="ro-RO"/>
        </w:rPr>
        <w:t xml:space="preserve">             </w:t>
      </w:r>
      <w:r w:rsidRPr="00D572F6">
        <w:rPr>
          <w:rFonts w:ascii="Arial" w:hAnsi="Arial" w:cs="Arial"/>
          <w:i/>
          <w:sz w:val="24"/>
          <w:szCs w:val="24"/>
          <w:lang w:val="ro-RO"/>
        </w:rPr>
        <w:t xml:space="preserve">Figura </w:t>
      </w:r>
      <w:r>
        <w:rPr>
          <w:rFonts w:ascii="Arial" w:hAnsi="Arial" w:cs="Arial"/>
          <w:i/>
          <w:sz w:val="24"/>
          <w:szCs w:val="24"/>
          <w:lang w:val="ro-RO"/>
        </w:rPr>
        <w:t>1.1.1.</w:t>
      </w:r>
      <w:r w:rsidRPr="00D572F6">
        <w:rPr>
          <w:rFonts w:ascii="Arial" w:hAnsi="Arial" w:cs="Arial"/>
          <w:i/>
          <w:sz w:val="24"/>
          <w:szCs w:val="24"/>
          <w:lang w:val="ro-RO"/>
        </w:rPr>
        <w:t>2.</w:t>
      </w:r>
      <w:r>
        <w:rPr>
          <w:rFonts w:ascii="Arial" w:hAnsi="Arial" w:cs="Arial"/>
          <w:i/>
          <w:sz w:val="24"/>
          <w:szCs w:val="24"/>
          <w:lang w:val="ro-RO"/>
        </w:rPr>
        <w:t>8.-c.</w:t>
      </w:r>
    </w:p>
    <w:p w:rsidR="00660157" w:rsidRDefault="00660157" w:rsidP="00660157">
      <w:pPr>
        <w:tabs>
          <w:tab w:val="num" w:pos="0"/>
        </w:tabs>
        <w:jc w:val="both"/>
        <w:rPr>
          <w:rFonts w:ascii="Arial" w:hAnsi="Arial" w:cs="Arial"/>
          <w:b/>
          <w:sz w:val="24"/>
          <w:szCs w:val="24"/>
          <w:lang w:val="ro-RO"/>
        </w:rPr>
      </w:pPr>
    </w:p>
    <w:p w:rsidR="00660157" w:rsidRDefault="00011C13" w:rsidP="00660157">
      <w:pPr>
        <w:tabs>
          <w:tab w:val="num" w:pos="0"/>
        </w:tabs>
        <w:jc w:val="both"/>
        <w:rPr>
          <w:rFonts w:ascii="Arial" w:hAnsi="Arial" w:cs="Arial"/>
          <w:color w:val="FF0000"/>
          <w:sz w:val="24"/>
          <w:szCs w:val="24"/>
          <w:lang w:val="ro-RO" w:eastAsia="ro-RO"/>
        </w:rPr>
      </w:pPr>
      <w:r w:rsidRPr="00011C13">
        <w:rPr>
          <w:rFonts w:ascii="Arial" w:hAnsi="Arial" w:cs="Arial"/>
          <w:sz w:val="24"/>
          <w:szCs w:val="24"/>
          <w:lang w:val="ro-RO" w:eastAsia="ro-RO"/>
        </w:rPr>
        <w:t xml:space="preserve">Nu s-au inregistrat </w:t>
      </w:r>
      <w:r w:rsidR="00A73E64" w:rsidRPr="008B21ED">
        <w:rPr>
          <w:rFonts w:ascii="Arial" w:hAnsi="Arial" w:cs="Arial"/>
          <w:sz w:val="24"/>
          <w:szCs w:val="24"/>
          <w:lang w:val="ro-RO" w:eastAsia="ro-RO"/>
        </w:rPr>
        <w:t xml:space="preserve">depasiri pentru </w:t>
      </w:r>
      <w:r w:rsidR="00A73E64" w:rsidRPr="00A73E64">
        <w:rPr>
          <w:rFonts w:ascii="Arial" w:hAnsi="Arial" w:cs="Arial"/>
          <w:sz w:val="24"/>
          <w:szCs w:val="24"/>
          <w:lang w:val="ro-RO" w:eastAsia="ro-RO"/>
        </w:rPr>
        <w:t xml:space="preserve">poluantul </w:t>
      </w:r>
      <w:r w:rsidR="00660157" w:rsidRPr="00A73E64">
        <w:rPr>
          <w:rFonts w:ascii="Arial" w:hAnsi="Arial" w:cs="Arial"/>
          <w:sz w:val="24"/>
          <w:szCs w:val="24"/>
          <w:lang w:val="ro-RO" w:eastAsia="ro-RO"/>
        </w:rPr>
        <w:t>Ni.</w:t>
      </w:r>
    </w:p>
    <w:p w:rsidR="003271DD" w:rsidRDefault="003271DD" w:rsidP="00660157">
      <w:pPr>
        <w:tabs>
          <w:tab w:val="num" w:pos="0"/>
        </w:tabs>
        <w:jc w:val="both"/>
        <w:rPr>
          <w:rFonts w:ascii="Arial" w:hAnsi="Arial" w:cs="Arial"/>
          <w:color w:val="FF0000"/>
          <w:sz w:val="24"/>
          <w:szCs w:val="24"/>
          <w:lang w:val="ro-RO" w:eastAsia="ro-RO"/>
        </w:rPr>
      </w:pPr>
    </w:p>
    <w:p w:rsidR="003E7A92" w:rsidRDefault="0019354C" w:rsidP="003E7A92">
      <w:pPr>
        <w:jc w:val="center"/>
        <w:rPr>
          <w:rFonts w:ascii="Arial" w:hAnsi="Arial" w:cs="Arial"/>
          <w:b/>
          <w:bCs/>
          <w:noProof/>
          <w:sz w:val="24"/>
          <w:szCs w:val="24"/>
          <w:lang w:val="ro-RO"/>
        </w:rPr>
      </w:pPr>
      <w:r w:rsidRPr="0019354C">
        <w:rPr>
          <w:rFonts w:ascii="Arial" w:hAnsi="Arial" w:cs="Arial"/>
          <w:b/>
          <w:bCs/>
          <w:noProof/>
          <w:sz w:val="24"/>
          <w:szCs w:val="24"/>
        </w:rPr>
        <w:drawing>
          <wp:inline distT="0" distB="0" distL="0" distR="0">
            <wp:extent cx="5943600" cy="3551555"/>
            <wp:effectExtent l="19050" t="0" r="19050" b="0"/>
            <wp:docPr id="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271DD" w:rsidRPr="00E739E6" w:rsidRDefault="003271DD" w:rsidP="003271DD">
      <w:pPr>
        <w:tabs>
          <w:tab w:val="num" w:pos="0"/>
        </w:tabs>
        <w:jc w:val="both"/>
        <w:rPr>
          <w:rFonts w:ascii="Arial" w:hAnsi="Arial" w:cs="Arial"/>
          <w:sz w:val="24"/>
          <w:szCs w:val="24"/>
          <w:lang w:val="ro-RO"/>
        </w:rPr>
      </w:pPr>
      <w:r>
        <w:rPr>
          <w:rFonts w:ascii="Arial" w:hAnsi="Arial" w:cs="Arial"/>
          <w:sz w:val="24"/>
          <w:szCs w:val="24"/>
          <w:lang w:val="ro-RO"/>
        </w:rPr>
        <w:t xml:space="preserve">                                                                                                   </w:t>
      </w:r>
      <w:r>
        <w:rPr>
          <w:rFonts w:ascii="Arial" w:hAnsi="Arial" w:cs="Arial"/>
          <w:i/>
          <w:sz w:val="24"/>
          <w:szCs w:val="24"/>
          <w:lang w:val="ro-RO"/>
        </w:rPr>
        <w:t xml:space="preserve">             </w:t>
      </w:r>
      <w:r w:rsidRPr="00D572F6">
        <w:rPr>
          <w:rFonts w:ascii="Arial" w:hAnsi="Arial" w:cs="Arial"/>
          <w:i/>
          <w:sz w:val="24"/>
          <w:szCs w:val="24"/>
          <w:lang w:val="ro-RO"/>
        </w:rPr>
        <w:t xml:space="preserve">Figura </w:t>
      </w:r>
      <w:r>
        <w:rPr>
          <w:rFonts w:ascii="Arial" w:hAnsi="Arial" w:cs="Arial"/>
          <w:i/>
          <w:sz w:val="24"/>
          <w:szCs w:val="24"/>
          <w:lang w:val="ro-RO"/>
        </w:rPr>
        <w:t>1.1.1.</w:t>
      </w:r>
      <w:r w:rsidRPr="00D572F6">
        <w:rPr>
          <w:rFonts w:ascii="Arial" w:hAnsi="Arial" w:cs="Arial"/>
          <w:i/>
          <w:sz w:val="24"/>
          <w:szCs w:val="24"/>
          <w:lang w:val="ro-RO"/>
        </w:rPr>
        <w:t>2.</w:t>
      </w:r>
      <w:r>
        <w:rPr>
          <w:rFonts w:ascii="Arial" w:hAnsi="Arial" w:cs="Arial"/>
          <w:i/>
          <w:sz w:val="24"/>
          <w:szCs w:val="24"/>
          <w:lang w:val="ro-RO"/>
        </w:rPr>
        <w:t>8.-d.</w:t>
      </w:r>
    </w:p>
    <w:p w:rsidR="003271DD" w:rsidRDefault="003271DD" w:rsidP="003271DD">
      <w:pPr>
        <w:tabs>
          <w:tab w:val="num" w:pos="0"/>
        </w:tabs>
        <w:jc w:val="both"/>
        <w:rPr>
          <w:rFonts w:ascii="Arial" w:hAnsi="Arial" w:cs="Arial"/>
          <w:b/>
          <w:sz w:val="24"/>
          <w:szCs w:val="24"/>
          <w:lang w:val="ro-RO"/>
        </w:rPr>
      </w:pPr>
    </w:p>
    <w:p w:rsidR="003271DD" w:rsidRDefault="00011C13" w:rsidP="003271DD">
      <w:pPr>
        <w:tabs>
          <w:tab w:val="num" w:pos="0"/>
        </w:tabs>
        <w:jc w:val="both"/>
        <w:rPr>
          <w:rFonts w:ascii="Arial" w:hAnsi="Arial" w:cs="Arial"/>
          <w:color w:val="FF0000"/>
          <w:sz w:val="24"/>
          <w:szCs w:val="24"/>
          <w:lang w:val="ro-RO" w:eastAsia="ro-RO"/>
        </w:rPr>
      </w:pPr>
      <w:r w:rsidRPr="00011C13">
        <w:rPr>
          <w:rFonts w:ascii="Arial" w:hAnsi="Arial" w:cs="Arial"/>
          <w:sz w:val="24"/>
          <w:szCs w:val="24"/>
          <w:lang w:val="ro-RO" w:eastAsia="ro-RO"/>
        </w:rPr>
        <w:t xml:space="preserve">Nu s-au inregistrat </w:t>
      </w:r>
      <w:r w:rsidR="007746A5" w:rsidRPr="008B21ED">
        <w:rPr>
          <w:rFonts w:ascii="Arial" w:hAnsi="Arial" w:cs="Arial"/>
          <w:sz w:val="24"/>
          <w:szCs w:val="24"/>
          <w:lang w:val="ro-RO" w:eastAsia="ro-RO"/>
        </w:rPr>
        <w:t xml:space="preserve">depasiri pentru </w:t>
      </w:r>
      <w:r w:rsidR="007746A5" w:rsidRPr="007746A5">
        <w:rPr>
          <w:rFonts w:ascii="Arial" w:hAnsi="Arial" w:cs="Arial"/>
          <w:sz w:val="24"/>
          <w:szCs w:val="24"/>
          <w:lang w:val="ro-RO" w:eastAsia="ro-RO"/>
        </w:rPr>
        <w:t xml:space="preserve">poluantul </w:t>
      </w:r>
      <w:r w:rsidR="003271DD" w:rsidRPr="007746A5">
        <w:rPr>
          <w:rFonts w:ascii="Arial" w:hAnsi="Arial" w:cs="Arial"/>
          <w:sz w:val="24"/>
          <w:szCs w:val="24"/>
          <w:lang w:val="ro-RO" w:eastAsia="ro-RO"/>
        </w:rPr>
        <w:t>As.</w:t>
      </w:r>
    </w:p>
    <w:p w:rsidR="00BB10B2" w:rsidRDefault="00BB10B2" w:rsidP="003271DD">
      <w:pPr>
        <w:tabs>
          <w:tab w:val="num" w:pos="0"/>
        </w:tabs>
        <w:jc w:val="both"/>
        <w:rPr>
          <w:rFonts w:ascii="Arial" w:hAnsi="Arial" w:cs="Arial"/>
          <w:color w:val="FF0000"/>
          <w:sz w:val="24"/>
          <w:szCs w:val="24"/>
          <w:lang w:val="ro-RO" w:eastAsia="ro-RO"/>
        </w:rPr>
      </w:pPr>
    </w:p>
    <w:p w:rsidR="00BB10B2" w:rsidRDefault="00BB10B2" w:rsidP="003271DD">
      <w:pPr>
        <w:tabs>
          <w:tab w:val="num" w:pos="0"/>
        </w:tabs>
        <w:jc w:val="both"/>
        <w:rPr>
          <w:rFonts w:ascii="Arial" w:hAnsi="Arial" w:cs="Arial"/>
          <w:color w:val="FF0000"/>
          <w:sz w:val="24"/>
          <w:szCs w:val="24"/>
          <w:lang w:val="ro-RO" w:eastAsia="ro-RO"/>
        </w:rPr>
      </w:pPr>
    </w:p>
    <w:p w:rsidR="00E93219" w:rsidRPr="008A306D" w:rsidRDefault="00E93219" w:rsidP="00E93219">
      <w:pPr>
        <w:autoSpaceDE w:val="0"/>
        <w:autoSpaceDN w:val="0"/>
        <w:adjustRightInd w:val="0"/>
        <w:rPr>
          <w:rFonts w:ascii="Arial" w:hAnsi="Arial" w:cs="Arial"/>
          <w:sz w:val="24"/>
          <w:szCs w:val="24"/>
        </w:rPr>
      </w:pPr>
      <w:r w:rsidRPr="008A306D">
        <w:rPr>
          <w:rFonts w:ascii="Arial" w:hAnsi="Arial" w:cs="Arial"/>
          <w:sz w:val="24"/>
          <w:szCs w:val="24"/>
        </w:rPr>
        <w:t>Evoluţia concentraţiilor medii anuale exprimate în μg/m3, ale poluanţilor atmosferici (NO2,</w:t>
      </w:r>
    </w:p>
    <w:p w:rsidR="00E93219" w:rsidRPr="008A306D" w:rsidRDefault="00E93219" w:rsidP="008A306D">
      <w:pPr>
        <w:autoSpaceDE w:val="0"/>
        <w:autoSpaceDN w:val="0"/>
        <w:adjustRightInd w:val="0"/>
        <w:jc w:val="both"/>
        <w:rPr>
          <w:rFonts w:ascii="Arial" w:hAnsi="Arial" w:cs="Arial"/>
          <w:sz w:val="24"/>
          <w:szCs w:val="24"/>
        </w:rPr>
      </w:pPr>
      <w:r w:rsidRPr="008A306D">
        <w:rPr>
          <w:rFonts w:ascii="Arial" w:hAnsi="Arial" w:cs="Arial"/>
          <w:sz w:val="24"/>
          <w:szCs w:val="24"/>
        </w:rPr>
        <w:t>SO2, PM10, Pb, Cd, Ni) înregistrate la staţi</w:t>
      </w:r>
      <w:r w:rsidR="00F17B29">
        <w:rPr>
          <w:rFonts w:ascii="Arial" w:hAnsi="Arial" w:cs="Arial"/>
          <w:sz w:val="24"/>
          <w:szCs w:val="24"/>
        </w:rPr>
        <w:t xml:space="preserve">a </w:t>
      </w:r>
      <w:r w:rsidRPr="008A306D">
        <w:rPr>
          <w:rFonts w:ascii="Arial" w:hAnsi="Arial" w:cs="Arial"/>
          <w:sz w:val="24"/>
          <w:szCs w:val="24"/>
        </w:rPr>
        <w:t xml:space="preserve">de </w:t>
      </w:r>
      <w:r w:rsidR="00855108">
        <w:rPr>
          <w:rFonts w:ascii="Arial" w:hAnsi="Arial" w:cs="Arial"/>
          <w:sz w:val="24"/>
          <w:szCs w:val="24"/>
        </w:rPr>
        <w:t>traf</w:t>
      </w:r>
      <w:r w:rsidR="00F17B29">
        <w:rPr>
          <w:rFonts w:ascii="Arial" w:hAnsi="Arial" w:cs="Arial"/>
          <w:sz w:val="24"/>
          <w:szCs w:val="24"/>
        </w:rPr>
        <w:t xml:space="preserve">ic - </w:t>
      </w:r>
      <w:r w:rsidR="00F17B29" w:rsidRPr="00F605B4">
        <w:rPr>
          <w:rFonts w:ascii="Arial" w:hAnsi="Arial" w:cs="Arial"/>
          <w:sz w:val="24"/>
          <w:szCs w:val="24"/>
        </w:rPr>
        <w:t>CT1</w:t>
      </w:r>
      <w:r w:rsidR="00F17B29">
        <w:rPr>
          <w:rFonts w:ascii="Arial" w:hAnsi="Arial" w:cs="Arial"/>
          <w:sz w:val="24"/>
          <w:szCs w:val="24"/>
        </w:rPr>
        <w:t xml:space="preserve">, </w:t>
      </w:r>
      <w:r w:rsidRPr="008A306D">
        <w:rPr>
          <w:rFonts w:ascii="Arial" w:hAnsi="Arial" w:cs="Arial"/>
          <w:sz w:val="24"/>
          <w:szCs w:val="24"/>
        </w:rPr>
        <w:t>în raport cu valoarea limită anuală</w:t>
      </w:r>
      <w:r w:rsidR="005469BF">
        <w:rPr>
          <w:rFonts w:ascii="Arial" w:hAnsi="Arial" w:cs="Arial"/>
          <w:sz w:val="24"/>
          <w:szCs w:val="24"/>
        </w:rPr>
        <w:t xml:space="preserve"> </w:t>
      </w:r>
      <w:r w:rsidR="008A306D" w:rsidRPr="008A306D">
        <w:rPr>
          <w:rFonts w:ascii="Arial" w:hAnsi="Arial" w:cs="Arial"/>
          <w:sz w:val="24"/>
          <w:szCs w:val="24"/>
        </w:rPr>
        <w:t>(NO2 – 40 μg/m</w:t>
      </w:r>
      <w:r w:rsidR="008A306D" w:rsidRPr="008A306D">
        <w:rPr>
          <w:rFonts w:ascii="Arial" w:hAnsi="Arial" w:cs="Arial"/>
          <w:sz w:val="24"/>
          <w:szCs w:val="24"/>
          <w:vertAlign w:val="superscript"/>
        </w:rPr>
        <w:t>3</w:t>
      </w:r>
      <w:r w:rsidR="008A306D" w:rsidRPr="008A306D">
        <w:rPr>
          <w:rFonts w:ascii="Arial" w:hAnsi="Arial" w:cs="Arial"/>
          <w:sz w:val="24"/>
          <w:szCs w:val="24"/>
        </w:rPr>
        <w:t>; C6H6 – 5 μg/m</w:t>
      </w:r>
      <w:r w:rsidR="008A306D" w:rsidRPr="008A306D">
        <w:rPr>
          <w:rFonts w:ascii="Arial" w:hAnsi="Arial" w:cs="Arial"/>
          <w:sz w:val="24"/>
          <w:szCs w:val="24"/>
          <w:vertAlign w:val="superscript"/>
        </w:rPr>
        <w:t>3</w:t>
      </w:r>
      <w:r w:rsidR="008A306D" w:rsidRPr="008A306D">
        <w:rPr>
          <w:rFonts w:ascii="Arial" w:hAnsi="Arial" w:cs="Arial"/>
          <w:sz w:val="24"/>
          <w:szCs w:val="24"/>
        </w:rPr>
        <w:t>; PM10 – 40 μg/m</w:t>
      </w:r>
      <w:r w:rsidR="008A306D" w:rsidRPr="008A306D">
        <w:rPr>
          <w:rFonts w:ascii="Arial" w:hAnsi="Arial" w:cs="Arial"/>
          <w:sz w:val="24"/>
          <w:szCs w:val="24"/>
          <w:vertAlign w:val="superscript"/>
        </w:rPr>
        <w:t>3</w:t>
      </w:r>
      <w:r w:rsidR="008A306D" w:rsidRPr="008A306D">
        <w:rPr>
          <w:rFonts w:ascii="Arial" w:hAnsi="Arial" w:cs="Arial"/>
          <w:sz w:val="24"/>
          <w:szCs w:val="24"/>
        </w:rPr>
        <w:t>; Pb – 0,5 μg/m</w:t>
      </w:r>
      <w:r w:rsidR="008A306D" w:rsidRPr="008A306D">
        <w:rPr>
          <w:rFonts w:ascii="Arial" w:hAnsi="Arial" w:cs="Arial"/>
          <w:sz w:val="24"/>
          <w:szCs w:val="24"/>
          <w:vertAlign w:val="superscript"/>
        </w:rPr>
        <w:t>3</w:t>
      </w:r>
      <w:r w:rsidR="008A306D" w:rsidRPr="008A306D">
        <w:rPr>
          <w:rFonts w:ascii="Arial" w:hAnsi="Arial" w:cs="Arial"/>
          <w:sz w:val="24"/>
          <w:szCs w:val="24"/>
        </w:rPr>
        <w:t>).</w:t>
      </w:r>
    </w:p>
    <w:p w:rsidR="0019354C" w:rsidRDefault="0019354C" w:rsidP="00E93219">
      <w:pPr>
        <w:autoSpaceDE w:val="0"/>
        <w:autoSpaceDN w:val="0"/>
        <w:adjustRightInd w:val="0"/>
        <w:rPr>
          <w:rFonts w:ascii="Arial" w:hAnsi="Arial" w:cs="Arial"/>
          <w:color w:val="FF0000"/>
          <w:sz w:val="24"/>
          <w:szCs w:val="24"/>
        </w:rPr>
      </w:pPr>
    </w:p>
    <w:p w:rsidR="00855108" w:rsidRDefault="00855108" w:rsidP="00E93219">
      <w:pPr>
        <w:autoSpaceDE w:val="0"/>
        <w:autoSpaceDN w:val="0"/>
        <w:adjustRightInd w:val="0"/>
        <w:rPr>
          <w:rFonts w:ascii="Arial" w:hAnsi="Arial" w:cs="Arial"/>
          <w:color w:val="FF0000"/>
          <w:sz w:val="24"/>
          <w:szCs w:val="24"/>
        </w:rPr>
      </w:pPr>
    </w:p>
    <w:p w:rsidR="00855108" w:rsidRDefault="00855108" w:rsidP="00E93219">
      <w:pPr>
        <w:autoSpaceDE w:val="0"/>
        <w:autoSpaceDN w:val="0"/>
        <w:adjustRightInd w:val="0"/>
        <w:rPr>
          <w:rFonts w:ascii="Arial" w:hAnsi="Arial" w:cs="Arial"/>
          <w:color w:val="FF0000"/>
          <w:sz w:val="24"/>
          <w:szCs w:val="24"/>
        </w:rPr>
      </w:pPr>
      <w:r w:rsidRPr="00855108">
        <w:rPr>
          <w:rFonts w:ascii="Arial" w:hAnsi="Arial" w:cs="Arial"/>
          <w:noProof/>
          <w:color w:val="FF0000"/>
          <w:sz w:val="24"/>
          <w:szCs w:val="24"/>
        </w:rPr>
        <w:drawing>
          <wp:inline distT="0" distB="0" distL="0" distR="0">
            <wp:extent cx="5829660" cy="3648973"/>
            <wp:effectExtent l="19050" t="0" r="18690" b="8627"/>
            <wp:docPr id="6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F7F31" w:rsidRPr="00E739E6" w:rsidRDefault="00D03272" w:rsidP="00855108">
      <w:pPr>
        <w:ind w:left="5040"/>
        <w:jc w:val="center"/>
        <w:rPr>
          <w:rFonts w:ascii="Arial" w:hAnsi="Arial" w:cs="Arial"/>
          <w:sz w:val="24"/>
          <w:szCs w:val="24"/>
          <w:lang w:val="ro-RO"/>
        </w:rPr>
      </w:pPr>
      <w:r>
        <w:rPr>
          <w:rFonts w:ascii="Arial" w:hAnsi="Arial" w:cs="Arial"/>
          <w:i/>
          <w:noProof/>
          <w:sz w:val="24"/>
          <w:szCs w:val="24"/>
        </w:rPr>
        <w:pict>
          <v:shape id="_x0000_s1037" type="#_x0000_t202" style="position:absolute;left:0;text-align:left;margin-left:416.05pt;margin-top:14.6pt;width:51.15pt;height:27.3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" strokecolor="white [3212]">
            <v:textbox>
              <w:txbxContent>
                <w:p w:rsidR="000464DA" w:rsidRPr="00855108" w:rsidRDefault="000464DA" w:rsidP="00855108">
                  <w:pPr>
                    <w:rPr>
                      <w:szCs w:val="24"/>
                    </w:rPr>
                  </w:pPr>
                </w:p>
              </w:txbxContent>
            </v:textbox>
          </v:shape>
        </w:pict>
      </w:r>
      <w:r w:rsidR="00DB3CCE" w:rsidRPr="007B7830">
        <w:rPr>
          <w:rFonts w:ascii="Arial" w:hAnsi="Arial" w:cs="Arial"/>
          <w:b/>
          <w:bCs/>
          <w:noProof/>
          <w:sz w:val="24"/>
          <w:szCs w:val="24"/>
          <w:lang w:val="ro-RO"/>
        </w:rPr>
        <w:t xml:space="preserve">                     </w:t>
      </w:r>
      <w:r w:rsidR="007F7F31">
        <w:rPr>
          <w:rFonts w:ascii="Arial" w:hAnsi="Arial" w:cs="Arial"/>
          <w:sz w:val="24"/>
          <w:szCs w:val="24"/>
          <w:lang w:val="ro-RO"/>
        </w:rPr>
        <w:t xml:space="preserve">                                                                                                 </w:t>
      </w:r>
      <w:r w:rsidR="007F7F31">
        <w:rPr>
          <w:rFonts w:ascii="Arial" w:hAnsi="Arial" w:cs="Arial"/>
          <w:i/>
          <w:sz w:val="24"/>
          <w:szCs w:val="24"/>
          <w:lang w:val="ro-RO"/>
        </w:rPr>
        <w:t xml:space="preserve">                </w:t>
      </w:r>
      <w:r w:rsidR="007F7F31" w:rsidRPr="00D572F6">
        <w:rPr>
          <w:rFonts w:ascii="Arial" w:hAnsi="Arial" w:cs="Arial"/>
          <w:i/>
          <w:sz w:val="24"/>
          <w:szCs w:val="24"/>
          <w:lang w:val="ro-RO"/>
        </w:rPr>
        <w:t xml:space="preserve">Figura </w:t>
      </w:r>
      <w:r w:rsidR="007F7F31">
        <w:rPr>
          <w:rFonts w:ascii="Arial" w:hAnsi="Arial" w:cs="Arial"/>
          <w:i/>
          <w:sz w:val="24"/>
          <w:szCs w:val="24"/>
          <w:lang w:val="ro-RO"/>
        </w:rPr>
        <w:t>1.1.1.</w:t>
      </w:r>
      <w:r w:rsidR="007F7F31" w:rsidRPr="00D572F6">
        <w:rPr>
          <w:rFonts w:ascii="Arial" w:hAnsi="Arial" w:cs="Arial"/>
          <w:i/>
          <w:sz w:val="24"/>
          <w:szCs w:val="24"/>
          <w:lang w:val="ro-RO"/>
        </w:rPr>
        <w:t>2.</w:t>
      </w:r>
      <w:r w:rsidR="007F7F31">
        <w:rPr>
          <w:rFonts w:ascii="Arial" w:hAnsi="Arial" w:cs="Arial"/>
          <w:i/>
          <w:sz w:val="24"/>
          <w:szCs w:val="24"/>
          <w:lang w:val="ro-RO"/>
        </w:rPr>
        <w:t>9.</w:t>
      </w:r>
    </w:p>
    <w:p w:rsidR="007F7F31" w:rsidRDefault="007F7F31" w:rsidP="0036053A">
      <w:pPr>
        <w:jc w:val="both"/>
        <w:rPr>
          <w:rFonts w:ascii="Arial" w:hAnsi="Arial" w:cs="Arial"/>
          <w:b/>
          <w:bCs/>
          <w:sz w:val="24"/>
          <w:szCs w:val="24"/>
          <w:lang w:val="ro-RO"/>
        </w:rPr>
      </w:pPr>
    </w:p>
    <w:p w:rsidR="008C0F2E" w:rsidRPr="00452B74" w:rsidRDefault="008C0F2E" w:rsidP="008C0F2E">
      <w:pPr>
        <w:autoSpaceDE w:val="0"/>
        <w:autoSpaceDN w:val="0"/>
        <w:adjustRightInd w:val="0"/>
        <w:rPr>
          <w:rFonts w:ascii="Arial" w:hAnsi="Arial" w:cs="Arial"/>
          <w:sz w:val="24"/>
          <w:szCs w:val="24"/>
        </w:rPr>
      </w:pPr>
      <w:r w:rsidRPr="00452B74">
        <w:rPr>
          <w:rFonts w:ascii="Arial" w:hAnsi="Arial" w:cs="Arial"/>
          <w:sz w:val="24"/>
          <w:szCs w:val="24"/>
        </w:rPr>
        <w:t>Evoluţia concentraţiilor medii anuale exprimate în μg/m3, ale poluanţilor atmosferici (NO2,</w:t>
      </w:r>
    </w:p>
    <w:p w:rsidR="00633745" w:rsidRPr="008A306D" w:rsidRDefault="008C0F2E" w:rsidP="00633745">
      <w:pPr>
        <w:autoSpaceDE w:val="0"/>
        <w:autoSpaceDN w:val="0"/>
        <w:adjustRightInd w:val="0"/>
        <w:jc w:val="both"/>
        <w:rPr>
          <w:rFonts w:ascii="Arial" w:hAnsi="Arial" w:cs="Arial"/>
          <w:sz w:val="24"/>
          <w:szCs w:val="24"/>
        </w:rPr>
      </w:pPr>
      <w:r w:rsidRPr="00452B74">
        <w:rPr>
          <w:rFonts w:ascii="Arial" w:hAnsi="Arial" w:cs="Arial"/>
          <w:sz w:val="24"/>
          <w:szCs w:val="24"/>
        </w:rPr>
        <w:t xml:space="preserve">SO2, PM10, Pb, </w:t>
      </w:r>
      <w:r w:rsidR="00C0012B">
        <w:rPr>
          <w:rFonts w:ascii="Arial" w:hAnsi="Arial" w:cs="Arial"/>
          <w:sz w:val="24"/>
          <w:szCs w:val="24"/>
        </w:rPr>
        <w:t>Cd, Ni) înregistrate la staţia</w:t>
      </w:r>
      <w:r w:rsidRPr="00452B74">
        <w:rPr>
          <w:rFonts w:ascii="Arial" w:hAnsi="Arial" w:cs="Arial"/>
          <w:sz w:val="24"/>
          <w:szCs w:val="24"/>
        </w:rPr>
        <w:t xml:space="preserve"> de trafic</w:t>
      </w:r>
      <w:r w:rsidR="00C439CE" w:rsidRPr="00C439CE">
        <w:rPr>
          <w:rFonts w:ascii="Arial" w:hAnsi="Arial" w:cs="Arial"/>
          <w:sz w:val="24"/>
          <w:szCs w:val="24"/>
        </w:rPr>
        <w:t xml:space="preserve"> </w:t>
      </w:r>
      <w:r w:rsidR="00C439CE">
        <w:rPr>
          <w:rFonts w:ascii="Arial" w:hAnsi="Arial" w:cs="Arial"/>
          <w:sz w:val="24"/>
          <w:szCs w:val="24"/>
        </w:rPr>
        <w:t xml:space="preserve">- </w:t>
      </w:r>
      <w:r w:rsidR="00C439CE" w:rsidRPr="00633745">
        <w:rPr>
          <w:rFonts w:ascii="Arial" w:hAnsi="Arial" w:cs="Arial"/>
          <w:sz w:val="24"/>
          <w:szCs w:val="24"/>
        </w:rPr>
        <w:t>CT4</w:t>
      </w:r>
      <w:r w:rsidR="00C439CE">
        <w:rPr>
          <w:rFonts w:ascii="Arial" w:hAnsi="Arial" w:cs="Arial"/>
          <w:sz w:val="24"/>
          <w:szCs w:val="24"/>
        </w:rPr>
        <w:t xml:space="preserve">, </w:t>
      </w:r>
      <w:r w:rsidRPr="00452B74">
        <w:rPr>
          <w:rFonts w:ascii="Arial" w:hAnsi="Arial" w:cs="Arial"/>
          <w:sz w:val="24"/>
          <w:szCs w:val="24"/>
        </w:rPr>
        <w:t>în raport</w:t>
      </w:r>
      <w:r w:rsidRPr="003A2663">
        <w:rPr>
          <w:rFonts w:ascii="Arial" w:hAnsi="Arial" w:cs="Arial"/>
          <w:color w:val="FF0000"/>
          <w:sz w:val="24"/>
          <w:szCs w:val="24"/>
        </w:rPr>
        <w:t xml:space="preserve"> </w:t>
      </w:r>
      <w:r w:rsidRPr="005469BF">
        <w:rPr>
          <w:rFonts w:ascii="Arial" w:hAnsi="Arial" w:cs="Arial"/>
          <w:sz w:val="24"/>
          <w:szCs w:val="24"/>
        </w:rPr>
        <w:t>cu valoarea limită anuală</w:t>
      </w:r>
      <w:r w:rsidR="00633745">
        <w:rPr>
          <w:rFonts w:ascii="Arial" w:hAnsi="Arial" w:cs="Arial"/>
          <w:sz w:val="24"/>
          <w:szCs w:val="24"/>
        </w:rPr>
        <w:t xml:space="preserve"> </w:t>
      </w:r>
      <w:r w:rsidR="00633745" w:rsidRPr="008A306D">
        <w:rPr>
          <w:rFonts w:ascii="Arial" w:hAnsi="Arial" w:cs="Arial"/>
          <w:sz w:val="24"/>
          <w:szCs w:val="24"/>
        </w:rPr>
        <w:t>(NO2 – 40 μg/m</w:t>
      </w:r>
      <w:r w:rsidR="00633745" w:rsidRPr="008A306D">
        <w:rPr>
          <w:rFonts w:ascii="Arial" w:hAnsi="Arial" w:cs="Arial"/>
          <w:sz w:val="24"/>
          <w:szCs w:val="24"/>
          <w:vertAlign w:val="superscript"/>
        </w:rPr>
        <w:t>3</w:t>
      </w:r>
      <w:r w:rsidR="00633745" w:rsidRPr="008A306D">
        <w:rPr>
          <w:rFonts w:ascii="Arial" w:hAnsi="Arial" w:cs="Arial"/>
          <w:sz w:val="24"/>
          <w:szCs w:val="24"/>
        </w:rPr>
        <w:t>; C6H6 – 5 μg/m</w:t>
      </w:r>
      <w:r w:rsidR="00633745" w:rsidRPr="008A306D">
        <w:rPr>
          <w:rFonts w:ascii="Arial" w:hAnsi="Arial" w:cs="Arial"/>
          <w:sz w:val="24"/>
          <w:szCs w:val="24"/>
          <w:vertAlign w:val="superscript"/>
        </w:rPr>
        <w:t>3</w:t>
      </w:r>
      <w:r w:rsidR="00633745" w:rsidRPr="008A306D">
        <w:rPr>
          <w:rFonts w:ascii="Arial" w:hAnsi="Arial" w:cs="Arial"/>
          <w:sz w:val="24"/>
          <w:szCs w:val="24"/>
        </w:rPr>
        <w:t>; PM10 – 40 μg/m</w:t>
      </w:r>
      <w:r w:rsidR="00633745" w:rsidRPr="008A306D">
        <w:rPr>
          <w:rFonts w:ascii="Arial" w:hAnsi="Arial" w:cs="Arial"/>
          <w:sz w:val="24"/>
          <w:szCs w:val="24"/>
          <w:vertAlign w:val="superscript"/>
        </w:rPr>
        <w:t>3</w:t>
      </w:r>
      <w:r w:rsidR="00633745" w:rsidRPr="008A306D">
        <w:rPr>
          <w:rFonts w:ascii="Arial" w:hAnsi="Arial" w:cs="Arial"/>
          <w:sz w:val="24"/>
          <w:szCs w:val="24"/>
        </w:rPr>
        <w:t>; Pb – 0,5 μg/m</w:t>
      </w:r>
      <w:r w:rsidR="00633745" w:rsidRPr="008A306D">
        <w:rPr>
          <w:rFonts w:ascii="Arial" w:hAnsi="Arial" w:cs="Arial"/>
          <w:sz w:val="24"/>
          <w:szCs w:val="24"/>
          <w:vertAlign w:val="superscript"/>
        </w:rPr>
        <w:t>3</w:t>
      </w:r>
      <w:r w:rsidR="00633745" w:rsidRPr="008A306D">
        <w:rPr>
          <w:rFonts w:ascii="Arial" w:hAnsi="Arial" w:cs="Arial"/>
          <w:sz w:val="24"/>
          <w:szCs w:val="24"/>
        </w:rPr>
        <w:t>).</w:t>
      </w:r>
    </w:p>
    <w:p w:rsidR="008C0F2E" w:rsidRDefault="008C0F2E" w:rsidP="008C0F2E">
      <w:pPr>
        <w:autoSpaceDE w:val="0"/>
        <w:autoSpaceDN w:val="0"/>
        <w:adjustRightInd w:val="0"/>
        <w:rPr>
          <w:rFonts w:ascii="Arial" w:hAnsi="Arial" w:cs="Arial"/>
          <w:sz w:val="24"/>
          <w:szCs w:val="24"/>
        </w:rPr>
      </w:pPr>
    </w:p>
    <w:p w:rsidR="00C0012B" w:rsidRDefault="00D03272" w:rsidP="008C0F2E">
      <w:pPr>
        <w:autoSpaceDE w:val="0"/>
        <w:autoSpaceDN w:val="0"/>
        <w:adjustRightInd w:val="0"/>
        <w:rPr>
          <w:rFonts w:ascii="Arial" w:hAnsi="Arial" w:cs="Arial"/>
          <w:sz w:val="24"/>
          <w:szCs w:val="24"/>
        </w:rPr>
      </w:pPr>
      <w:r>
        <w:rPr>
          <w:rFonts w:ascii="Arial" w:hAnsi="Arial" w:cs="Arial"/>
          <w:noProof/>
          <w:sz w:val="24"/>
          <w:szCs w:val="24"/>
        </w:rPr>
        <w:pict>
          <v:shape id="Text Box 15" o:spid="_x0000_s1038" type="#_x0000_t202" style="position:absolute;margin-left:413.75pt;margin-top:9.6pt;width:53.6pt;height:21.75pt;z-index:2516679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" strokecolor="white [3212]">
            <v:textbox style="mso-fit-shape-to-text:t">
              <w:txbxContent>
                <w:p w:rsidR="000464DA" w:rsidRPr="005D045E" w:rsidRDefault="000464DA">
                  <w:pPr>
                    <w:rPr>
                      <w:rFonts w:ascii="Arial" w:hAnsi="Arial" w:cs="Arial"/>
                      <w:b/>
                      <w:color w:val="00B050"/>
                      <w:sz w:val="24"/>
                      <w:szCs w:val="24"/>
                    </w:rPr>
                  </w:pPr>
                  <w:r w:rsidRPr="005D045E">
                    <w:rPr>
                      <w:rFonts w:ascii="Arial" w:hAnsi="Arial" w:cs="Arial"/>
                      <w:b/>
                      <w:color w:val="00B050"/>
                      <w:sz w:val="24"/>
                      <w:szCs w:val="24"/>
                    </w:rPr>
                    <w:t>ng/m3</w:t>
                  </w:r>
                </w:p>
              </w:txbxContent>
            </v:textbox>
          </v:shape>
        </w:pict>
      </w:r>
      <w:r w:rsidR="00C0012B" w:rsidRPr="00C0012B">
        <w:rPr>
          <w:rFonts w:ascii="Arial" w:hAnsi="Arial" w:cs="Arial"/>
          <w:noProof/>
          <w:sz w:val="24"/>
          <w:szCs w:val="24"/>
        </w:rPr>
        <w:drawing>
          <wp:inline distT="0" distB="0" distL="0" distR="0">
            <wp:extent cx="5943600" cy="3804285"/>
            <wp:effectExtent l="19050" t="0" r="19050" b="5715"/>
            <wp:docPr id="6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0ADE" w:rsidRPr="00E739E6" w:rsidRDefault="008B0ADE" w:rsidP="00C0012B">
      <w:pPr>
        <w:autoSpaceDE w:val="0"/>
        <w:autoSpaceDN w:val="0"/>
        <w:adjustRightInd w:val="0"/>
        <w:jc w:val="center"/>
        <w:rPr>
          <w:rFonts w:ascii="Arial" w:hAnsi="Arial" w:cs="Arial"/>
          <w:sz w:val="24"/>
          <w:szCs w:val="24"/>
          <w:lang w:val="ro-RO"/>
        </w:rPr>
      </w:pPr>
      <w:r>
        <w:rPr>
          <w:rFonts w:ascii="Arial" w:hAnsi="Arial" w:cs="Arial"/>
          <w:i/>
          <w:sz w:val="24"/>
          <w:szCs w:val="24"/>
          <w:lang w:val="ro-RO"/>
        </w:rPr>
        <w:t xml:space="preserve">                                                                                                                  </w:t>
      </w:r>
      <w:r w:rsidRPr="00D572F6">
        <w:rPr>
          <w:rFonts w:ascii="Arial" w:hAnsi="Arial" w:cs="Arial"/>
          <w:i/>
          <w:sz w:val="24"/>
          <w:szCs w:val="24"/>
          <w:lang w:val="ro-RO"/>
        </w:rPr>
        <w:t xml:space="preserve">Figura </w:t>
      </w:r>
      <w:r>
        <w:rPr>
          <w:rFonts w:ascii="Arial" w:hAnsi="Arial" w:cs="Arial"/>
          <w:i/>
          <w:sz w:val="24"/>
          <w:szCs w:val="24"/>
          <w:lang w:val="ro-RO"/>
        </w:rPr>
        <w:t>1.1.1.</w:t>
      </w:r>
      <w:r w:rsidRPr="00D572F6">
        <w:rPr>
          <w:rFonts w:ascii="Arial" w:hAnsi="Arial" w:cs="Arial"/>
          <w:i/>
          <w:sz w:val="24"/>
          <w:szCs w:val="24"/>
          <w:lang w:val="ro-RO"/>
        </w:rPr>
        <w:t>2.</w:t>
      </w:r>
      <w:r>
        <w:rPr>
          <w:rFonts w:ascii="Arial" w:hAnsi="Arial" w:cs="Arial"/>
          <w:i/>
          <w:sz w:val="24"/>
          <w:szCs w:val="24"/>
          <w:lang w:val="ro-RO"/>
        </w:rPr>
        <w:t>10.</w:t>
      </w:r>
    </w:p>
    <w:p w:rsidR="0042472A" w:rsidRDefault="0042472A" w:rsidP="007F7F31">
      <w:pPr>
        <w:autoSpaceDE w:val="0"/>
        <w:autoSpaceDN w:val="0"/>
        <w:adjustRightInd w:val="0"/>
        <w:rPr>
          <w:rFonts w:ascii="Arial,BoldItalic" w:eastAsia="Arial,BoldItalic" w:cs="Arial,BoldItalic"/>
          <w:b/>
          <w:bCs/>
          <w:i/>
          <w:iCs/>
          <w:color w:val="FF0000"/>
          <w:sz w:val="24"/>
          <w:szCs w:val="24"/>
        </w:rPr>
      </w:pPr>
    </w:p>
    <w:p w:rsidR="005D02B0" w:rsidRPr="00237E86" w:rsidRDefault="001D2453" w:rsidP="0036053A">
      <w:pPr>
        <w:jc w:val="both"/>
        <w:rPr>
          <w:rFonts w:ascii="Arial" w:hAnsi="Arial" w:cs="Arial"/>
          <w:b/>
          <w:bCs/>
          <w:sz w:val="24"/>
          <w:szCs w:val="24"/>
          <w:lang w:val="ro-RO"/>
        </w:rPr>
      </w:pPr>
      <w:r>
        <w:rPr>
          <w:rFonts w:ascii="Arial" w:hAnsi="Arial" w:cs="Arial"/>
          <w:b/>
          <w:bCs/>
          <w:sz w:val="24"/>
          <w:szCs w:val="24"/>
          <w:lang w:val="ro-RO"/>
        </w:rPr>
        <w:t>I</w:t>
      </w:r>
      <w:r w:rsidR="005D02B0" w:rsidRPr="00237E86">
        <w:rPr>
          <w:rFonts w:ascii="Arial" w:hAnsi="Arial" w:cs="Arial"/>
          <w:b/>
          <w:bCs/>
          <w:sz w:val="24"/>
          <w:szCs w:val="24"/>
          <w:lang w:val="ro-RO"/>
        </w:rPr>
        <w:t>.1.1.3. Depasiri ale valorilor limita si valorilor tinta privind calitatea aerului inconjurator in zonele urbane.</w:t>
      </w:r>
    </w:p>
    <w:p w:rsidR="00751C23" w:rsidRPr="00237E86" w:rsidRDefault="00751C23" w:rsidP="0036053A">
      <w:pPr>
        <w:jc w:val="both"/>
        <w:rPr>
          <w:rFonts w:ascii="Arial" w:hAnsi="Arial" w:cs="Arial"/>
          <w:b/>
          <w:bCs/>
          <w:sz w:val="24"/>
          <w:szCs w:val="24"/>
          <w:lang w:val="ro-RO"/>
        </w:rPr>
      </w:pPr>
    </w:p>
    <w:p w:rsidR="00751C23" w:rsidRPr="00AC7D51" w:rsidRDefault="00751C23" w:rsidP="00751C23">
      <w:pPr>
        <w:numPr>
          <w:ilvl w:val="0"/>
          <w:numId w:val="40"/>
        </w:numPr>
        <w:jc w:val="both"/>
        <w:rPr>
          <w:rFonts w:ascii="Arial" w:hAnsi="Arial" w:cs="Arial"/>
          <w:b/>
          <w:bCs/>
          <w:sz w:val="24"/>
          <w:szCs w:val="24"/>
          <w:lang w:val="ro-RO"/>
        </w:rPr>
      </w:pPr>
      <w:r w:rsidRPr="00AC7D51">
        <w:rPr>
          <w:rFonts w:ascii="Arial" w:hAnsi="Arial" w:cs="Arial"/>
          <w:b/>
          <w:bCs/>
          <w:sz w:val="24"/>
          <w:szCs w:val="24"/>
          <w:lang w:val="ro-RO"/>
        </w:rPr>
        <w:t>Indicatori specifici – RO 04 indicator CSI 04 – depasirea valorilor limita privind calitatea aerului in zonele urbane</w:t>
      </w:r>
    </w:p>
    <w:p w:rsidR="00C3604B" w:rsidRPr="00237E86" w:rsidRDefault="00C3604B" w:rsidP="00C3604B">
      <w:pPr>
        <w:jc w:val="both"/>
        <w:rPr>
          <w:rFonts w:ascii="Arial" w:hAnsi="Arial" w:cs="Arial"/>
          <w:bCs/>
          <w:sz w:val="24"/>
          <w:szCs w:val="24"/>
          <w:lang w:val="ro-RO"/>
        </w:rPr>
      </w:pPr>
    </w:p>
    <w:p w:rsidR="00C3604B" w:rsidRPr="00AC7D51" w:rsidRDefault="00C3604B" w:rsidP="00C3604B">
      <w:pPr>
        <w:jc w:val="both"/>
        <w:rPr>
          <w:rFonts w:ascii="Arial" w:hAnsi="Arial" w:cs="Arial"/>
          <w:b/>
          <w:bCs/>
          <w:sz w:val="24"/>
          <w:szCs w:val="24"/>
          <w:lang w:val="ro-RO"/>
        </w:rPr>
      </w:pPr>
      <w:r w:rsidRPr="00237E86">
        <w:rPr>
          <w:rFonts w:ascii="Arial" w:hAnsi="Arial" w:cs="Arial"/>
          <w:bCs/>
          <w:sz w:val="24"/>
          <w:szCs w:val="24"/>
          <w:lang w:val="ro-RO"/>
        </w:rPr>
        <w:t xml:space="preserve"> </w:t>
      </w:r>
      <w:r w:rsidRPr="00AC7D51">
        <w:rPr>
          <w:rFonts w:ascii="Arial" w:hAnsi="Arial" w:cs="Arial"/>
          <w:b/>
          <w:bCs/>
          <w:sz w:val="24"/>
          <w:szCs w:val="24"/>
          <w:lang w:val="ro-RO"/>
        </w:rPr>
        <w:t>Cod indicator România: RO 04</w:t>
      </w:r>
    </w:p>
    <w:p w:rsidR="00C3604B" w:rsidRPr="00AC7D51" w:rsidRDefault="00C3604B" w:rsidP="00C3604B">
      <w:pPr>
        <w:jc w:val="both"/>
        <w:rPr>
          <w:rFonts w:ascii="Arial" w:hAnsi="Arial" w:cs="Arial"/>
          <w:b/>
          <w:bCs/>
          <w:sz w:val="24"/>
          <w:szCs w:val="24"/>
          <w:lang w:val="ro-RO"/>
        </w:rPr>
      </w:pPr>
      <w:r w:rsidRPr="00AC7D51">
        <w:rPr>
          <w:rFonts w:ascii="Arial" w:hAnsi="Arial" w:cs="Arial"/>
          <w:b/>
          <w:bCs/>
          <w:sz w:val="24"/>
          <w:szCs w:val="24"/>
          <w:lang w:val="ro-RO"/>
        </w:rPr>
        <w:t xml:space="preserve"> Cod indicator AEM: CSI 04 </w:t>
      </w:r>
    </w:p>
    <w:p w:rsidR="00C3604B" w:rsidRPr="00AC7D51" w:rsidRDefault="00C3604B" w:rsidP="00C3604B">
      <w:pPr>
        <w:jc w:val="both"/>
        <w:rPr>
          <w:rFonts w:ascii="Arial" w:hAnsi="Arial" w:cs="Arial"/>
          <w:b/>
          <w:bCs/>
          <w:sz w:val="24"/>
          <w:szCs w:val="24"/>
          <w:lang w:val="ro-RO"/>
        </w:rPr>
      </w:pPr>
      <w:r w:rsidRPr="00AC7D51">
        <w:rPr>
          <w:rFonts w:ascii="Arial" w:hAnsi="Arial" w:cs="Arial"/>
          <w:b/>
          <w:bCs/>
          <w:sz w:val="24"/>
          <w:szCs w:val="24"/>
          <w:lang w:val="ro-RO"/>
        </w:rPr>
        <w:t xml:space="preserve"> DENUMIRE:  DEPĂŞIREA VALORILOR LIMITĂ PRIVIND CALITATEA AERULUI</w:t>
      </w:r>
    </w:p>
    <w:p w:rsidR="00C3604B" w:rsidRPr="00AC7D51" w:rsidRDefault="00C3604B" w:rsidP="00C3604B">
      <w:pPr>
        <w:jc w:val="both"/>
        <w:rPr>
          <w:rFonts w:ascii="Arial" w:hAnsi="Arial" w:cs="Arial"/>
          <w:b/>
          <w:bCs/>
          <w:sz w:val="24"/>
          <w:szCs w:val="24"/>
          <w:lang w:val="ro-RO"/>
        </w:rPr>
      </w:pPr>
      <w:r w:rsidRPr="00AC7D51">
        <w:rPr>
          <w:rFonts w:ascii="Arial" w:hAnsi="Arial" w:cs="Arial"/>
          <w:b/>
          <w:bCs/>
          <w:sz w:val="24"/>
          <w:szCs w:val="24"/>
          <w:lang w:val="ro-RO"/>
        </w:rPr>
        <w:t>ÎN ZONELE URBANE</w:t>
      </w:r>
    </w:p>
    <w:p w:rsidR="00C3604B" w:rsidRPr="00D352C7" w:rsidRDefault="00C3604B" w:rsidP="00C3604B">
      <w:pPr>
        <w:jc w:val="both"/>
        <w:rPr>
          <w:rFonts w:ascii="Arial" w:hAnsi="Arial" w:cs="Arial"/>
          <w:bCs/>
          <w:sz w:val="24"/>
          <w:szCs w:val="24"/>
          <w:lang w:val="ro-RO"/>
        </w:rPr>
      </w:pPr>
      <w:r w:rsidRPr="00AC7D51">
        <w:rPr>
          <w:rFonts w:ascii="Arial" w:hAnsi="Arial" w:cs="Arial"/>
          <w:b/>
          <w:bCs/>
          <w:sz w:val="24"/>
          <w:szCs w:val="24"/>
          <w:lang w:val="ro-RO"/>
        </w:rPr>
        <w:t xml:space="preserve">DEFINITIE: </w:t>
      </w:r>
      <w:r w:rsidRPr="00D352C7">
        <w:rPr>
          <w:rFonts w:ascii="Arial" w:hAnsi="Arial" w:cs="Arial"/>
          <w:bCs/>
          <w:sz w:val="24"/>
          <w:szCs w:val="24"/>
          <w:lang w:val="ro-RO"/>
        </w:rPr>
        <w:t>Procentul populaţiei urbane potenţial expusă la concentraţii de poluanţi</w:t>
      </w:r>
    </w:p>
    <w:p w:rsidR="00C3604B" w:rsidRPr="00D352C7" w:rsidRDefault="00C3604B" w:rsidP="00C3604B">
      <w:pPr>
        <w:jc w:val="both"/>
        <w:rPr>
          <w:rFonts w:ascii="Arial" w:hAnsi="Arial" w:cs="Arial"/>
          <w:bCs/>
          <w:sz w:val="24"/>
          <w:szCs w:val="24"/>
          <w:lang w:val="ro-RO"/>
        </w:rPr>
      </w:pPr>
      <w:r w:rsidRPr="00D352C7">
        <w:rPr>
          <w:rFonts w:ascii="Arial" w:hAnsi="Arial" w:cs="Arial"/>
          <w:bCs/>
          <w:sz w:val="24"/>
          <w:szCs w:val="24"/>
          <w:lang w:val="ro-RO"/>
        </w:rPr>
        <w:t>în aerul înconjutător care depăşesc valoarea-limită pentru protecţia</w:t>
      </w:r>
    </w:p>
    <w:p w:rsidR="00751C23" w:rsidRPr="00AC7D51" w:rsidRDefault="00C3604B" w:rsidP="00C3604B">
      <w:pPr>
        <w:jc w:val="both"/>
        <w:rPr>
          <w:rFonts w:ascii="Arial" w:hAnsi="Arial" w:cs="Arial"/>
          <w:b/>
          <w:bCs/>
          <w:sz w:val="24"/>
          <w:szCs w:val="24"/>
          <w:lang w:val="ro-RO"/>
        </w:rPr>
      </w:pPr>
      <w:r w:rsidRPr="00D352C7">
        <w:rPr>
          <w:rFonts w:ascii="Arial" w:hAnsi="Arial" w:cs="Arial"/>
          <w:bCs/>
          <w:sz w:val="24"/>
          <w:szCs w:val="24"/>
          <w:lang w:val="ro-RO"/>
        </w:rPr>
        <w:t>sănătăţii umane.</w:t>
      </w:r>
    </w:p>
    <w:p w:rsidR="00AB0FE7" w:rsidRPr="00EF4635" w:rsidRDefault="00AB0FE7" w:rsidP="00C3604B">
      <w:pPr>
        <w:jc w:val="both"/>
        <w:rPr>
          <w:rFonts w:ascii="Arial" w:hAnsi="Arial" w:cs="Arial"/>
          <w:bCs/>
          <w:color w:val="FF0000"/>
          <w:sz w:val="24"/>
          <w:szCs w:val="24"/>
          <w:lang w:val="ro-RO"/>
        </w:rPr>
      </w:pPr>
    </w:p>
    <w:p w:rsidR="004420C5" w:rsidRPr="006A15A5" w:rsidRDefault="006A15A5" w:rsidP="00C3604B">
      <w:pPr>
        <w:jc w:val="both"/>
        <w:rPr>
          <w:rFonts w:ascii="Arial" w:hAnsi="Arial" w:cs="Arial"/>
          <w:bCs/>
          <w:sz w:val="24"/>
          <w:szCs w:val="24"/>
          <w:lang w:val="ro-RO"/>
        </w:rPr>
      </w:pPr>
      <w:r>
        <w:rPr>
          <w:rFonts w:ascii="Arial" w:hAnsi="Arial" w:cs="Arial"/>
          <w:bCs/>
          <w:sz w:val="24"/>
          <w:szCs w:val="24"/>
          <w:lang w:val="ro-RO"/>
        </w:rPr>
        <w:t>Î</w:t>
      </w:r>
      <w:r w:rsidR="004420C5" w:rsidRPr="006A15A5">
        <w:rPr>
          <w:rFonts w:ascii="Arial" w:hAnsi="Arial" w:cs="Arial"/>
          <w:bCs/>
          <w:sz w:val="24"/>
          <w:szCs w:val="24"/>
          <w:lang w:val="ro-RO"/>
        </w:rPr>
        <w:t>n anul 201</w:t>
      </w:r>
      <w:r w:rsidRPr="006A15A5">
        <w:rPr>
          <w:rFonts w:ascii="Arial" w:hAnsi="Arial" w:cs="Arial"/>
          <w:bCs/>
          <w:sz w:val="24"/>
          <w:szCs w:val="24"/>
          <w:lang w:val="ro-RO"/>
        </w:rPr>
        <w:t>6</w:t>
      </w:r>
      <w:r w:rsidR="004420C5" w:rsidRPr="006A15A5">
        <w:rPr>
          <w:rFonts w:ascii="Arial" w:hAnsi="Arial" w:cs="Arial"/>
          <w:bCs/>
          <w:sz w:val="24"/>
          <w:szCs w:val="24"/>
          <w:lang w:val="ro-RO"/>
        </w:rPr>
        <w:t xml:space="preserve"> </w:t>
      </w:r>
      <w:r>
        <w:rPr>
          <w:rFonts w:ascii="Arial" w:hAnsi="Arial" w:cs="Arial"/>
          <w:bCs/>
          <w:sz w:val="24"/>
          <w:szCs w:val="24"/>
          <w:lang w:val="ro-RO"/>
        </w:rPr>
        <w:t>î</w:t>
      </w:r>
      <w:r w:rsidR="004420C5" w:rsidRPr="006A15A5">
        <w:rPr>
          <w:rFonts w:ascii="Arial" w:hAnsi="Arial" w:cs="Arial"/>
          <w:bCs/>
          <w:sz w:val="24"/>
          <w:szCs w:val="24"/>
          <w:lang w:val="ro-RO"/>
        </w:rPr>
        <w:t xml:space="preserve">n mediul urban nu s-au </w:t>
      </w:r>
      <w:r>
        <w:rPr>
          <w:rFonts w:ascii="Arial" w:hAnsi="Arial" w:cs="Arial"/>
          <w:bCs/>
          <w:sz w:val="24"/>
          <w:szCs w:val="24"/>
          <w:lang w:val="ro-RO"/>
        </w:rPr>
        <w:t>î</w:t>
      </w:r>
      <w:r w:rsidR="004420C5" w:rsidRPr="006A15A5">
        <w:rPr>
          <w:rFonts w:ascii="Arial" w:hAnsi="Arial" w:cs="Arial"/>
          <w:bCs/>
          <w:sz w:val="24"/>
          <w:szCs w:val="24"/>
          <w:lang w:val="ro-RO"/>
        </w:rPr>
        <w:t>nregistrat mai mult de 35 de dep</w:t>
      </w:r>
      <w:r>
        <w:rPr>
          <w:rFonts w:ascii="Arial" w:hAnsi="Arial" w:cs="Arial"/>
          <w:bCs/>
          <w:sz w:val="24"/>
          <w:szCs w:val="24"/>
          <w:lang w:val="ro-RO"/>
        </w:rPr>
        <w:t>ãş</w:t>
      </w:r>
      <w:r w:rsidR="004420C5" w:rsidRPr="006A15A5">
        <w:rPr>
          <w:rFonts w:ascii="Arial" w:hAnsi="Arial" w:cs="Arial"/>
          <w:bCs/>
          <w:sz w:val="24"/>
          <w:szCs w:val="24"/>
          <w:lang w:val="ro-RO"/>
        </w:rPr>
        <w:t>iri ale valorilor limit</w:t>
      </w:r>
      <w:r>
        <w:rPr>
          <w:rFonts w:ascii="Arial" w:hAnsi="Arial" w:cs="Arial"/>
          <w:bCs/>
          <w:sz w:val="24"/>
          <w:szCs w:val="24"/>
          <w:lang w:val="ro-RO"/>
        </w:rPr>
        <w:t>ã</w:t>
      </w:r>
      <w:r w:rsidR="004420C5" w:rsidRPr="006A15A5">
        <w:rPr>
          <w:rFonts w:ascii="Arial" w:hAnsi="Arial" w:cs="Arial"/>
          <w:bCs/>
          <w:sz w:val="24"/>
          <w:szCs w:val="24"/>
          <w:lang w:val="ro-RO"/>
        </w:rPr>
        <w:t xml:space="preserve"> zilnice pentru PM10 </w:t>
      </w:r>
      <w:r>
        <w:rPr>
          <w:rFonts w:ascii="Arial" w:hAnsi="Arial" w:cs="Arial"/>
          <w:bCs/>
          <w:sz w:val="24"/>
          <w:szCs w:val="24"/>
          <w:lang w:val="ro-RO"/>
        </w:rPr>
        <w:t>î</w:t>
      </w:r>
      <w:r w:rsidR="004420C5" w:rsidRPr="006A15A5">
        <w:rPr>
          <w:rFonts w:ascii="Arial" w:hAnsi="Arial" w:cs="Arial"/>
          <w:bCs/>
          <w:sz w:val="24"/>
          <w:szCs w:val="24"/>
          <w:lang w:val="ro-RO"/>
        </w:rPr>
        <w:t>n loca</w:t>
      </w:r>
      <w:r>
        <w:rPr>
          <w:rFonts w:ascii="Arial" w:hAnsi="Arial" w:cs="Arial"/>
          <w:bCs/>
          <w:sz w:val="24"/>
          <w:szCs w:val="24"/>
          <w:lang w:val="ro-RO"/>
        </w:rPr>
        <w:t>ţ</w:t>
      </w:r>
      <w:r w:rsidR="004420C5" w:rsidRPr="006A15A5">
        <w:rPr>
          <w:rFonts w:ascii="Arial" w:hAnsi="Arial" w:cs="Arial"/>
          <w:bCs/>
          <w:sz w:val="24"/>
          <w:szCs w:val="24"/>
          <w:lang w:val="ro-RO"/>
        </w:rPr>
        <w:t>iile monitorizate.</w:t>
      </w:r>
      <w:r w:rsidR="004420C5" w:rsidRPr="00EF4635">
        <w:rPr>
          <w:rFonts w:ascii="Arial" w:hAnsi="Arial" w:cs="Arial"/>
          <w:bCs/>
          <w:color w:val="FF0000"/>
          <w:sz w:val="24"/>
          <w:szCs w:val="24"/>
          <w:lang w:val="ro-RO"/>
        </w:rPr>
        <w:t xml:space="preserve"> </w:t>
      </w:r>
      <w:r w:rsidR="004420C5" w:rsidRPr="006A15A5">
        <w:rPr>
          <w:rFonts w:ascii="Arial" w:hAnsi="Arial" w:cs="Arial"/>
          <w:bCs/>
          <w:sz w:val="24"/>
          <w:szCs w:val="24"/>
          <w:lang w:val="ro-RO"/>
        </w:rPr>
        <w:t xml:space="preserve">De asemenea, nu s-au </w:t>
      </w:r>
      <w:r>
        <w:rPr>
          <w:rFonts w:ascii="Arial" w:hAnsi="Arial" w:cs="Arial"/>
          <w:bCs/>
          <w:sz w:val="24"/>
          <w:szCs w:val="24"/>
          <w:lang w:val="ro-RO"/>
        </w:rPr>
        <w:t>î</w:t>
      </w:r>
      <w:r w:rsidR="004420C5" w:rsidRPr="006A15A5">
        <w:rPr>
          <w:rFonts w:ascii="Arial" w:hAnsi="Arial" w:cs="Arial"/>
          <w:bCs/>
          <w:sz w:val="24"/>
          <w:szCs w:val="24"/>
          <w:lang w:val="ro-RO"/>
        </w:rPr>
        <w:t xml:space="preserve">nregistrat </w:t>
      </w:r>
      <w:r w:rsidR="00C27C29" w:rsidRPr="006A15A5">
        <w:rPr>
          <w:rFonts w:ascii="Arial" w:hAnsi="Arial" w:cs="Arial"/>
          <w:bCs/>
          <w:sz w:val="24"/>
          <w:szCs w:val="24"/>
          <w:lang w:val="ro-RO"/>
        </w:rPr>
        <w:t xml:space="preserve">mai mult de 25 de </w:t>
      </w:r>
      <w:r w:rsidR="004420C5" w:rsidRPr="006A15A5">
        <w:rPr>
          <w:rFonts w:ascii="Arial" w:hAnsi="Arial" w:cs="Arial"/>
          <w:bCs/>
          <w:sz w:val="24"/>
          <w:szCs w:val="24"/>
          <w:lang w:val="ro-RO"/>
        </w:rPr>
        <w:t>dep</w:t>
      </w:r>
      <w:r>
        <w:rPr>
          <w:rFonts w:ascii="Arial" w:hAnsi="Arial" w:cs="Arial"/>
          <w:bCs/>
          <w:sz w:val="24"/>
          <w:szCs w:val="24"/>
          <w:lang w:val="ro-RO"/>
        </w:rPr>
        <w:t>ãş</w:t>
      </w:r>
      <w:r w:rsidR="004420C5" w:rsidRPr="006A15A5">
        <w:rPr>
          <w:rFonts w:ascii="Arial" w:hAnsi="Arial" w:cs="Arial"/>
          <w:bCs/>
          <w:sz w:val="24"/>
          <w:szCs w:val="24"/>
          <w:lang w:val="ro-RO"/>
        </w:rPr>
        <w:t xml:space="preserve">iri ale valorii </w:t>
      </w:r>
      <w:r>
        <w:rPr>
          <w:rFonts w:ascii="Arial" w:hAnsi="Arial" w:cs="Arial"/>
          <w:bCs/>
          <w:sz w:val="24"/>
          <w:szCs w:val="24"/>
          <w:lang w:val="ro-RO"/>
        </w:rPr>
        <w:t>ţ</w:t>
      </w:r>
      <w:r w:rsidR="004420C5" w:rsidRPr="006A15A5">
        <w:rPr>
          <w:rFonts w:ascii="Arial" w:hAnsi="Arial" w:cs="Arial"/>
          <w:bCs/>
          <w:sz w:val="24"/>
          <w:szCs w:val="24"/>
          <w:lang w:val="ro-RO"/>
        </w:rPr>
        <w:t>int</w:t>
      </w:r>
      <w:r>
        <w:rPr>
          <w:rFonts w:ascii="Arial" w:hAnsi="Arial" w:cs="Arial"/>
          <w:bCs/>
          <w:sz w:val="24"/>
          <w:szCs w:val="24"/>
          <w:lang w:val="ro-RO"/>
        </w:rPr>
        <w:t>ã</w:t>
      </w:r>
      <w:r w:rsidR="004420C5" w:rsidRPr="006A15A5">
        <w:rPr>
          <w:rFonts w:ascii="Arial" w:hAnsi="Arial" w:cs="Arial"/>
          <w:bCs/>
          <w:sz w:val="24"/>
          <w:szCs w:val="24"/>
          <w:lang w:val="ro-RO"/>
        </w:rPr>
        <w:t xml:space="preserve"> pentru ozon.</w:t>
      </w:r>
    </w:p>
    <w:p w:rsidR="004420C5" w:rsidRDefault="004420C5" w:rsidP="00C3604B">
      <w:pPr>
        <w:jc w:val="both"/>
        <w:rPr>
          <w:rFonts w:ascii="Arial" w:hAnsi="Arial" w:cs="Arial"/>
          <w:bCs/>
          <w:sz w:val="24"/>
          <w:szCs w:val="24"/>
          <w:lang w:val="ro-RO"/>
        </w:rPr>
      </w:pPr>
    </w:p>
    <w:p w:rsidR="004420C5" w:rsidRPr="00143DB8" w:rsidRDefault="001D2453" w:rsidP="004420C5">
      <w:pPr>
        <w:jc w:val="both"/>
        <w:rPr>
          <w:rFonts w:ascii="Arial" w:hAnsi="Arial" w:cs="Arial"/>
          <w:b/>
          <w:bCs/>
          <w:sz w:val="24"/>
          <w:szCs w:val="24"/>
          <w:lang w:val="ro-RO"/>
        </w:rPr>
      </w:pPr>
      <w:r>
        <w:rPr>
          <w:rFonts w:ascii="Arial" w:hAnsi="Arial" w:cs="Arial"/>
          <w:b/>
          <w:bCs/>
          <w:sz w:val="24"/>
          <w:szCs w:val="24"/>
          <w:lang w:val="ro-RO"/>
        </w:rPr>
        <w:t>I</w:t>
      </w:r>
      <w:r w:rsidR="004420C5" w:rsidRPr="00143DB8">
        <w:rPr>
          <w:rFonts w:ascii="Arial" w:hAnsi="Arial" w:cs="Arial"/>
          <w:b/>
          <w:bCs/>
          <w:sz w:val="24"/>
          <w:szCs w:val="24"/>
          <w:lang w:val="ro-RO"/>
        </w:rPr>
        <w:t>.1.2. Efectele poluarii aerului inconjurator</w:t>
      </w:r>
    </w:p>
    <w:p w:rsidR="004420C5" w:rsidRDefault="001D2453" w:rsidP="004420C5">
      <w:pPr>
        <w:jc w:val="both"/>
        <w:rPr>
          <w:rFonts w:ascii="Arial" w:hAnsi="Arial" w:cs="Arial"/>
          <w:b/>
          <w:bCs/>
          <w:sz w:val="24"/>
          <w:szCs w:val="24"/>
          <w:lang w:val="ro-RO"/>
        </w:rPr>
      </w:pPr>
      <w:r>
        <w:rPr>
          <w:rFonts w:ascii="Arial" w:hAnsi="Arial" w:cs="Arial"/>
          <w:b/>
          <w:bCs/>
          <w:sz w:val="24"/>
          <w:szCs w:val="24"/>
          <w:lang w:val="ro-RO"/>
        </w:rPr>
        <w:t>I</w:t>
      </w:r>
      <w:r w:rsidR="004420C5" w:rsidRPr="00143DB8">
        <w:rPr>
          <w:rFonts w:ascii="Arial" w:hAnsi="Arial" w:cs="Arial"/>
          <w:b/>
          <w:bCs/>
          <w:sz w:val="24"/>
          <w:szCs w:val="24"/>
          <w:lang w:val="ro-RO"/>
        </w:rPr>
        <w:t>.1.2.1. Efec</w:t>
      </w:r>
      <w:r w:rsidR="004420C5">
        <w:rPr>
          <w:rFonts w:ascii="Arial" w:hAnsi="Arial" w:cs="Arial"/>
          <w:b/>
          <w:bCs/>
          <w:sz w:val="24"/>
          <w:szCs w:val="24"/>
          <w:lang w:val="ro-RO"/>
        </w:rPr>
        <w:t>t</w:t>
      </w:r>
      <w:r w:rsidR="004420C5" w:rsidRPr="00143DB8">
        <w:rPr>
          <w:rFonts w:ascii="Arial" w:hAnsi="Arial" w:cs="Arial"/>
          <w:b/>
          <w:bCs/>
          <w:sz w:val="24"/>
          <w:szCs w:val="24"/>
          <w:lang w:val="ro-RO"/>
        </w:rPr>
        <w:t>ele poluarii aerului inconjurator asupra sanatatii</w:t>
      </w:r>
    </w:p>
    <w:p w:rsidR="004420C5" w:rsidRDefault="004420C5" w:rsidP="004420C5">
      <w:pPr>
        <w:jc w:val="both"/>
        <w:rPr>
          <w:rFonts w:ascii="Arial" w:hAnsi="Arial" w:cs="Arial"/>
          <w:b/>
          <w:bCs/>
          <w:sz w:val="24"/>
          <w:szCs w:val="24"/>
          <w:lang w:val="ro-RO"/>
        </w:rPr>
      </w:pPr>
    </w:p>
    <w:p w:rsidR="004420C5" w:rsidRDefault="004420C5" w:rsidP="004420C5">
      <w:pPr>
        <w:numPr>
          <w:ilvl w:val="0"/>
          <w:numId w:val="41"/>
        </w:numPr>
        <w:jc w:val="both"/>
        <w:rPr>
          <w:rFonts w:ascii="Arial" w:hAnsi="Arial" w:cs="Arial"/>
          <w:b/>
          <w:bCs/>
          <w:sz w:val="24"/>
          <w:szCs w:val="24"/>
          <w:lang w:val="ro-RO"/>
        </w:rPr>
      </w:pPr>
      <w:r>
        <w:rPr>
          <w:rFonts w:ascii="Arial" w:hAnsi="Arial" w:cs="Arial"/>
          <w:b/>
          <w:bCs/>
          <w:sz w:val="24"/>
          <w:szCs w:val="24"/>
          <w:lang w:val="ro-RO"/>
        </w:rPr>
        <w:t>Indicatori specifici – nu este cazul</w:t>
      </w:r>
    </w:p>
    <w:p w:rsidR="004420C5" w:rsidRDefault="004420C5" w:rsidP="004420C5">
      <w:pPr>
        <w:numPr>
          <w:ilvl w:val="0"/>
          <w:numId w:val="41"/>
        </w:numPr>
        <w:jc w:val="both"/>
        <w:rPr>
          <w:rFonts w:ascii="Arial" w:hAnsi="Arial" w:cs="Arial"/>
          <w:b/>
          <w:bCs/>
          <w:sz w:val="24"/>
          <w:szCs w:val="24"/>
          <w:lang w:val="ro-RO"/>
        </w:rPr>
      </w:pPr>
      <w:r>
        <w:rPr>
          <w:rFonts w:ascii="Arial" w:hAnsi="Arial" w:cs="Arial"/>
          <w:b/>
          <w:bCs/>
          <w:sz w:val="24"/>
          <w:szCs w:val="24"/>
          <w:lang w:val="ro-RO"/>
        </w:rPr>
        <w:t>Alte date si informatii statistice</w:t>
      </w:r>
    </w:p>
    <w:p w:rsidR="004420C5" w:rsidRDefault="004420C5" w:rsidP="00C3604B">
      <w:pPr>
        <w:jc w:val="both"/>
        <w:rPr>
          <w:rFonts w:ascii="Arial" w:hAnsi="Arial" w:cs="Arial"/>
          <w:bCs/>
          <w:sz w:val="24"/>
          <w:szCs w:val="24"/>
          <w:lang w:val="ro-RO"/>
        </w:rPr>
      </w:pPr>
    </w:p>
    <w:p w:rsidR="00C27C29" w:rsidRPr="00011C13" w:rsidRDefault="00C27C29" w:rsidP="00C27C29">
      <w:pPr>
        <w:rPr>
          <w:rFonts w:ascii="Arial" w:hAnsi="Arial" w:cs="Arial"/>
          <w:noProof/>
          <w:color w:val="000000" w:themeColor="text1"/>
          <w:sz w:val="24"/>
          <w:szCs w:val="24"/>
        </w:rPr>
      </w:pPr>
      <w:r w:rsidRPr="00011C13">
        <w:rPr>
          <w:rFonts w:ascii="Arial" w:hAnsi="Arial" w:cs="Arial"/>
          <w:noProof/>
          <w:color w:val="000000" w:themeColor="text1"/>
          <w:sz w:val="24"/>
          <w:szCs w:val="24"/>
          <w:lang w:val="it-IT"/>
        </w:rPr>
        <w:t xml:space="preserve">In anul 2012 la statia de trafic CT1 din municipiul Constanta s-a depasit valoarea limita anuala pentru protectia sanatatii umane. In acelasi an si in aceeasi locatie, s-au inregistrat mai mult de 35 de depasiri ale valorii limita zilnice (Urmare aplicarii corectiei “winter-sanding”, numarul depasirilor s-a redus sub 35). </w:t>
      </w:r>
      <w:r w:rsidRPr="00011C13">
        <w:rPr>
          <w:rFonts w:ascii="Arial" w:hAnsi="Arial" w:cs="Arial"/>
          <w:noProof/>
          <w:color w:val="000000" w:themeColor="text1"/>
          <w:sz w:val="24"/>
          <w:szCs w:val="24"/>
        </w:rPr>
        <w:t>Ponderea populatiei afectate de aceste depasiri este redusa, tinand cond de gradul de reprezentativitate al statiilor de trafic.</w:t>
      </w:r>
    </w:p>
    <w:p w:rsidR="00AC7D51" w:rsidRDefault="00AC7D51" w:rsidP="00C27C29">
      <w:pPr>
        <w:rPr>
          <w:rFonts w:ascii="Arial" w:hAnsi="Arial" w:cs="Arial"/>
          <w:noProof/>
          <w:sz w:val="24"/>
          <w:szCs w:val="24"/>
        </w:rPr>
      </w:pPr>
    </w:p>
    <w:p w:rsidR="00D95350" w:rsidRDefault="00D95350" w:rsidP="00C27C29">
      <w:pPr>
        <w:rPr>
          <w:rFonts w:ascii="Arial" w:hAnsi="Arial" w:cs="Arial"/>
          <w:noProof/>
          <w:sz w:val="24"/>
          <w:szCs w:val="24"/>
        </w:rPr>
      </w:pPr>
      <w:r w:rsidRPr="00D95350">
        <w:rPr>
          <w:rFonts w:ascii="Arial" w:hAnsi="Arial" w:cs="Arial"/>
          <w:noProof/>
          <w:sz w:val="24"/>
          <w:szCs w:val="24"/>
        </w:rPr>
        <w:drawing>
          <wp:inline distT="0" distB="0" distL="0" distR="0">
            <wp:extent cx="5795154" cy="3140015"/>
            <wp:effectExtent l="19050" t="0" r="15096" b="3235"/>
            <wp:docPr id="6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51C23" w:rsidRPr="00AB0FE7" w:rsidRDefault="00751C23" w:rsidP="00AB0FE7">
      <w:pPr>
        <w:jc w:val="center"/>
        <w:rPr>
          <w:rFonts w:ascii="Arial" w:hAnsi="Arial" w:cs="Arial"/>
          <w:i/>
          <w:noProof/>
          <w:color w:val="FF0000"/>
          <w:sz w:val="24"/>
          <w:szCs w:val="24"/>
        </w:rPr>
      </w:pPr>
    </w:p>
    <w:p w:rsidR="00AB0FE7" w:rsidRDefault="00AC7D51" w:rsidP="00AB0FE7">
      <w:pPr>
        <w:jc w:val="center"/>
        <w:rPr>
          <w:rFonts w:ascii="Arial" w:hAnsi="Arial" w:cs="Arial"/>
          <w:noProof/>
          <w:color w:val="FF0000"/>
          <w:sz w:val="24"/>
          <w:szCs w:val="24"/>
        </w:rPr>
      </w:pPr>
      <w:r>
        <w:rPr>
          <w:rFonts w:ascii="Arial" w:hAnsi="Arial" w:cs="Arial"/>
          <w:i/>
          <w:noProof/>
          <w:sz w:val="24"/>
          <w:szCs w:val="24"/>
        </w:rPr>
        <w:t xml:space="preserve">                                                                                       </w:t>
      </w:r>
      <w:r w:rsidR="001D37B3">
        <w:rPr>
          <w:rFonts w:ascii="Arial" w:hAnsi="Arial" w:cs="Arial"/>
          <w:i/>
          <w:noProof/>
          <w:sz w:val="24"/>
          <w:szCs w:val="24"/>
        </w:rPr>
        <w:t xml:space="preserve">                            </w:t>
      </w:r>
      <w:r w:rsidR="00AB0FE7" w:rsidRPr="00AB0FE7">
        <w:rPr>
          <w:rFonts w:ascii="Arial" w:hAnsi="Arial" w:cs="Arial"/>
          <w:i/>
          <w:noProof/>
          <w:sz w:val="24"/>
          <w:szCs w:val="24"/>
        </w:rPr>
        <w:t>Figura 1.1.1.3.</w:t>
      </w:r>
      <w:r w:rsidR="00C27C29">
        <w:rPr>
          <w:rFonts w:ascii="Arial" w:hAnsi="Arial" w:cs="Arial"/>
          <w:i/>
          <w:noProof/>
          <w:sz w:val="24"/>
          <w:szCs w:val="24"/>
        </w:rPr>
        <w:t>1</w:t>
      </w:r>
    </w:p>
    <w:p w:rsidR="00AB0FE7" w:rsidRDefault="00AB0FE7" w:rsidP="00751C23">
      <w:pPr>
        <w:jc w:val="both"/>
        <w:rPr>
          <w:rFonts w:ascii="Arial" w:hAnsi="Arial" w:cs="Arial"/>
          <w:noProof/>
          <w:color w:val="FF0000"/>
          <w:sz w:val="24"/>
          <w:szCs w:val="24"/>
        </w:rPr>
      </w:pPr>
    </w:p>
    <w:p w:rsidR="00D95350" w:rsidRPr="00D95350" w:rsidRDefault="00D95350" w:rsidP="00D95350">
      <w:pPr>
        <w:autoSpaceDE w:val="0"/>
        <w:autoSpaceDN w:val="0"/>
        <w:adjustRightInd w:val="0"/>
        <w:ind w:firstLine="720"/>
        <w:jc w:val="both"/>
        <w:rPr>
          <w:rFonts w:ascii="Arial" w:hAnsi="Arial" w:cs="Arial"/>
          <w:bCs/>
          <w:sz w:val="24"/>
          <w:szCs w:val="24"/>
        </w:rPr>
      </w:pPr>
      <w:r w:rsidRPr="00D95350">
        <w:rPr>
          <w:rFonts w:ascii="Arial" w:hAnsi="Arial" w:cs="Arial"/>
          <w:bCs/>
          <w:sz w:val="24"/>
          <w:szCs w:val="24"/>
        </w:rPr>
        <w:t>Pentru indicatorul PM10 determinat gravimetric (metoda de referință) s-au înregistrat depășiri ale valorii limită zilnice pentru protecția sănătății umane (50 µg/m3), după cum urmează:</w:t>
      </w:r>
    </w:p>
    <w:p w:rsidR="00D95350" w:rsidRPr="00D95350" w:rsidRDefault="00D95350" w:rsidP="00D95350">
      <w:pPr>
        <w:numPr>
          <w:ilvl w:val="0"/>
          <w:numId w:val="45"/>
        </w:numPr>
        <w:rPr>
          <w:rFonts w:ascii="Arial" w:hAnsi="Arial" w:cs="Arial"/>
          <w:sz w:val="24"/>
          <w:szCs w:val="24"/>
        </w:rPr>
      </w:pPr>
      <w:r w:rsidRPr="00D95350">
        <w:rPr>
          <w:rFonts w:ascii="Arial" w:hAnsi="Arial" w:cs="Arial"/>
          <w:sz w:val="24"/>
          <w:szCs w:val="24"/>
        </w:rPr>
        <w:t>13 depășiri la stația CT1 – 1ȋn ianuarie, 3 ȋn februarie, 2 ȋn martie, 1 ȋn mai, 1 ȋn iunie, 2 ȋn iulie, 1 în septembrie, 2 ȋn octombrie;</w:t>
      </w:r>
    </w:p>
    <w:p w:rsidR="00D95350" w:rsidRPr="00D95350" w:rsidRDefault="00D95350" w:rsidP="00D95350">
      <w:pPr>
        <w:numPr>
          <w:ilvl w:val="0"/>
          <w:numId w:val="45"/>
        </w:numPr>
        <w:rPr>
          <w:rFonts w:ascii="Arial" w:hAnsi="Arial" w:cs="Arial"/>
          <w:sz w:val="24"/>
          <w:szCs w:val="24"/>
        </w:rPr>
      </w:pPr>
      <w:r w:rsidRPr="00D95350">
        <w:rPr>
          <w:rFonts w:ascii="Arial" w:hAnsi="Arial" w:cs="Arial"/>
          <w:sz w:val="24"/>
          <w:szCs w:val="24"/>
        </w:rPr>
        <w:t xml:space="preserve">8 depășiri la stația CT3 – 2 ȋn martie, 2 în mai, 1 în iulie, 1 ȋn septembrie, 1 ȋn octombrie, 1ȋn decembrie; </w:t>
      </w:r>
    </w:p>
    <w:p w:rsidR="00D95350" w:rsidRPr="00D95350" w:rsidRDefault="00D95350" w:rsidP="00D95350">
      <w:pPr>
        <w:numPr>
          <w:ilvl w:val="0"/>
          <w:numId w:val="45"/>
        </w:numPr>
        <w:rPr>
          <w:rFonts w:ascii="Arial" w:hAnsi="Arial" w:cs="Arial"/>
          <w:sz w:val="24"/>
          <w:szCs w:val="24"/>
        </w:rPr>
      </w:pPr>
      <w:r w:rsidRPr="00D95350">
        <w:rPr>
          <w:rFonts w:ascii="Arial" w:hAnsi="Arial" w:cs="Arial"/>
          <w:sz w:val="24"/>
          <w:szCs w:val="24"/>
        </w:rPr>
        <w:t>1 depășire la stația CT4 –  în luna iulie;</w:t>
      </w:r>
    </w:p>
    <w:p w:rsidR="00D95350" w:rsidRPr="00D95350" w:rsidRDefault="00D95350" w:rsidP="00D95350">
      <w:pPr>
        <w:numPr>
          <w:ilvl w:val="0"/>
          <w:numId w:val="45"/>
        </w:numPr>
        <w:rPr>
          <w:rFonts w:ascii="Arial" w:hAnsi="Arial" w:cs="Arial"/>
          <w:sz w:val="24"/>
          <w:szCs w:val="24"/>
        </w:rPr>
      </w:pPr>
      <w:r w:rsidRPr="00D95350">
        <w:rPr>
          <w:rFonts w:ascii="Arial" w:hAnsi="Arial" w:cs="Arial"/>
          <w:sz w:val="24"/>
          <w:szCs w:val="24"/>
        </w:rPr>
        <w:t>10 depășiri la stația CT5 – 1 în ianuarie, 1 ȋn martie, 1 ȋn mai, 1 în iulie, 5 ȋn august, 1 în octombrie;</w:t>
      </w:r>
    </w:p>
    <w:p w:rsidR="00D95350" w:rsidRPr="00D95350" w:rsidRDefault="00D95350" w:rsidP="00D95350">
      <w:pPr>
        <w:numPr>
          <w:ilvl w:val="0"/>
          <w:numId w:val="45"/>
        </w:numPr>
        <w:rPr>
          <w:rFonts w:ascii="Arial" w:hAnsi="Arial" w:cs="Arial"/>
          <w:sz w:val="24"/>
          <w:szCs w:val="24"/>
        </w:rPr>
      </w:pPr>
      <w:r w:rsidRPr="00D95350">
        <w:rPr>
          <w:rFonts w:ascii="Arial" w:hAnsi="Arial" w:cs="Arial"/>
          <w:sz w:val="24"/>
          <w:szCs w:val="24"/>
        </w:rPr>
        <w:t>10 depășiri la stația CT7 – 4 în ianuarie, 2 ȋn februarie, 1 ȋn mai, 1 ȋn august, 2 ȋn septembrie.</w:t>
      </w:r>
    </w:p>
    <w:p w:rsidR="00D95350" w:rsidRPr="00D95350" w:rsidRDefault="00D95350" w:rsidP="00D95350">
      <w:pPr>
        <w:pStyle w:val="Listparagraf"/>
        <w:ind w:left="0" w:firstLine="72"/>
        <w:jc w:val="both"/>
        <w:rPr>
          <w:rFonts w:ascii="Arial" w:hAnsi="Arial" w:cs="Arial"/>
          <w:sz w:val="24"/>
          <w:szCs w:val="24"/>
        </w:rPr>
      </w:pPr>
      <w:r w:rsidRPr="00D95350">
        <w:rPr>
          <w:rFonts w:ascii="Arial" w:hAnsi="Arial" w:cs="Arial"/>
          <w:sz w:val="24"/>
          <w:szCs w:val="24"/>
        </w:rPr>
        <w:t xml:space="preserve">          Conform Legii calității aerului nr. 104/2011, pentru fiecare amplasament, valoarea limită zilnică nu trebuie depășită mai mult de 35 de ori într-un an calendaristic.</w:t>
      </w:r>
    </w:p>
    <w:p w:rsidR="001C7725" w:rsidRDefault="001C7725" w:rsidP="001C7725">
      <w:pPr>
        <w:jc w:val="both"/>
        <w:rPr>
          <w:rFonts w:ascii="Arial" w:hAnsi="Arial" w:cs="Arial"/>
          <w:color w:val="FF0000"/>
          <w:sz w:val="24"/>
          <w:szCs w:val="24"/>
        </w:rPr>
      </w:pPr>
    </w:p>
    <w:p w:rsidR="001C7725" w:rsidRPr="001C7725" w:rsidRDefault="001C7725" w:rsidP="001C7725">
      <w:pPr>
        <w:jc w:val="both"/>
        <w:rPr>
          <w:rFonts w:ascii="Arial" w:hAnsi="Arial" w:cs="Arial"/>
          <w:b/>
          <w:bCs/>
          <w:color w:val="FF0000"/>
          <w:sz w:val="24"/>
          <w:szCs w:val="24"/>
          <w:lang w:val="ro-RO"/>
        </w:rPr>
      </w:pPr>
    </w:p>
    <w:p w:rsidR="005D02B0" w:rsidRPr="00143DB8" w:rsidRDefault="001D2453" w:rsidP="0036053A">
      <w:pPr>
        <w:jc w:val="both"/>
        <w:rPr>
          <w:rFonts w:ascii="Arial" w:hAnsi="Arial" w:cs="Arial"/>
          <w:bCs/>
          <w:sz w:val="24"/>
          <w:szCs w:val="24"/>
          <w:lang w:val="ro-RO"/>
        </w:rPr>
      </w:pPr>
      <w:r>
        <w:rPr>
          <w:rFonts w:ascii="Arial" w:hAnsi="Arial" w:cs="Arial"/>
          <w:bCs/>
          <w:sz w:val="24"/>
          <w:szCs w:val="24"/>
          <w:lang w:val="ro-RO"/>
        </w:rPr>
        <w:t>I</w:t>
      </w:r>
      <w:r w:rsidR="005D02B0" w:rsidRPr="00143DB8">
        <w:rPr>
          <w:rFonts w:ascii="Arial" w:hAnsi="Arial" w:cs="Arial"/>
          <w:bCs/>
          <w:sz w:val="24"/>
          <w:szCs w:val="24"/>
          <w:lang w:val="ro-RO"/>
        </w:rPr>
        <w:t>.1.2.2. Efectele poluarii aerului inconjurator asupra ecosistemelor – se trateaza la nivel national</w:t>
      </w:r>
    </w:p>
    <w:p w:rsidR="005D02B0" w:rsidRDefault="001D2453" w:rsidP="0036053A">
      <w:pPr>
        <w:jc w:val="both"/>
        <w:rPr>
          <w:rFonts w:ascii="Arial" w:hAnsi="Arial" w:cs="Arial"/>
          <w:bCs/>
          <w:sz w:val="24"/>
          <w:szCs w:val="24"/>
          <w:lang w:val="ro-RO"/>
        </w:rPr>
      </w:pPr>
      <w:r>
        <w:rPr>
          <w:rFonts w:ascii="Arial" w:hAnsi="Arial" w:cs="Arial"/>
          <w:bCs/>
          <w:sz w:val="24"/>
          <w:szCs w:val="24"/>
          <w:lang w:val="ro-RO"/>
        </w:rPr>
        <w:t>I</w:t>
      </w:r>
      <w:r w:rsidR="005D02B0" w:rsidRPr="00143DB8">
        <w:rPr>
          <w:rFonts w:ascii="Arial" w:hAnsi="Arial" w:cs="Arial"/>
          <w:bCs/>
          <w:sz w:val="24"/>
          <w:szCs w:val="24"/>
          <w:lang w:val="ro-RO"/>
        </w:rPr>
        <w:t>.1.2.3. Efectele poluarii aerului inconjurator asupra solului si vegetatiei</w:t>
      </w:r>
      <w:r w:rsidR="00143DB8">
        <w:rPr>
          <w:rFonts w:ascii="Arial" w:hAnsi="Arial" w:cs="Arial"/>
          <w:bCs/>
          <w:sz w:val="24"/>
          <w:szCs w:val="24"/>
          <w:lang w:val="ro-RO"/>
        </w:rPr>
        <w:t xml:space="preserve"> – se trateaza la nivel national</w:t>
      </w:r>
    </w:p>
    <w:p w:rsidR="001D2453" w:rsidRDefault="001D2453" w:rsidP="0036053A">
      <w:pPr>
        <w:jc w:val="both"/>
        <w:rPr>
          <w:rFonts w:ascii="Arial" w:hAnsi="Arial" w:cs="Arial"/>
          <w:bCs/>
          <w:sz w:val="24"/>
          <w:szCs w:val="24"/>
          <w:lang w:val="ro-RO"/>
        </w:rPr>
      </w:pPr>
    </w:p>
    <w:p w:rsidR="00246ADF" w:rsidRDefault="00246ADF" w:rsidP="0036053A">
      <w:pPr>
        <w:jc w:val="both"/>
        <w:rPr>
          <w:rFonts w:ascii="Arial" w:hAnsi="Arial" w:cs="Arial"/>
          <w:bCs/>
          <w:sz w:val="24"/>
          <w:szCs w:val="24"/>
          <w:lang w:val="ro-RO"/>
        </w:rPr>
      </w:pPr>
    </w:p>
    <w:p w:rsidR="00C27C29" w:rsidRPr="00AC7D51" w:rsidRDefault="002A2EFA" w:rsidP="002A2EFA">
      <w:pPr>
        <w:shd w:val="clear" w:color="auto" w:fill="D9D9D9"/>
        <w:ind w:left="113"/>
        <w:rPr>
          <w:rFonts w:ascii="Arial" w:hAnsi="Arial" w:cs="Arial"/>
          <w:b/>
          <w:sz w:val="24"/>
          <w:szCs w:val="24"/>
          <w:lang w:val="ro-RO"/>
        </w:rPr>
      </w:pPr>
      <w:r w:rsidRPr="00D575D1">
        <w:rPr>
          <w:rFonts w:ascii="Arial" w:hAnsi="Arial" w:cs="Arial"/>
          <w:b/>
          <w:sz w:val="24"/>
          <w:szCs w:val="24"/>
          <w:lang w:val="ro-RO"/>
        </w:rPr>
        <w:t>I.2.</w:t>
      </w:r>
      <w:r w:rsidR="00C27C29" w:rsidRPr="00D575D1">
        <w:rPr>
          <w:rFonts w:ascii="Arial" w:hAnsi="Arial" w:cs="Arial"/>
          <w:b/>
          <w:sz w:val="24"/>
          <w:szCs w:val="24"/>
          <w:lang w:val="ro-RO"/>
        </w:rPr>
        <w:t>Factorii deter</w:t>
      </w:r>
      <w:bookmarkStart w:id="0" w:name="_GoBack"/>
      <w:bookmarkEnd w:id="0"/>
      <w:r w:rsidR="00C27C29" w:rsidRPr="00D575D1">
        <w:rPr>
          <w:rFonts w:ascii="Arial" w:hAnsi="Arial" w:cs="Arial"/>
          <w:b/>
          <w:sz w:val="24"/>
          <w:szCs w:val="24"/>
          <w:lang w:val="ro-RO"/>
        </w:rPr>
        <w:t>minanţi şi presiunile care afectează</w:t>
      </w:r>
      <w:r w:rsidR="00C27C29" w:rsidRPr="00AC7D51">
        <w:rPr>
          <w:rFonts w:ascii="Arial" w:hAnsi="Arial" w:cs="Arial"/>
          <w:b/>
          <w:sz w:val="24"/>
          <w:szCs w:val="24"/>
          <w:lang w:val="ro-RO"/>
        </w:rPr>
        <w:t xml:space="preserve"> </w:t>
      </w:r>
    </w:p>
    <w:p w:rsidR="00C27C29" w:rsidRDefault="00C27C29" w:rsidP="007961F0">
      <w:pPr>
        <w:pStyle w:val="Default"/>
        <w:shd w:val="clear" w:color="auto" w:fill="D9D9D9" w:themeFill="background1" w:themeFillShade="D9"/>
        <w:rPr>
          <w:rFonts w:ascii="Arial" w:hAnsi="Arial" w:cs="Arial"/>
          <w:b/>
          <w:lang w:val="ro-RO"/>
        </w:rPr>
      </w:pPr>
      <w:r w:rsidRPr="00AC7D51">
        <w:rPr>
          <w:rFonts w:ascii="Arial" w:hAnsi="Arial" w:cs="Arial"/>
          <w:b/>
          <w:lang w:val="ro-RO"/>
        </w:rPr>
        <w:t>starea de calitate a aerului înconjurător</w:t>
      </w:r>
      <w:r w:rsidRPr="00C27C29">
        <w:rPr>
          <w:rFonts w:ascii="Arial" w:hAnsi="Arial" w:cs="Arial"/>
          <w:b/>
          <w:lang w:val="ro-RO"/>
        </w:rPr>
        <w:tab/>
      </w:r>
    </w:p>
    <w:p w:rsidR="00C27C29" w:rsidRDefault="00C27C29" w:rsidP="00C27C29">
      <w:pPr>
        <w:pStyle w:val="Default"/>
        <w:rPr>
          <w:rFonts w:ascii="Arial" w:hAnsi="Arial" w:cs="Arial"/>
          <w:b/>
          <w:lang w:val="ro-RO"/>
        </w:rPr>
      </w:pPr>
    </w:p>
    <w:p w:rsidR="00C27C29" w:rsidRPr="00011C13" w:rsidRDefault="00C27C29" w:rsidP="00C27C29">
      <w:pPr>
        <w:pStyle w:val="Default"/>
        <w:rPr>
          <w:rFonts w:ascii="Arial" w:hAnsi="Arial" w:cs="Arial"/>
          <w:color w:val="000000" w:themeColor="text1"/>
          <w:lang w:val="ro-RO"/>
        </w:rPr>
      </w:pPr>
      <w:r w:rsidRPr="00011C13">
        <w:rPr>
          <w:rFonts w:ascii="Arial" w:hAnsi="Arial" w:cs="Arial"/>
          <w:color w:val="000000" w:themeColor="text1"/>
          <w:lang w:val="ro-RO"/>
        </w:rPr>
        <w:t xml:space="preserve">Nivelul emisiilor de substanţe poluante evacuate în atmosferă se poate reduce semnificativ prin punerea în practică a politicilor şi strategiilor de mediu cum ar fi: </w:t>
      </w:r>
    </w:p>
    <w:p w:rsidR="00C27C29" w:rsidRPr="00011C13" w:rsidRDefault="00C27C29" w:rsidP="00C27C29">
      <w:pPr>
        <w:autoSpaceDE w:val="0"/>
        <w:autoSpaceDN w:val="0"/>
        <w:adjustRightInd w:val="0"/>
        <w:spacing w:after="28"/>
        <w:rPr>
          <w:rFonts w:ascii="Arial" w:hAnsi="Arial" w:cs="Arial"/>
          <w:color w:val="000000" w:themeColor="text1"/>
          <w:sz w:val="24"/>
          <w:szCs w:val="24"/>
          <w:lang w:val="it-IT"/>
        </w:rPr>
      </w:pPr>
      <w:r w:rsidRPr="00011C13">
        <w:rPr>
          <w:rFonts w:ascii="Arial" w:hAnsi="Arial" w:cs="Arial"/>
          <w:color w:val="000000" w:themeColor="text1"/>
          <w:sz w:val="24"/>
          <w:szCs w:val="24"/>
          <w:lang w:val="it-IT"/>
        </w:rPr>
        <w:t xml:space="preserve">- folosirea în proporţie mai mare a surselor de energie regenerabile (eoliană, solară, hidro, geotermală, biomasă); </w:t>
      </w:r>
    </w:p>
    <w:p w:rsidR="00C27C29" w:rsidRPr="00011C13" w:rsidRDefault="00C27C29" w:rsidP="00C27C29">
      <w:pPr>
        <w:autoSpaceDE w:val="0"/>
        <w:autoSpaceDN w:val="0"/>
        <w:adjustRightInd w:val="0"/>
        <w:spacing w:after="28"/>
        <w:rPr>
          <w:rFonts w:ascii="Arial" w:hAnsi="Arial" w:cs="Arial"/>
          <w:color w:val="000000" w:themeColor="text1"/>
          <w:sz w:val="24"/>
          <w:szCs w:val="24"/>
          <w:lang w:val="it-IT"/>
        </w:rPr>
      </w:pPr>
      <w:r w:rsidRPr="00011C13">
        <w:rPr>
          <w:rFonts w:ascii="Arial" w:hAnsi="Arial" w:cs="Arial"/>
          <w:color w:val="000000" w:themeColor="text1"/>
          <w:sz w:val="24"/>
          <w:szCs w:val="24"/>
          <w:lang w:val="it-IT"/>
        </w:rPr>
        <w:t>- înlocuirea combustibililor clasici cu combustibili alternativi (biodiesel, etanol</w:t>
      </w:r>
      <w:r w:rsidR="00011C13">
        <w:rPr>
          <w:rFonts w:ascii="Arial" w:hAnsi="Arial" w:cs="Arial"/>
          <w:color w:val="000000" w:themeColor="text1"/>
          <w:sz w:val="24"/>
          <w:szCs w:val="24"/>
          <w:lang w:val="it-IT"/>
        </w:rPr>
        <w:t>, curent electric, sisteme hibrid</w:t>
      </w:r>
      <w:r w:rsidRPr="00011C13">
        <w:rPr>
          <w:rFonts w:ascii="Arial" w:hAnsi="Arial" w:cs="Arial"/>
          <w:color w:val="000000" w:themeColor="text1"/>
          <w:sz w:val="24"/>
          <w:szCs w:val="24"/>
          <w:lang w:val="it-IT"/>
        </w:rPr>
        <w:t xml:space="preserve">); </w:t>
      </w:r>
    </w:p>
    <w:p w:rsidR="00C27C29" w:rsidRPr="00011C13" w:rsidRDefault="00C27C29" w:rsidP="00C27C29">
      <w:pPr>
        <w:autoSpaceDE w:val="0"/>
        <w:autoSpaceDN w:val="0"/>
        <w:adjustRightInd w:val="0"/>
        <w:spacing w:after="28"/>
        <w:rPr>
          <w:rFonts w:ascii="Arial" w:hAnsi="Arial" w:cs="Arial"/>
          <w:color w:val="000000" w:themeColor="text1"/>
          <w:sz w:val="24"/>
          <w:szCs w:val="24"/>
          <w:lang w:val="it-IT"/>
        </w:rPr>
      </w:pPr>
      <w:r w:rsidRPr="00011C13">
        <w:rPr>
          <w:rFonts w:ascii="Arial" w:hAnsi="Arial" w:cs="Arial"/>
          <w:color w:val="000000" w:themeColor="text1"/>
          <w:sz w:val="24"/>
          <w:szCs w:val="24"/>
          <w:lang w:val="it-IT"/>
        </w:rPr>
        <w:t xml:space="preserve">- utilizarea unor instalaţii şi echipamente cu eficienţă energetică ridicată (consumuri reduse, randamente mari); </w:t>
      </w:r>
    </w:p>
    <w:p w:rsidR="00C27C29" w:rsidRPr="00011C13" w:rsidRDefault="00C27C29" w:rsidP="00C27C29">
      <w:pPr>
        <w:autoSpaceDE w:val="0"/>
        <w:autoSpaceDN w:val="0"/>
        <w:adjustRightInd w:val="0"/>
        <w:rPr>
          <w:rFonts w:ascii="Arial" w:hAnsi="Arial" w:cs="Arial"/>
          <w:color w:val="000000" w:themeColor="text1"/>
          <w:sz w:val="24"/>
          <w:szCs w:val="24"/>
          <w:lang w:val="it-IT"/>
        </w:rPr>
      </w:pPr>
      <w:r w:rsidRPr="002007DC">
        <w:rPr>
          <w:rFonts w:ascii="Arial" w:hAnsi="Arial" w:cs="Arial"/>
          <w:color w:val="FF0000"/>
          <w:sz w:val="24"/>
          <w:szCs w:val="24"/>
          <w:lang w:val="it-IT"/>
        </w:rPr>
        <w:t xml:space="preserve">- </w:t>
      </w:r>
      <w:r w:rsidRPr="00011C13">
        <w:rPr>
          <w:rFonts w:ascii="Arial" w:hAnsi="Arial" w:cs="Arial"/>
          <w:color w:val="000000" w:themeColor="text1"/>
          <w:sz w:val="24"/>
          <w:szCs w:val="24"/>
          <w:lang w:val="it-IT"/>
        </w:rPr>
        <w:t xml:space="preserve">realizarea unui program de împădurire şi creare de </w:t>
      </w:r>
      <w:r w:rsidR="00011C13">
        <w:rPr>
          <w:rFonts w:ascii="Arial" w:hAnsi="Arial" w:cs="Arial"/>
          <w:color w:val="000000" w:themeColor="text1"/>
          <w:sz w:val="24"/>
          <w:szCs w:val="24"/>
          <w:lang w:val="it-IT"/>
        </w:rPr>
        <w:t xml:space="preserve">noi </w:t>
      </w:r>
      <w:r w:rsidRPr="00011C13">
        <w:rPr>
          <w:rFonts w:ascii="Arial" w:hAnsi="Arial" w:cs="Arial"/>
          <w:color w:val="000000" w:themeColor="text1"/>
          <w:sz w:val="24"/>
          <w:szCs w:val="24"/>
          <w:lang w:val="it-IT"/>
        </w:rPr>
        <w:t xml:space="preserve">spaţii verzi (absorbţie de CO2, reţinerea pulberilor fine, eliberare de oxigen în atmosferă) </w:t>
      </w:r>
    </w:p>
    <w:p w:rsidR="00531FAF" w:rsidRPr="00D129ED" w:rsidRDefault="00531FAF" w:rsidP="00C27C29">
      <w:pPr>
        <w:autoSpaceDE w:val="0"/>
        <w:autoSpaceDN w:val="0"/>
        <w:adjustRightInd w:val="0"/>
        <w:rPr>
          <w:rFonts w:ascii="Arial" w:hAnsi="Arial" w:cs="Arial"/>
          <w:color w:val="000000"/>
          <w:sz w:val="24"/>
          <w:szCs w:val="24"/>
          <w:lang w:val="it-IT"/>
        </w:rPr>
      </w:pPr>
    </w:p>
    <w:p w:rsidR="00C27C29" w:rsidRPr="00FC4790" w:rsidRDefault="002A2EFA" w:rsidP="002A2EFA">
      <w:pPr>
        <w:ind w:left="170"/>
        <w:rPr>
          <w:rFonts w:ascii="Arial" w:hAnsi="Arial" w:cs="Arial"/>
          <w:b/>
          <w:i/>
          <w:sz w:val="24"/>
          <w:szCs w:val="24"/>
          <w:lang w:val="ro-RO"/>
        </w:rPr>
      </w:pPr>
      <w:r w:rsidRPr="00FC4790">
        <w:rPr>
          <w:rFonts w:ascii="Arial" w:hAnsi="Arial" w:cs="Arial"/>
          <w:b/>
          <w:i/>
          <w:sz w:val="24"/>
          <w:szCs w:val="24"/>
          <w:lang w:val="ro-RO"/>
        </w:rPr>
        <w:t>I.2.1.</w:t>
      </w:r>
      <w:r w:rsidR="00C27C29" w:rsidRPr="00FC4790">
        <w:rPr>
          <w:rFonts w:ascii="Arial" w:hAnsi="Arial" w:cs="Arial"/>
          <w:b/>
          <w:i/>
          <w:sz w:val="24"/>
          <w:szCs w:val="24"/>
          <w:lang w:val="ro-RO"/>
        </w:rPr>
        <w:t xml:space="preserve">Emisiile de poluanţi atmosferici şi principale surse de emisie </w:t>
      </w:r>
      <w:r w:rsidR="00C27C29" w:rsidRPr="00FC4790">
        <w:rPr>
          <w:rFonts w:ascii="Arial" w:hAnsi="Arial" w:cs="Arial"/>
          <w:b/>
          <w:i/>
          <w:sz w:val="24"/>
          <w:szCs w:val="24"/>
          <w:lang w:val="ro-RO"/>
        </w:rPr>
        <w:tab/>
      </w:r>
    </w:p>
    <w:p w:rsidR="00C65BB7" w:rsidRPr="00FC4790" w:rsidRDefault="00C65BB7" w:rsidP="00C65BB7">
      <w:pPr>
        <w:ind w:left="737"/>
        <w:rPr>
          <w:rFonts w:ascii="Arial" w:hAnsi="Arial" w:cs="Arial"/>
          <w:b/>
          <w:sz w:val="24"/>
          <w:szCs w:val="24"/>
          <w:lang w:val="ro-RO"/>
        </w:rPr>
      </w:pPr>
    </w:p>
    <w:p w:rsidR="00E939BB" w:rsidRPr="00D129ED" w:rsidRDefault="00E939BB" w:rsidP="002A2EFA">
      <w:pPr>
        <w:rPr>
          <w:rFonts w:ascii="Arial" w:hAnsi="Arial" w:cs="Arial"/>
          <w:b/>
          <w:sz w:val="24"/>
          <w:szCs w:val="24"/>
          <w:lang w:val="it-IT"/>
        </w:rPr>
      </w:pPr>
    </w:p>
    <w:p w:rsidR="002A2EFA" w:rsidRDefault="002A2EFA" w:rsidP="002A2EFA">
      <w:pPr>
        <w:ind w:left="1135"/>
        <w:rPr>
          <w:rFonts w:ascii="Arial" w:hAnsi="Arial" w:cs="Arial"/>
          <w:b/>
          <w:sz w:val="24"/>
          <w:szCs w:val="24"/>
          <w:lang w:val="ro-RO"/>
        </w:rPr>
      </w:pPr>
      <w:r w:rsidRPr="00FC4790">
        <w:rPr>
          <w:rFonts w:ascii="Arial" w:hAnsi="Arial" w:cs="Arial"/>
          <w:b/>
          <w:sz w:val="24"/>
          <w:szCs w:val="24"/>
          <w:lang w:val="ro-RO"/>
        </w:rPr>
        <w:t xml:space="preserve">I.2.1.1.Energia </w:t>
      </w:r>
      <w:r w:rsidRPr="00FC4790">
        <w:rPr>
          <w:rFonts w:ascii="Arial" w:hAnsi="Arial" w:cs="Arial"/>
          <w:b/>
          <w:sz w:val="24"/>
          <w:szCs w:val="24"/>
          <w:lang w:val="ro-RO"/>
        </w:rPr>
        <w:tab/>
      </w:r>
    </w:p>
    <w:p w:rsidR="00FC4790" w:rsidRPr="00FC4790" w:rsidRDefault="00FC4790" w:rsidP="002A2EFA">
      <w:pPr>
        <w:ind w:left="1135"/>
        <w:rPr>
          <w:rFonts w:ascii="Arial" w:hAnsi="Arial" w:cs="Arial"/>
          <w:b/>
          <w:sz w:val="24"/>
          <w:szCs w:val="24"/>
          <w:lang w:val="ro-RO"/>
        </w:rPr>
      </w:pPr>
    </w:p>
    <w:p w:rsidR="002A2EFA" w:rsidRDefault="00FC4790" w:rsidP="00FC4790">
      <w:pPr>
        <w:numPr>
          <w:ilvl w:val="0"/>
          <w:numId w:val="43"/>
        </w:numPr>
        <w:rPr>
          <w:rFonts w:ascii="Arial" w:hAnsi="Arial" w:cs="Arial"/>
          <w:b/>
          <w:sz w:val="24"/>
          <w:szCs w:val="24"/>
        </w:rPr>
      </w:pPr>
      <w:r w:rsidRPr="00FC4790">
        <w:rPr>
          <w:rFonts w:ascii="Arial" w:hAnsi="Arial" w:cs="Arial"/>
          <w:b/>
          <w:sz w:val="24"/>
          <w:szCs w:val="24"/>
        </w:rPr>
        <w:t>Indicatori specifici</w:t>
      </w:r>
    </w:p>
    <w:p w:rsidR="00FC4790" w:rsidRPr="00FC4790" w:rsidRDefault="00FC4790" w:rsidP="00FC4790">
      <w:pPr>
        <w:ind w:left="720"/>
        <w:rPr>
          <w:rFonts w:ascii="Arial" w:hAnsi="Arial" w:cs="Arial"/>
          <w:b/>
          <w:sz w:val="24"/>
          <w:szCs w:val="24"/>
        </w:rPr>
      </w:pPr>
    </w:p>
    <w:p w:rsidR="00064D09" w:rsidRPr="00D352C7" w:rsidRDefault="00064D09" w:rsidP="00064D09">
      <w:pPr>
        <w:jc w:val="both"/>
        <w:rPr>
          <w:rFonts w:ascii="Arial" w:hAnsi="Arial" w:cs="Arial"/>
          <w:b/>
          <w:bCs/>
          <w:sz w:val="24"/>
          <w:szCs w:val="24"/>
          <w:lang w:val="ro-RO"/>
        </w:rPr>
      </w:pPr>
      <w:r w:rsidRPr="00D352C7">
        <w:rPr>
          <w:rFonts w:ascii="Arial" w:hAnsi="Arial" w:cs="Arial"/>
          <w:b/>
          <w:bCs/>
          <w:sz w:val="24"/>
          <w:szCs w:val="24"/>
          <w:lang w:val="ro-RO"/>
        </w:rPr>
        <w:t>Cod indicator România: RO 01</w:t>
      </w:r>
    </w:p>
    <w:p w:rsidR="00064D09" w:rsidRPr="00D352C7" w:rsidRDefault="00064D09" w:rsidP="00064D09">
      <w:pPr>
        <w:jc w:val="both"/>
        <w:rPr>
          <w:rFonts w:ascii="Arial" w:hAnsi="Arial" w:cs="Arial"/>
          <w:b/>
          <w:bCs/>
          <w:sz w:val="24"/>
          <w:szCs w:val="24"/>
          <w:lang w:val="ro-RO"/>
        </w:rPr>
      </w:pPr>
      <w:r w:rsidRPr="00D352C7">
        <w:rPr>
          <w:rFonts w:ascii="Arial" w:hAnsi="Arial" w:cs="Arial"/>
          <w:b/>
          <w:bCs/>
          <w:sz w:val="24"/>
          <w:szCs w:val="24"/>
          <w:lang w:val="ro-RO"/>
        </w:rPr>
        <w:t xml:space="preserve">Cod indicator AEM: CSI 01 </w:t>
      </w:r>
    </w:p>
    <w:p w:rsidR="00064D09" w:rsidRPr="00D352C7" w:rsidRDefault="00064D09" w:rsidP="00064D09">
      <w:pPr>
        <w:jc w:val="both"/>
        <w:rPr>
          <w:rFonts w:ascii="Arial" w:hAnsi="Arial" w:cs="Arial"/>
          <w:b/>
          <w:bCs/>
          <w:sz w:val="24"/>
          <w:szCs w:val="24"/>
          <w:lang w:val="ro-RO"/>
        </w:rPr>
      </w:pPr>
      <w:r w:rsidRPr="00D352C7">
        <w:rPr>
          <w:rFonts w:ascii="Arial" w:hAnsi="Arial" w:cs="Arial"/>
          <w:b/>
          <w:bCs/>
          <w:sz w:val="24"/>
          <w:szCs w:val="24"/>
          <w:lang w:val="ro-RO"/>
        </w:rPr>
        <w:t xml:space="preserve">DENUMIRE: EMISIILE DE SUBSTANTE ACIDIFIANTE </w:t>
      </w:r>
    </w:p>
    <w:p w:rsidR="00064D09" w:rsidRPr="00D129ED" w:rsidRDefault="00064D09" w:rsidP="00064D09">
      <w:pPr>
        <w:rPr>
          <w:rFonts w:ascii="Arial" w:hAnsi="Arial" w:cs="Arial"/>
          <w:sz w:val="24"/>
          <w:szCs w:val="24"/>
          <w:lang w:val="it-IT"/>
        </w:rPr>
      </w:pPr>
      <w:r w:rsidRPr="00C65BB7">
        <w:rPr>
          <w:rFonts w:ascii="Arial" w:hAnsi="Arial" w:cs="Arial"/>
          <w:bCs/>
          <w:sz w:val="24"/>
          <w:szCs w:val="24"/>
          <w:lang w:val="ro-RO"/>
        </w:rPr>
        <w:t>DEFINITIE:</w:t>
      </w:r>
      <w:r w:rsidRPr="00D129ED">
        <w:rPr>
          <w:rFonts w:ascii="Arial" w:hAnsi="Arial" w:cs="Arial"/>
          <w:sz w:val="24"/>
          <w:szCs w:val="24"/>
          <w:lang w:val="ro-RO"/>
        </w:rPr>
        <w:t xml:space="preserve"> Indicatorul urmăreşte tendinţele emisiilor antropice ale substanţelor acidifiante: oxizi de azot (NOx), amoniac (NH3) şi oxizi de sulf (SOx, SO2), la fiecare dintre acestea ţinânduse cont de potenţialul său acidifiant. </w:t>
      </w:r>
      <w:r w:rsidRPr="00D129ED">
        <w:rPr>
          <w:rFonts w:ascii="Arial" w:hAnsi="Arial" w:cs="Arial"/>
          <w:sz w:val="24"/>
          <w:szCs w:val="24"/>
          <w:lang w:val="it-IT"/>
        </w:rPr>
        <w:t>Indicatorul oferă de asemenea informaţii referitoare la modificările survenite în emisiile provenite de la principalele sectoare sursă:</w:t>
      </w:r>
      <w:r w:rsidRPr="00D129ED">
        <w:rPr>
          <w:lang w:val="it-IT"/>
        </w:rPr>
        <w:t xml:space="preserve"> </w:t>
      </w:r>
      <w:r w:rsidRPr="00D129ED">
        <w:rPr>
          <w:rFonts w:ascii="Arial" w:hAnsi="Arial" w:cs="Arial"/>
          <w:sz w:val="24"/>
          <w:szCs w:val="24"/>
          <w:lang w:val="it-IT"/>
        </w:rPr>
        <w:t>producerea şi distribuţia energiei; utilizarea energiei în industrie; procesele industriale; transport rutier; transport nerutier; sectorul comercial, industrial şi gospodării; folosirea solvenţilor şi a produselor; agricultură; deşeuri; altele.</w:t>
      </w:r>
    </w:p>
    <w:p w:rsidR="00064D09" w:rsidRPr="00D129ED" w:rsidRDefault="00064D09" w:rsidP="002A2EFA">
      <w:pPr>
        <w:jc w:val="center"/>
        <w:rPr>
          <w:noProof/>
          <w:lang w:val="it-IT"/>
        </w:rPr>
      </w:pPr>
    </w:p>
    <w:p w:rsidR="00C65BB7" w:rsidRDefault="000E6155" w:rsidP="002A2EFA">
      <w:pPr>
        <w:jc w:val="center"/>
        <w:rPr>
          <w:rFonts w:ascii="Arial" w:hAnsi="Arial" w:cs="Arial"/>
          <w:sz w:val="24"/>
          <w:szCs w:val="24"/>
        </w:rPr>
      </w:pPr>
      <w:r w:rsidRPr="000E6155">
        <w:rPr>
          <w:rFonts w:ascii="Arial" w:hAnsi="Arial" w:cs="Arial"/>
          <w:noProof/>
          <w:sz w:val="24"/>
          <w:szCs w:val="24"/>
        </w:rPr>
        <w:drawing>
          <wp:inline distT="0" distB="0" distL="0" distR="0">
            <wp:extent cx="5943600" cy="307276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5BB7" w:rsidRPr="00D129ED" w:rsidRDefault="007778B9" w:rsidP="003F0F7A">
      <w:pPr>
        <w:jc w:val="center"/>
        <w:rPr>
          <w:rFonts w:ascii="Arial" w:hAnsi="Arial" w:cs="Arial"/>
          <w:i/>
          <w:sz w:val="24"/>
          <w:szCs w:val="24"/>
          <w:lang w:val="it-IT"/>
        </w:rPr>
      </w:pPr>
      <w:r>
        <w:rPr>
          <w:rFonts w:ascii="Arial" w:hAnsi="Arial" w:cs="Arial"/>
          <w:i/>
          <w:sz w:val="24"/>
          <w:szCs w:val="24"/>
          <w:lang w:val="it-IT"/>
        </w:rPr>
        <w:t xml:space="preserve">                           </w:t>
      </w:r>
      <w:r w:rsidR="00D352C7" w:rsidRPr="00D129ED">
        <w:rPr>
          <w:rFonts w:ascii="Arial" w:hAnsi="Arial" w:cs="Arial"/>
          <w:i/>
          <w:sz w:val="24"/>
          <w:szCs w:val="24"/>
          <w:lang w:val="it-IT"/>
        </w:rPr>
        <w:t xml:space="preserve">     </w:t>
      </w:r>
      <w:r w:rsidR="003F0F7A">
        <w:rPr>
          <w:rFonts w:ascii="Arial" w:hAnsi="Arial" w:cs="Arial"/>
          <w:i/>
          <w:sz w:val="24"/>
          <w:szCs w:val="24"/>
          <w:lang w:val="it-IT"/>
        </w:rPr>
        <w:t xml:space="preserve">                                                                              </w:t>
      </w:r>
      <w:r w:rsidR="00E939BB" w:rsidRPr="00D129ED">
        <w:rPr>
          <w:rFonts w:ascii="Arial" w:hAnsi="Arial" w:cs="Arial"/>
          <w:i/>
          <w:sz w:val="24"/>
          <w:szCs w:val="24"/>
          <w:lang w:val="it-IT"/>
        </w:rPr>
        <w:t>Figura nr.1.2.1.1.</w:t>
      </w:r>
      <w:r w:rsidR="008A4998" w:rsidRPr="00D129ED">
        <w:rPr>
          <w:rFonts w:ascii="Arial" w:hAnsi="Arial" w:cs="Arial"/>
          <w:i/>
          <w:sz w:val="24"/>
          <w:szCs w:val="24"/>
          <w:lang w:val="it-IT"/>
        </w:rPr>
        <w:t>1</w:t>
      </w:r>
    </w:p>
    <w:p w:rsidR="00C65BB7" w:rsidRDefault="00C65BB7" w:rsidP="00C65BB7">
      <w:pPr>
        <w:rPr>
          <w:rFonts w:ascii="Arial" w:hAnsi="Arial" w:cs="Arial"/>
          <w:sz w:val="24"/>
          <w:szCs w:val="24"/>
          <w:lang w:val="ro-RO"/>
        </w:rPr>
      </w:pPr>
    </w:p>
    <w:p w:rsidR="0011527E" w:rsidRDefault="0011527E" w:rsidP="00C65BB7">
      <w:pPr>
        <w:rPr>
          <w:rFonts w:ascii="Arial" w:hAnsi="Arial" w:cs="Arial"/>
          <w:sz w:val="24"/>
          <w:szCs w:val="24"/>
          <w:lang w:val="ro-RO"/>
        </w:rPr>
      </w:pPr>
    </w:p>
    <w:p w:rsidR="00064D09" w:rsidRPr="00D352C7" w:rsidRDefault="00064D09" w:rsidP="00064D09">
      <w:pPr>
        <w:jc w:val="both"/>
        <w:rPr>
          <w:rFonts w:ascii="Arial" w:hAnsi="Arial" w:cs="Arial"/>
          <w:b/>
          <w:bCs/>
          <w:sz w:val="24"/>
          <w:szCs w:val="24"/>
          <w:lang w:val="ro-RO"/>
        </w:rPr>
      </w:pPr>
      <w:r w:rsidRPr="00D352C7">
        <w:rPr>
          <w:rFonts w:ascii="Arial" w:hAnsi="Arial" w:cs="Arial"/>
          <w:b/>
          <w:bCs/>
          <w:sz w:val="24"/>
          <w:szCs w:val="24"/>
          <w:lang w:val="ro-RO"/>
        </w:rPr>
        <w:t>Cod indicator România: RO 02</w:t>
      </w:r>
    </w:p>
    <w:p w:rsidR="00064D09" w:rsidRPr="00D352C7" w:rsidRDefault="00064D09" w:rsidP="00064D09">
      <w:pPr>
        <w:jc w:val="both"/>
        <w:rPr>
          <w:rFonts w:ascii="Arial" w:hAnsi="Arial" w:cs="Arial"/>
          <w:b/>
          <w:bCs/>
          <w:sz w:val="24"/>
          <w:szCs w:val="24"/>
          <w:lang w:val="ro-RO"/>
        </w:rPr>
      </w:pPr>
      <w:r w:rsidRPr="00D352C7">
        <w:rPr>
          <w:rFonts w:ascii="Arial" w:hAnsi="Arial" w:cs="Arial"/>
          <w:b/>
          <w:bCs/>
          <w:sz w:val="24"/>
          <w:szCs w:val="24"/>
          <w:lang w:val="ro-RO"/>
        </w:rPr>
        <w:t xml:space="preserve">Cod indicator AEM: CSI 02 </w:t>
      </w:r>
    </w:p>
    <w:p w:rsidR="00064D09" w:rsidRPr="00D352C7" w:rsidRDefault="00064D09" w:rsidP="00064D09">
      <w:pPr>
        <w:jc w:val="both"/>
        <w:rPr>
          <w:rFonts w:ascii="Arial" w:hAnsi="Arial" w:cs="Arial"/>
          <w:b/>
          <w:bCs/>
          <w:sz w:val="24"/>
          <w:szCs w:val="24"/>
          <w:lang w:val="ro-RO"/>
        </w:rPr>
      </w:pPr>
      <w:r w:rsidRPr="00D352C7">
        <w:rPr>
          <w:rFonts w:ascii="Arial" w:hAnsi="Arial" w:cs="Arial"/>
          <w:b/>
          <w:bCs/>
          <w:sz w:val="24"/>
          <w:szCs w:val="24"/>
          <w:lang w:val="ro-RO"/>
        </w:rPr>
        <w:t xml:space="preserve">DENUMIRE: EMISII DE PRECURSORI AI OZONULUI </w:t>
      </w:r>
    </w:p>
    <w:p w:rsidR="00064D09" w:rsidRPr="00D129ED" w:rsidRDefault="00064D09" w:rsidP="00064D09">
      <w:pPr>
        <w:rPr>
          <w:rFonts w:ascii="Arial" w:hAnsi="Arial" w:cs="Arial"/>
          <w:sz w:val="24"/>
          <w:szCs w:val="24"/>
          <w:lang w:val="it-IT"/>
        </w:rPr>
      </w:pPr>
      <w:r w:rsidRPr="008E4B16">
        <w:rPr>
          <w:rFonts w:ascii="Arial" w:hAnsi="Arial" w:cs="Arial"/>
          <w:bCs/>
          <w:sz w:val="24"/>
          <w:szCs w:val="24"/>
          <w:lang w:val="ro-RO"/>
        </w:rPr>
        <w:t>DEFINITIE</w:t>
      </w:r>
      <w:r w:rsidRPr="00E939BB">
        <w:rPr>
          <w:rFonts w:ascii="Arial" w:hAnsi="Arial" w:cs="Arial"/>
          <w:bCs/>
          <w:sz w:val="24"/>
          <w:szCs w:val="24"/>
          <w:lang w:val="ro-RO"/>
        </w:rPr>
        <w:t>:</w:t>
      </w:r>
      <w:r w:rsidRPr="00D129ED">
        <w:rPr>
          <w:rFonts w:ascii="Arial" w:hAnsi="Arial" w:cs="Arial"/>
          <w:sz w:val="24"/>
          <w:szCs w:val="24"/>
          <w:lang w:val="it-IT"/>
        </w:rPr>
        <w:t xml:space="preserve"> 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 industriale; </w:t>
      </w:r>
      <w:r w:rsidR="00FB6112">
        <w:rPr>
          <w:rFonts w:ascii="Arial" w:hAnsi="Arial" w:cs="Arial"/>
          <w:sz w:val="24"/>
          <w:szCs w:val="24"/>
          <w:lang w:val="it-IT"/>
        </w:rPr>
        <w:t xml:space="preserve">incalzire in </w:t>
      </w:r>
      <w:r w:rsidRPr="00D129ED">
        <w:rPr>
          <w:rFonts w:ascii="Arial" w:hAnsi="Arial" w:cs="Arial"/>
          <w:sz w:val="24"/>
          <w:szCs w:val="24"/>
          <w:lang w:val="it-IT"/>
        </w:rPr>
        <w:t>sectorul comercial, industrial şi gospodării.</w:t>
      </w:r>
    </w:p>
    <w:p w:rsidR="00064D09" w:rsidRDefault="00064D09" w:rsidP="00C65BB7">
      <w:pPr>
        <w:rPr>
          <w:rFonts w:ascii="Arial" w:hAnsi="Arial" w:cs="Arial"/>
          <w:sz w:val="24"/>
          <w:szCs w:val="24"/>
          <w:lang w:val="ro-RO"/>
        </w:rPr>
      </w:pPr>
    </w:p>
    <w:p w:rsidR="00FC4790" w:rsidRPr="00D129ED" w:rsidRDefault="00FC4790" w:rsidP="00C65BB7">
      <w:pPr>
        <w:rPr>
          <w:rFonts w:ascii="Arial" w:hAnsi="Arial" w:cs="Arial"/>
          <w:noProof/>
          <w:sz w:val="24"/>
          <w:szCs w:val="24"/>
          <w:lang w:val="it-IT"/>
        </w:rPr>
      </w:pPr>
    </w:p>
    <w:p w:rsidR="00FC4790" w:rsidRDefault="005212E6" w:rsidP="00FC4790">
      <w:pPr>
        <w:jc w:val="center"/>
        <w:rPr>
          <w:rFonts w:ascii="Arial" w:hAnsi="Arial" w:cs="Arial"/>
          <w:sz w:val="24"/>
          <w:szCs w:val="24"/>
          <w:lang w:val="ro-RO"/>
        </w:rPr>
      </w:pPr>
      <w:r w:rsidRPr="005212E6">
        <w:rPr>
          <w:rFonts w:ascii="Arial" w:hAnsi="Arial" w:cs="Arial"/>
          <w:noProof/>
          <w:sz w:val="24"/>
          <w:szCs w:val="24"/>
        </w:rPr>
        <w:drawing>
          <wp:inline distT="0" distB="0" distL="0" distR="0">
            <wp:extent cx="5943600" cy="3072765"/>
            <wp:effectExtent l="19050" t="0" r="1905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7EEE" w:rsidRPr="00D129ED" w:rsidRDefault="002A7EEE" w:rsidP="002A7EEE">
      <w:pPr>
        <w:jc w:val="center"/>
        <w:rPr>
          <w:rFonts w:ascii="Arial" w:hAnsi="Arial" w:cs="Arial"/>
          <w:i/>
          <w:sz w:val="24"/>
          <w:szCs w:val="24"/>
          <w:lang w:val="it-IT"/>
        </w:rPr>
      </w:pPr>
      <w:r w:rsidRPr="00D129ED">
        <w:rPr>
          <w:rFonts w:ascii="Arial" w:hAnsi="Arial" w:cs="Arial"/>
          <w:i/>
          <w:sz w:val="24"/>
          <w:szCs w:val="24"/>
          <w:lang w:val="it-IT"/>
        </w:rPr>
        <w:t xml:space="preserve">                                                                                            </w:t>
      </w:r>
      <w:r w:rsidR="00FB1646">
        <w:rPr>
          <w:rFonts w:ascii="Arial" w:hAnsi="Arial" w:cs="Arial"/>
          <w:i/>
          <w:sz w:val="24"/>
          <w:szCs w:val="24"/>
          <w:lang w:val="it-IT"/>
        </w:rPr>
        <w:t xml:space="preserve">                 </w:t>
      </w:r>
      <w:r w:rsidRPr="00D129ED">
        <w:rPr>
          <w:rFonts w:ascii="Arial" w:hAnsi="Arial" w:cs="Arial"/>
          <w:i/>
          <w:sz w:val="24"/>
          <w:szCs w:val="24"/>
          <w:lang w:val="it-IT"/>
        </w:rPr>
        <w:t xml:space="preserve"> Figura nr.1.2.1.</w:t>
      </w:r>
      <w:r w:rsidR="008A4998" w:rsidRPr="00D129ED">
        <w:rPr>
          <w:rFonts w:ascii="Arial" w:hAnsi="Arial" w:cs="Arial"/>
          <w:i/>
          <w:sz w:val="24"/>
          <w:szCs w:val="24"/>
          <w:lang w:val="it-IT"/>
        </w:rPr>
        <w:t>1.</w:t>
      </w:r>
      <w:r w:rsidRPr="00D129ED">
        <w:rPr>
          <w:rFonts w:ascii="Arial" w:hAnsi="Arial" w:cs="Arial"/>
          <w:i/>
          <w:sz w:val="24"/>
          <w:szCs w:val="24"/>
          <w:lang w:val="it-IT"/>
        </w:rPr>
        <w:t>2.</w:t>
      </w:r>
    </w:p>
    <w:p w:rsidR="002A7EEE" w:rsidRPr="00D129ED" w:rsidRDefault="002A7EEE" w:rsidP="002A7EEE">
      <w:pPr>
        <w:jc w:val="center"/>
        <w:rPr>
          <w:rFonts w:ascii="Arial" w:hAnsi="Arial" w:cs="Arial"/>
          <w:i/>
          <w:sz w:val="24"/>
          <w:szCs w:val="24"/>
          <w:lang w:val="it-IT"/>
        </w:rPr>
      </w:pPr>
    </w:p>
    <w:p w:rsidR="002A7EEE" w:rsidRPr="00D129ED" w:rsidRDefault="002A7EEE" w:rsidP="002A7EEE">
      <w:pPr>
        <w:jc w:val="center"/>
        <w:rPr>
          <w:rFonts w:ascii="Arial" w:hAnsi="Arial" w:cs="Arial"/>
          <w:i/>
          <w:sz w:val="24"/>
          <w:szCs w:val="24"/>
          <w:lang w:val="it-IT"/>
        </w:rPr>
      </w:pPr>
    </w:p>
    <w:p w:rsidR="008E4B16" w:rsidRPr="00D352C7" w:rsidRDefault="008E4B16" w:rsidP="008E4B16">
      <w:pPr>
        <w:jc w:val="both"/>
        <w:rPr>
          <w:rFonts w:ascii="Arial" w:hAnsi="Arial" w:cs="Arial"/>
          <w:b/>
          <w:bCs/>
          <w:sz w:val="24"/>
          <w:szCs w:val="24"/>
          <w:lang w:val="ro-RO"/>
        </w:rPr>
      </w:pPr>
      <w:r w:rsidRPr="00D352C7">
        <w:rPr>
          <w:rFonts w:ascii="Arial" w:hAnsi="Arial" w:cs="Arial"/>
          <w:b/>
          <w:bCs/>
          <w:sz w:val="24"/>
          <w:szCs w:val="24"/>
          <w:lang w:val="ro-RO"/>
        </w:rPr>
        <w:t xml:space="preserve">Cod indicator </w:t>
      </w:r>
      <w:r>
        <w:rPr>
          <w:rFonts w:ascii="Arial" w:hAnsi="Arial" w:cs="Arial"/>
          <w:b/>
          <w:bCs/>
          <w:sz w:val="24"/>
          <w:szCs w:val="24"/>
          <w:lang w:val="ro-RO"/>
        </w:rPr>
        <w:t>România: RO 03</w:t>
      </w:r>
    </w:p>
    <w:p w:rsidR="008E4B16" w:rsidRPr="00D352C7" w:rsidRDefault="008E4B16" w:rsidP="008E4B16">
      <w:pPr>
        <w:jc w:val="both"/>
        <w:rPr>
          <w:rFonts w:ascii="Arial" w:hAnsi="Arial" w:cs="Arial"/>
          <w:b/>
          <w:bCs/>
          <w:sz w:val="24"/>
          <w:szCs w:val="24"/>
          <w:lang w:val="ro-RO"/>
        </w:rPr>
      </w:pPr>
      <w:r>
        <w:rPr>
          <w:rFonts w:ascii="Arial" w:hAnsi="Arial" w:cs="Arial"/>
          <w:b/>
          <w:bCs/>
          <w:sz w:val="24"/>
          <w:szCs w:val="24"/>
          <w:lang w:val="ro-RO"/>
        </w:rPr>
        <w:t>Cod indicator AEM: CSI 03</w:t>
      </w:r>
    </w:p>
    <w:p w:rsidR="008E4B16" w:rsidRPr="00D352C7" w:rsidRDefault="008E4B16" w:rsidP="008E4B16">
      <w:pPr>
        <w:jc w:val="both"/>
        <w:rPr>
          <w:rFonts w:ascii="Arial" w:hAnsi="Arial" w:cs="Arial"/>
          <w:b/>
          <w:bCs/>
          <w:sz w:val="24"/>
          <w:szCs w:val="24"/>
          <w:lang w:val="ro-RO"/>
        </w:rPr>
      </w:pPr>
      <w:r w:rsidRPr="00D352C7">
        <w:rPr>
          <w:rFonts w:ascii="Arial" w:hAnsi="Arial" w:cs="Arial"/>
          <w:b/>
          <w:bCs/>
          <w:sz w:val="24"/>
          <w:szCs w:val="24"/>
          <w:lang w:val="ro-RO"/>
        </w:rPr>
        <w:t xml:space="preserve">DENUMIRE: </w:t>
      </w:r>
      <w:r w:rsidRPr="00D129ED">
        <w:rPr>
          <w:rFonts w:ascii="Arial" w:hAnsi="Arial" w:cs="Arial"/>
          <w:b/>
          <w:bCs/>
          <w:sz w:val="24"/>
          <w:szCs w:val="24"/>
          <w:lang w:val="it-IT"/>
        </w:rPr>
        <w:t>EMISII DE PARTICULE PRIMARE ŞI PRECURSORI SECUNDARI DE PARTICULE</w:t>
      </w:r>
    </w:p>
    <w:p w:rsidR="002A7EEE" w:rsidRDefault="008E4B16" w:rsidP="008E4B16">
      <w:pPr>
        <w:rPr>
          <w:rFonts w:ascii="Arial" w:hAnsi="Arial" w:cs="Arial"/>
          <w:sz w:val="24"/>
          <w:szCs w:val="24"/>
          <w:lang w:val="it-IT"/>
        </w:rPr>
      </w:pPr>
      <w:r w:rsidRPr="008E4B16">
        <w:rPr>
          <w:rFonts w:ascii="Arial" w:hAnsi="Arial" w:cs="Arial"/>
          <w:bCs/>
          <w:sz w:val="24"/>
          <w:szCs w:val="24"/>
          <w:lang w:val="ro-RO"/>
        </w:rPr>
        <w:t>DEFINITIE</w:t>
      </w:r>
      <w:r>
        <w:rPr>
          <w:rFonts w:ascii="Arial" w:hAnsi="Arial" w:cs="Arial"/>
          <w:bCs/>
          <w:sz w:val="24"/>
          <w:szCs w:val="24"/>
          <w:lang w:val="ro-RO"/>
        </w:rPr>
        <w:t xml:space="preserve">: </w:t>
      </w:r>
      <w:r w:rsidRPr="00D129ED">
        <w:rPr>
          <w:rFonts w:ascii="Arial" w:hAnsi="Arial" w:cs="Arial"/>
          <w:sz w:val="24"/>
          <w:szCs w:val="24"/>
          <w:lang w:val="it-IT"/>
        </w:rPr>
        <w:t xml:space="preserve">Acest indicator prezintă tendinţele emisiilor de particule primare cu diametrul mai mic de 2,5 </w:t>
      </w:r>
      <w:r w:rsidRPr="008E4B16">
        <w:rPr>
          <w:rFonts w:ascii="Arial" w:hAnsi="Arial" w:cs="Arial"/>
          <w:sz w:val="24"/>
          <w:szCs w:val="24"/>
        </w:rPr>
        <w:t>μ</w:t>
      </w:r>
      <w:r w:rsidRPr="00D129ED">
        <w:rPr>
          <w:rFonts w:ascii="Arial" w:hAnsi="Arial" w:cs="Arial"/>
          <w:sz w:val="24"/>
          <w:szCs w:val="24"/>
          <w:lang w:val="it-IT"/>
        </w:rPr>
        <w:t xml:space="preserve">m (PM2,5) şi respectiv 10 </w:t>
      </w:r>
      <w:r w:rsidRPr="008E4B16">
        <w:rPr>
          <w:rFonts w:ascii="Arial" w:hAnsi="Arial" w:cs="Arial"/>
          <w:sz w:val="24"/>
          <w:szCs w:val="24"/>
        </w:rPr>
        <w:t>μ</w:t>
      </w:r>
      <w:r w:rsidRPr="00D129ED">
        <w:rPr>
          <w:rFonts w:ascii="Arial" w:hAnsi="Arial" w:cs="Arial"/>
          <w:sz w:val="24"/>
          <w:szCs w:val="24"/>
          <w:lang w:val="it-IT"/>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4C52D5" w:rsidRPr="00D129ED" w:rsidRDefault="004C52D5" w:rsidP="008E4B16">
      <w:pPr>
        <w:rPr>
          <w:rFonts w:ascii="Arial" w:hAnsi="Arial" w:cs="Arial"/>
          <w:sz w:val="24"/>
          <w:szCs w:val="24"/>
          <w:lang w:val="it-IT"/>
        </w:rPr>
      </w:pPr>
    </w:p>
    <w:p w:rsidR="00FC4790" w:rsidRPr="00D129ED" w:rsidRDefault="004C52D5" w:rsidP="004E613B">
      <w:pPr>
        <w:jc w:val="center"/>
        <w:rPr>
          <w:rFonts w:ascii="Arial" w:hAnsi="Arial" w:cs="Arial"/>
          <w:sz w:val="24"/>
          <w:szCs w:val="24"/>
          <w:lang w:val="it-IT"/>
        </w:rPr>
      </w:pPr>
      <w:r w:rsidRPr="004C52D5">
        <w:rPr>
          <w:rFonts w:ascii="Arial" w:hAnsi="Arial" w:cs="Arial"/>
          <w:noProof/>
          <w:sz w:val="24"/>
          <w:szCs w:val="24"/>
        </w:rPr>
        <w:drawing>
          <wp:inline distT="0" distB="0" distL="0" distR="0">
            <wp:extent cx="5943600" cy="3001645"/>
            <wp:effectExtent l="19050" t="0" r="19050" b="8255"/>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E4B16" w:rsidRPr="00D129ED" w:rsidRDefault="008E4B16" w:rsidP="008E4B16">
      <w:pPr>
        <w:jc w:val="center"/>
        <w:rPr>
          <w:rFonts w:ascii="Arial" w:hAnsi="Arial" w:cs="Arial"/>
          <w:i/>
          <w:sz w:val="24"/>
          <w:szCs w:val="24"/>
          <w:lang w:val="it-IT"/>
        </w:rPr>
      </w:pPr>
      <w:r w:rsidRPr="00D129ED">
        <w:rPr>
          <w:rFonts w:ascii="Arial" w:hAnsi="Arial" w:cs="Arial"/>
          <w:i/>
          <w:sz w:val="24"/>
          <w:szCs w:val="24"/>
          <w:lang w:val="it-IT"/>
        </w:rPr>
        <w:t xml:space="preserve">                                                                       </w:t>
      </w:r>
      <w:r w:rsidR="005E1BD6">
        <w:rPr>
          <w:rFonts w:ascii="Arial" w:hAnsi="Arial" w:cs="Arial"/>
          <w:i/>
          <w:sz w:val="24"/>
          <w:szCs w:val="24"/>
          <w:lang w:val="it-IT"/>
        </w:rPr>
        <w:t xml:space="preserve">                                   </w:t>
      </w:r>
      <w:r w:rsidRPr="00D129ED">
        <w:rPr>
          <w:rFonts w:ascii="Arial" w:hAnsi="Arial" w:cs="Arial"/>
          <w:i/>
          <w:sz w:val="24"/>
          <w:szCs w:val="24"/>
          <w:lang w:val="it-IT"/>
        </w:rPr>
        <w:t xml:space="preserve">   Figura nr.1.2.1.</w:t>
      </w:r>
      <w:r w:rsidR="008A4998" w:rsidRPr="00D129ED">
        <w:rPr>
          <w:rFonts w:ascii="Arial" w:hAnsi="Arial" w:cs="Arial"/>
          <w:i/>
          <w:sz w:val="24"/>
          <w:szCs w:val="24"/>
          <w:lang w:val="it-IT"/>
        </w:rPr>
        <w:t>1.</w:t>
      </w:r>
      <w:r w:rsidRPr="00D129ED">
        <w:rPr>
          <w:rFonts w:ascii="Arial" w:hAnsi="Arial" w:cs="Arial"/>
          <w:i/>
          <w:sz w:val="24"/>
          <w:szCs w:val="24"/>
          <w:lang w:val="it-IT"/>
        </w:rPr>
        <w:t>3.</w:t>
      </w:r>
    </w:p>
    <w:p w:rsidR="008E4B16" w:rsidRDefault="008E4B16" w:rsidP="008E4B16">
      <w:pPr>
        <w:jc w:val="center"/>
        <w:rPr>
          <w:rFonts w:ascii="Arial" w:hAnsi="Arial" w:cs="Arial"/>
          <w:i/>
          <w:sz w:val="24"/>
          <w:szCs w:val="24"/>
          <w:lang w:val="it-IT"/>
        </w:rPr>
      </w:pPr>
    </w:p>
    <w:p w:rsidR="00011C13" w:rsidRDefault="00011C13" w:rsidP="008E4B16">
      <w:pPr>
        <w:jc w:val="both"/>
        <w:rPr>
          <w:rFonts w:ascii="Arial" w:hAnsi="Arial" w:cs="Arial"/>
          <w:b/>
          <w:bCs/>
          <w:sz w:val="24"/>
          <w:szCs w:val="24"/>
          <w:lang w:val="ro-RO"/>
        </w:rPr>
      </w:pPr>
    </w:p>
    <w:p w:rsidR="00011C13" w:rsidRDefault="00011C13" w:rsidP="008E4B16">
      <w:pPr>
        <w:jc w:val="both"/>
        <w:rPr>
          <w:rFonts w:ascii="Arial" w:hAnsi="Arial" w:cs="Arial"/>
          <w:b/>
          <w:bCs/>
          <w:sz w:val="24"/>
          <w:szCs w:val="24"/>
          <w:lang w:val="ro-RO"/>
        </w:rPr>
      </w:pPr>
    </w:p>
    <w:p w:rsidR="008E4B16" w:rsidRPr="00D352C7" w:rsidRDefault="008E4B16" w:rsidP="008E4B16">
      <w:pPr>
        <w:jc w:val="both"/>
        <w:rPr>
          <w:rFonts w:ascii="Arial" w:hAnsi="Arial" w:cs="Arial"/>
          <w:b/>
          <w:bCs/>
          <w:sz w:val="24"/>
          <w:szCs w:val="24"/>
          <w:lang w:val="ro-RO"/>
        </w:rPr>
      </w:pPr>
      <w:r w:rsidRPr="00D352C7">
        <w:rPr>
          <w:rFonts w:ascii="Arial" w:hAnsi="Arial" w:cs="Arial"/>
          <w:b/>
          <w:bCs/>
          <w:sz w:val="24"/>
          <w:szCs w:val="24"/>
          <w:lang w:val="ro-RO"/>
        </w:rPr>
        <w:t xml:space="preserve">Cod indicator </w:t>
      </w:r>
      <w:r>
        <w:rPr>
          <w:rFonts w:ascii="Arial" w:hAnsi="Arial" w:cs="Arial"/>
          <w:b/>
          <w:bCs/>
          <w:sz w:val="24"/>
          <w:szCs w:val="24"/>
          <w:lang w:val="ro-RO"/>
        </w:rPr>
        <w:t>România: RO 38</w:t>
      </w:r>
    </w:p>
    <w:p w:rsidR="008E4B16" w:rsidRPr="00D352C7" w:rsidRDefault="008E4B16" w:rsidP="008E4B16">
      <w:pPr>
        <w:jc w:val="both"/>
        <w:rPr>
          <w:rFonts w:ascii="Arial" w:hAnsi="Arial" w:cs="Arial"/>
          <w:b/>
          <w:bCs/>
          <w:sz w:val="24"/>
          <w:szCs w:val="24"/>
          <w:lang w:val="ro-RO"/>
        </w:rPr>
      </w:pPr>
      <w:r>
        <w:rPr>
          <w:rFonts w:ascii="Arial" w:hAnsi="Arial" w:cs="Arial"/>
          <w:b/>
          <w:bCs/>
          <w:sz w:val="24"/>
          <w:szCs w:val="24"/>
          <w:lang w:val="ro-RO"/>
        </w:rPr>
        <w:t>Cod indicator AEM: APE 05</w:t>
      </w:r>
    </w:p>
    <w:p w:rsidR="008E4B16" w:rsidRPr="00D352C7" w:rsidRDefault="008E4B16" w:rsidP="008E4B16">
      <w:pPr>
        <w:jc w:val="both"/>
        <w:rPr>
          <w:rFonts w:ascii="Arial" w:hAnsi="Arial" w:cs="Arial"/>
          <w:b/>
          <w:bCs/>
          <w:sz w:val="24"/>
          <w:szCs w:val="24"/>
          <w:lang w:val="ro-RO"/>
        </w:rPr>
      </w:pPr>
      <w:r w:rsidRPr="00D352C7">
        <w:rPr>
          <w:rFonts w:ascii="Arial" w:hAnsi="Arial" w:cs="Arial"/>
          <w:b/>
          <w:bCs/>
          <w:sz w:val="24"/>
          <w:szCs w:val="24"/>
          <w:lang w:val="ro-RO"/>
        </w:rPr>
        <w:t xml:space="preserve">DENUMIRE: </w:t>
      </w:r>
      <w:r w:rsidRPr="00D129ED">
        <w:rPr>
          <w:rFonts w:ascii="Arial" w:hAnsi="Arial" w:cs="Arial"/>
          <w:b/>
          <w:bCs/>
          <w:sz w:val="24"/>
          <w:szCs w:val="24"/>
          <w:lang w:val="it-IT"/>
        </w:rPr>
        <w:t>EMISII DE METALE GRELE</w:t>
      </w:r>
    </w:p>
    <w:p w:rsidR="008E4B16" w:rsidRDefault="008E4B16" w:rsidP="008E4B16">
      <w:pPr>
        <w:rPr>
          <w:lang w:val="it-IT"/>
        </w:rPr>
      </w:pPr>
      <w:r w:rsidRPr="008E4B16">
        <w:rPr>
          <w:rFonts w:ascii="Arial" w:hAnsi="Arial" w:cs="Arial"/>
          <w:bCs/>
          <w:sz w:val="24"/>
          <w:szCs w:val="24"/>
          <w:lang w:val="ro-RO"/>
        </w:rPr>
        <w:t xml:space="preserve">DEFINITIE: </w:t>
      </w:r>
      <w:r w:rsidRPr="00D129ED">
        <w:rPr>
          <w:rFonts w:ascii="Arial" w:hAnsi="Arial" w:cs="Arial"/>
          <w:sz w:val="24"/>
          <w:szCs w:val="24"/>
          <w:lang w:val="it-IT"/>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r w:rsidRPr="00D129ED">
        <w:rPr>
          <w:lang w:val="it-IT"/>
        </w:rPr>
        <w:t>.</w:t>
      </w:r>
    </w:p>
    <w:p w:rsidR="009C0D08" w:rsidRDefault="009C0D08" w:rsidP="008E4B16">
      <w:pPr>
        <w:rPr>
          <w:lang w:val="it-IT"/>
        </w:rPr>
      </w:pPr>
    </w:p>
    <w:p w:rsidR="00A54814" w:rsidRDefault="00A54814" w:rsidP="008E4B16">
      <w:pPr>
        <w:rPr>
          <w:lang w:val="it-IT"/>
        </w:rPr>
      </w:pPr>
    </w:p>
    <w:p w:rsidR="00A54814" w:rsidRPr="00D129ED" w:rsidRDefault="00B84321" w:rsidP="00A54814">
      <w:pPr>
        <w:jc w:val="center"/>
        <w:rPr>
          <w:rFonts w:ascii="Arial" w:hAnsi="Arial" w:cs="Arial"/>
          <w:i/>
          <w:sz w:val="24"/>
          <w:szCs w:val="24"/>
          <w:lang w:val="it-IT"/>
        </w:rPr>
      </w:pPr>
      <w:r w:rsidRPr="00B84321">
        <w:rPr>
          <w:rFonts w:ascii="Arial" w:hAnsi="Arial" w:cs="Arial"/>
          <w:i/>
          <w:noProof/>
          <w:sz w:val="24"/>
          <w:szCs w:val="24"/>
        </w:rPr>
        <w:drawing>
          <wp:inline distT="0" distB="0" distL="0" distR="0">
            <wp:extent cx="5943600" cy="3104515"/>
            <wp:effectExtent l="19050" t="0" r="19050" b="635"/>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4B16" w:rsidRPr="00D129ED" w:rsidRDefault="008E4B16" w:rsidP="008E4B16">
      <w:pPr>
        <w:jc w:val="center"/>
        <w:rPr>
          <w:rFonts w:ascii="Arial" w:hAnsi="Arial" w:cs="Arial"/>
          <w:i/>
          <w:sz w:val="24"/>
          <w:szCs w:val="24"/>
          <w:lang w:val="it-IT"/>
        </w:rPr>
      </w:pPr>
      <w:r w:rsidRPr="00D129ED">
        <w:rPr>
          <w:rFonts w:ascii="Arial" w:hAnsi="Arial" w:cs="Arial"/>
          <w:i/>
          <w:sz w:val="24"/>
          <w:szCs w:val="24"/>
          <w:lang w:val="it-IT"/>
        </w:rPr>
        <w:t xml:space="preserve">                                                    </w:t>
      </w:r>
      <w:r w:rsidR="00A54814">
        <w:rPr>
          <w:rFonts w:ascii="Arial" w:hAnsi="Arial" w:cs="Arial"/>
          <w:i/>
          <w:sz w:val="24"/>
          <w:szCs w:val="24"/>
          <w:lang w:val="it-IT"/>
        </w:rPr>
        <w:t xml:space="preserve">                                  </w:t>
      </w:r>
      <w:r w:rsidRPr="00D129ED">
        <w:rPr>
          <w:rFonts w:ascii="Arial" w:hAnsi="Arial" w:cs="Arial"/>
          <w:i/>
          <w:sz w:val="24"/>
          <w:szCs w:val="24"/>
          <w:lang w:val="it-IT"/>
        </w:rPr>
        <w:t xml:space="preserve">                      Figura nr.1.2.1.</w:t>
      </w:r>
      <w:r w:rsidR="008A4998" w:rsidRPr="00D129ED">
        <w:rPr>
          <w:rFonts w:ascii="Arial" w:hAnsi="Arial" w:cs="Arial"/>
          <w:i/>
          <w:sz w:val="24"/>
          <w:szCs w:val="24"/>
          <w:lang w:val="it-IT"/>
        </w:rPr>
        <w:t>1.</w:t>
      </w:r>
      <w:r w:rsidRPr="00D129ED">
        <w:rPr>
          <w:rFonts w:ascii="Arial" w:hAnsi="Arial" w:cs="Arial"/>
          <w:i/>
          <w:sz w:val="24"/>
          <w:szCs w:val="24"/>
          <w:lang w:val="it-IT"/>
        </w:rPr>
        <w:t>4</w:t>
      </w:r>
    </w:p>
    <w:p w:rsidR="008E4B16" w:rsidRPr="00D129ED" w:rsidRDefault="008E4B16" w:rsidP="008E4B16">
      <w:pPr>
        <w:jc w:val="center"/>
        <w:rPr>
          <w:rFonts w:ascii="Arial" w:hAnsi="Arial" w:cs="Arial"/>
          <w:i/>
          <w:sz w:val="24"/>
          <w:szCs w:val="24"/>
          <w:lang w:val="it-IT"/>
        </w:rPr>
      </w:pPr>
    </w:p>
    <w:p w:rsidR="00FC4790" w:rsidRPr="00AF428E" w:rsidRDefault="00FC4790" w:rsidP="00FC4790">
      <w:pPr>
        <w:jc w:val="both"/>
        <w:rPr>
          <w:rFonts w:ascii="Arial" w:hAnsi="Arial" w:cs="Arial"/>
          <w:b/>
          <w:bCs/>
          <w:sz w:val="24"/>
          <w:szCs w:val="24"/>
          <w:lang w:val="ro-RO"/>
        </w:rPr>
      </w:pPr>
      <w:r w:rsidRPr="00AF428E">
        <w:rPr>
          <w:rFonts w:ascii="Arial" w:hAnsi="Arial" w:cs="Arial"/>
          <w:b/>
          <w:bCs/>
          <w:sz w:val="24"/>
          <w:szCs w:val="24"/>
          <w:lang w:val="ro-RO"/>
        </w:rPr>
        <w:t>Cod indicator România: RO 39</w:t>
      </w:r>
    </w:p>
    <w:p w:rsidR="00FC4790" w:rsidRPr="00AF428E" w:rsidRDefault="00FC4790" w:rsidP="00FC4790">
      <w:pPr>
        <w:jc w:val="both"/>
        <w:rPr>
          <w:rFonts w:ascii="Arial" w:hAnsi="Arial" w:cs="Arial"/>
          <w:b/>
          <w:bCs/>
          <w:sz w:val="24"/>
          <w:szCs w:val="24"/>
          <w:lang w:val="ro-RO"/>
        </w:rPr>
      </w:pPr>
      <w:r w:rsidRPr="00AF428E">
        <w:rPr>
          <w:rFonts w:ascii="Arial" w:hAnsi="Arial" w:cs="Arial"/>
          <w:b/>
          <w:bCs/>
          <w:sz w:val="24"/>
          <w:szCs w:val="24"/>
          <w:lang w:val="ro-RO"/>
        </w:rPr>
        <w:t>Cod indicator AEM: APE 06</w:t>
      </w:r>
    </w:p>
    <w:p w:rsidR="00FC4790" w:rsidRPr="00AF428E" w:rsidRDefault="00FC4790" w:rsidP="00FC4790">
      <w:pPr>
        <w:jc w:val="both"/>
        <w:rPr>
          <w:rFonts w:ascii="Arial" w:hAnsi="Arial" w:cs="Arial"/>
          <w:b/>
          <w:bCs/>
          <w:sz w:val="24"/>
          <w:szCs w:val="24"/>
          <w:lang w:val="it-IT"/>
        </w:rPr>
      </w:pPr>
      <w:r w:rsidRPr="00AF428E">
        <w:rPr>
          <w:rFonts w:ascii="Arial" w:hAnsi="Arial" w:cs="Arial"/>
          <w:b/>
          <w:bCs/>
          <w:sz w:val="24"/>
          <w:szCs w:val="24"/>
          <w:lang w:val="ro-RO"/>
        </w:rPr>
        <w:t xml:space="preserve">DENUMIRE: </w:t>
      </w:r>
      <w:r w:rsidRPr="00AF428E">
        <w:rPr>
          <w:rFonts w:ascii="Arial" w:hAnsi="Arial" w:cs="Arial"/>
          <w:b/>
          <w:bCs/>
          <w:sz w:val="24"/>
          <w:szCs w:val="24"/>
          <w:lang w:val="it-IT"/>
        </w:rPr>
        <w:t>EMISII DE POLUANTI ORGANICI PERSISTENTI</w:t>
      </w:r>
    </w:p>
    <w:p w:rsidR="00FC4790" w:rsidRPr="00AF428E" w:rsidRDefault="00FC4790" w:rsidP="00FC4790">
      <w:pPr>
        <w:jc w:val="both"/>
        <w:rPr>
          <w:rFonts w:ascii="Arial" w:hAnsi="Arial" w:cs="Arial"/>
          <w:b/>
          <w:bCs/>
          <w:sz w:val="24"/>
          <w:szCs w:val="24"/>
          <w:lang w:val="it-IT"/>
        </w:rPr>
      </w:pPr>
    </w:p>
    <w:p w:rsidR="00AF428E" w:rsidRPr="00AF428E" w:rsidRDefault="00FC4790" w:rsidP="00246ADF">
      <w:pPr>
        <w:jc w:val="both"/>
        <w:rPr>
          <w:rFonts w:ascii="Arial" w:hAnsi="Arial" w:cs="Arial"/>
          <w:i/>
          <w:sz w:val="24"/>
          <w:szCs w:val="24"/>
          <w:lang w:val="it-IT"/>
        </w:rPr>
      </w:pPr>
      <w:r w:rsidRPr="00AF428E">
        <w:rPr>
          <w:rFonts w:ascii="Arial" w:hAnsi="Arial" w:cs="Arial"/>
          <w:bCs/>
          <w:sz w:val="24"/>
          <w:szCs w:val="24"/>
          <w:lang w:val="ro-RO"/>
        </w:rPr>
        <w:t xml:space="preserve">DEFINITIE: </w:t>
      </w:r>
      <w:r w:rsidRPr="00AF428E">
        <w:rPr>
          <w:rFonts w:ascii="Arial" w:hAnsi="Arial" w:cs="Arial"/>
          <w:sz w:val="24"/>
          <w:szCs w:val="24"/>
          <w:lang w:val="it-IT"/>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r w:rsidRPr="00AF428E">
        <w:rPr>
          <w:rFonts w:ascii="Arial" w:hAnsi="Arial" w:cs="Arial"/>
          <w:i/>
          <w:sz w:val="24"/>
          <w:szCs w:val="24"/>
          <w:lang w:val="it-IT"/>
        </w:rPr>
        <w:t xml:space="preserve"> </w:t>
      </w:r>
    </w:p>
    <w:p w:rsidR="00FC4790" w:rsidRPr="00AF428E" w:rsidRDefault="00FC4790" w:rsidP="00246ADF">
      <w:pPr>
        <w:jc w:val="both"/>
        <w:rPr>
          <w:rFonts w:ascii="Arial" w:hAnsi="Arial" w:cs="Arial"/>
          <w:i/>
          <w:sz w:val="24"/>
          <w:szCs w:val="24"/>
          <w:lang w:val="it-IT"/>
        </w:rPr>
      </w:pPr>
      <w:r w:rsidRPr="00AF428E">
        <w:rPr>
          <w:rFonts w:ascii="Arial" w:hAnsi="Arial" w:cs="Arial"/>
          <w:i/>
          <w:sz w:val="24"/>
          <w:szCs w:val="24"/>
          <w:lang w:val="it-IT"/>
        </w:rPr>
        <w:t xml:space="preserve">                                                      </w:t>
      </w:r>
    </w:p>
    <w:p w:rsidR="00FC4790" w:rsidRPr="00972836" w:rsidRDefault="006915B2" w:rsidP="00FC4790">
      <w:pPr>
        <w:jc w:val="center"/>
        <w:rPr>
          <w:rFonts w:ascii="Arial" w:hAnsi="Arial" w:cs="Arial"/>
          <w:i/>
          <w:color w:val="FF0000"/>
          <w:sz w:val="24"/>
          <w:szCs w:val="24"/>
          <w:lang w:val="it-IT"/>
        </w:rPr>
      </w:pPr>
      <w:r w:rsidRPr="006915B2">
        <w:rPr>
          <w:rFonts w:ascii="Arial" w:hAnsi="Arial" w:cs="Arial"/>
          <w:i/>
          <w:noProof/>
          <w:color w:val="FF0000"/>
          <w:sz w:val="24"/>
          <w:szCs w:val="24"/>
        </w:rPr>
        <w:drawing>
          <wp:inline distT="0" distB="0" distL="0" distR="0">
            <wp:extent cx="5943600" cy="3041015"/>
            <wp:effectExtent l="19050" t="0" r="19050" b="6985"/>
            <wp:docPr id="4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E4B16" w:rsidRPr="00AF428E" w:rsidRDefault="00873AF0" w:rsidP="00FC4790">
      <w:pPr>
        <w:rPr>
          <w:rFonts w:ascii="Arial" w:hAnsi="Arial" w:cs="Arial"/>
          <w:i/>
          <w:sz w:val="24"/>
          <w:szCs w:val="24"/>
        </w:rPr>
      </w:pPr>
      <w:r w:rsidRPr="00AF428E">
        <w:rPr>
          <w:rFonts w:ascii="Arial" w:hAnsi="Arial" w:cs="Arial"/>
          <w:i/>
          <w:sz w:val="24"/>
          <w:szCs w:val="24"/>
        </w:rPr>
        <w:t xml:space="preserve">                        </w:t>
      </w:r>
      <w:r w:rsidR="00FC4790" w:rsidRPr="00AF428E">
        <w:rPr>
          <w:rFonts w:ascii="Arial" w:hAnsi="Arial" w:cs="Arial"/>
          <w:i/>
          <w:sz w:val="24"/>
          <w:szCs w:val="24"/>
        </w:rPr>
        <w:t xml:space="preserve">                                                                                        Figura nr.1.2.1.</w:t>
      </w:r>
      <w:r w:rsidR="008A4998" w:rsidRPr="00AF428E">
        <w:rPr>
          <w:rFonts w:ascii="Arial" w:hAnsi="Arial" w:cs="Arial"/>
          <w:i/>
          <w:sz w:val="24"/>
          <w:szCs w:val="24"/>
        </w:rPr>
        <w:t>1.</w:t>
      </w:r>
      <w:r w:rsidR="00FC4790" w:rsidRPr="00AF428E">
        <w:rPr>
          <w:rFonts w:ascii="Arial" w:hAnsi="Arial" w:cs="Arial"/>
          <w:i/>
          <w:sz w:val="24"/>
          <w:szCs w:val="24"/>
        </w:rPr>
        <w:t>5</w:t>
      </w:r>
    </w:p>
    <w:p w:rsidR="00FC4790" w:rsidRPr="00873AF0" w:rsidRDefault="00FC4790" w:rsidP="00FC4790">
      <w:pPr>
        <w:rPr>
          <w:rFonts w:ascii="Arial" w:hAnsi="Arial" w:cs="Arial"/>
          <w:i/>
          <w:sz w:val="24"/>
          <w:szCs w:val="24"/>
        </w:rPr>
      </w:pPr>
    </w:p>
    <w:p w:rsidR="00C27C29" w:rsidRPr="008C3E98" w:rsidRDefault="002A2EFA" w:rsidP="002A2EFA">
      <w:pPr>
        <w:ind w:left="1135"/>
        <w:rPr>
          <w:rFonts w:ascii="Arial" w:hAnsi="Arial" w:cs="Arial"/>
          <w:b/>
          <w:sz w:val="24"/>
          <w:szCs w:val="24"/>
          <w:lang w:val="ro-RO"/>
        </w:rPr>
      </w:pPr>
      <w:r w:rsidRPr="008C3E98">
        <w:rPr>
          <w:rFonts w:ascii="Arial" w:hAnsi="Arial" w:cs="Arial"/>
          <w:b/>
          <w:sz w:val="24"/>
          <w:szCs w:val="24"/>
          <w:lang w:val="ro-RO"/>
        </w:rPr>
        <w:t xml:space="preserve">I.2.1.2 </w:t>
      </w:r>
      <w:r w:rsidR="00C27C29" w:rsidRPr="008C3E98">
        <w:rPr>
          <w:rFonts w:ascii="Arial" w:hAnsi="Arial" w:cs="Arial"/>
          <w:b/>
          <w:sz w:val="24"/>
          <w:szCs w:val="24"/>
          <w:lang w:val="ro-RO"/>
        </w:rPr>
        <w:t xml:space="preserve">Industria </w:t>
      </w:r>
      <w:r w:rsidR="00C27C29" w:rsidRPr="008C3E98">
        <w:rPr>
          <w:rFonts w:ascii="Arial" w:hAnsi="Arial" w:cs="Arial"/>
          <w:b/>
          <w:sz w:val="24"/>
          <w:szCs w:val="24"/>
          <w:lang w:val="ro-RO"/>
        </w:rPr>
        <w:tab/>
      </w:r>
    </w:p>
    <w:p w:rsidR="002A2EFA" w:rsidRPr="008C3E98" w:rsidRDefault="002A2EFA" w:rsidP="002A2EFA">
      <w:pPr>
        <w:ind w:left="1135"/>
        <w:rPr>
          <w:rFonts w:ascii="Arial" w:hAnsi="Arial" w:cs="Arial"/>
          <w:sz w:val="24"/>
          <w:szCs w:val="24"/>
          <w:lang w:val="ro-RO"/>
        </w:rPr>
      </w:pPr>
    </w:p>
    <w:p w:rsidR="00FC4790" w:rsidRPr="008C3E98" w:rsidRDefault="00FC4790" w:rsidP="00FC4790">
      <w:pPr>
        <w:numPr>
          <w:ilvl w:val="0"/>
          <w:numId w:val="43"/>
        </w:numPr>
        <w:rPr>
          <w:rFonts w:ascii="Arial" w:hAnsi="Arial" w:cs="Arial"/>
          <w:b/>
          <w:sz w:val="24"/>
          <w:szCs w:val="24"/>
        </w:rPr>
      </w:pPr>
      <w:r w:rsidRPr="008C3E98">
        <w:rPr>
          <w:rFonts w:ascii="Arial" w:hAnsi="Arial" w:cs="Arial"/>
          <w:b/>
          <w:sz w:val="24"/>
          <w:szCs w:val="24"/>
        </w:rPr>
        <w:t>Indicatori specifici</w:t>
      </w:r>
    </w:p>
    <w:p w:rsidR="00FC4790" w:rsidRPr="008C3E98" w:rsidRDefault="00FC4790" w:rsidP="00FC4790">
      <w:pPr>
        <w:ind w:left="720"/>
        <w:rPr>
          <w:rFonts w:ascii="Arial" w:hAnsi="Arial" w:cs="Arial"/>
          <w:b/>
          <w:sz w:val="24"/>
          <w:szCs w:val="24"/>
        </w:rPr>
      </w:pPr>
    </w:p>
    <w:p w:rsidR="00FC4790" w:rsidRPr="008C3E98" w:rsidRDefault="00FC4790" w:rsidP="00FC4790">
      <w:pPr>
        <w:jc w:val="both"/>
        <w:rPr>
          <w:rFonts w:ascii="Arial" w:hAnsi="Arial" w:cs="Arial"/>
          <w:b/>
          <w:bCs/>
          <w:sz w:val="24"/>
          <w:szCs w:val="24"/>
          <w:lang w:val="ro-RO"/>
        </w:rPr>
      </w:pPr>
      <w:r w:rsidRPr="008C3E98">
        <w:rPr>
          <w:rFonts w:ascii="Arial" w:hAnsi="Arial" w:cs="Arial"/>
          <w:b/>
          <w:bCs/>
          <w:sz w:val="24"/>
          <w:szCs w:val="24"/>
          <w:lang w:val="ro-RO"/>
        </w:rPr>
        <w:t>Cod indicator România: RO 01</w:t>
      </w:r>
    </w:p>
    <w:p w:rsidR="00FC4790" w:rsidRPr="008C3E98" w:rsidRDefault="00FC4790" w:rsidP="00FC4790">
      <w:pPr>
        <w:jc w:val="both"/>
        <w:rPr>
          <w:rFonts w:ascii="Arial" w:hAnsi="Arial" w:cs="Arial"/>
          <w:b/>
          <w:bCs/>
          <w:sz w:val="24"/>
          <w:szCs w:val="24"/>
          <w:lang w:val="ro-RO"/>
        </w:rPr>
      </w:pPr>
      <w:r w:rsidRPr="008C3E98">
        <w:rPr>
          <w:rFonts w:ascii="Arial" w:hAnsi="Arial" w:cs="Arial"/>
          <w:b/>
          <w:bCs/>
          <w:sz w:val="24"/>
          <w:szCs w:val="24"/>
          <w:lang w:val="ro-RO"/>
        </w:rPr>
        <w:t xml:space="preserve">Cod indicator AEM: CSI 01 </w:t>
      </w:r>
    </w:p>
    <w:p w:rsidR="00FC4790" w:rsidRPr="008C3E98" w:rsidRDefault="00FC4790" w:rsidP="00FC4790">
      <w:pPr>
        <w:jc w:val="both"/>
        <w:rPr>
          <w:rFonts w:ascii="Arial" w:hAnsi="Arial" w:cs="Arial"/>
          <w:b/>
          <w:bCs/>
          <w:sz w:val="24"/>
          <w:szCs w:val="24"/>
          <w:lang w:val="ro-RO"/>
        </w:rPr>
      </w:pPr>
      <w:r w:rsidRPr="008C3E98">
        <w:rPr>
          <w:rFonts w:ascii="Arial" w:hAnsi="Arial" w:cs="Arial"/>
          <w:b/>
          <w:bCs/>
          <w:sz w:val="24"/>
          <w:szCs w:val="24"/>
          <w:lang w:val="ro-RO"/>
        </w:rPr>
        <w:t xml:space="preserve">DENUMIRE: EMISIILE DE SUBSTANTE ACIDIFIANTE </w:t>
      </w:r>
    </w:p>
    <w:p w:rsidR="00FC4790" w:rsidRPr="00BA2C2C" w:rsidRDefault="00FC4790" w:rsidP="00BA2C2C">
      <w:pPr>
        <w:jc w:val="both"/>
        <w:rPr>
          <w:rFonts w:ascii="Arial" w:hAnsi="Arial" w:cs="Arial"/>
          <w:sz w:val="24"/>
          <w:szCs w:val="24"/>
          <w:lang w:val="it-IT"/>
        </w:rPr>
      </w:pPr>
      <w:r w:rsidRPr="00BA2C2C">
        <w:rPr>
          <w:rFonts w:ascii="Arial" w:hAnsi="Arial" w:cs="Arial"/>
          <w:bCs/>
          <w:sz w:val="24"/>
          <w:szCs w:val="24"/>
          <w:lang w:val="ro-RO"/>
        </w:rPr>
        <w:t>DEFINITIE:</w:t>
      </w:r>
      <w:r w:rsidRPr="00BA2C2C">
        <w:rPr>
          <w:rFonts w:ascii="Arial" w:hAnsi="Arial" w:cs="Arial"/>
          <w:sz w:val="24"/>
          <w:szCs w:val="24"/>
          <w:lang w:val="ro-RO"/>
        </w:rPr>
        <w:t xml:space="preserve"> Indicatorul urmăreşte tendinţele emisiilor antropice ale substanţelor acidifiante: oxizi de azot (NOx), amoniac (NH3) şi oxizi de sulf (SOx, SO2), la fiecare dintre acestea ţinânduse cont de potenţialul său acidifiant. </w:t>
      </w:r>
      <w:r w:rsidRPr="00BA2C2C">
        <w:rPr>
          <w:rFonts w:ascii="Arial" w:hAnsi="Arial" w:cs="Arial"/>
          <w:sz w:val="24"/>
          <w:szCs w:val="24"/>
          <w:lang w:val="it-IT"/>
        </w:rPr>
        <w:t>Indicatorul oferă de asemenea informaţii referitoare la modificările survenite în emisiile provenite de la principalele sectoare sursă:</w:t>
      </w:r>
      <w:r w:rsidRPr="00BA2C2C">
        <w:rPr>
          <w:lang w:val="it-IT"/>
        </w:rPr>
        <w:t xml:space="preserve"> </w:t>
      </w:r>
      <w:r w:rsidRPr="00BA2C2C">
        <w:rPr>
          <w:rFonts w:ascii="Arial" w:hAnsi="Arial" w:cs="Arial"/>
          <w:sz w:val="24"/>
          <w:szCs w:val="24"/>
          <w:lang w:val="it-IT"/>
        </w:rPr>
        <w:t>producerea şi distribuţia energiei; utilizarea energiei în industrie; procesele industriale; transport rutier; transport nerutier; sectorul comercial, industrial şi gospodării; folosirea solvenţilor şi a produselor; agricultură; deşeuri; altele.</w:t>
      </w:r>
    </w:p>
    <w:p w:rsidR="008A4998" w:rsidRPr="00932911" w:rsidRDefault="008A4998" w:rsidP="008A4998">
      <w:pPr>
        <w:jc w:val="center"/>
        <w:rPr>
          <w:rFonts w:ascii="Arial" w:hAnsi="Arial" w:cs="Arial"/>
          <w:i/>
          <w:color w:val="FF0000"/>
          <w:sz w:val="24"/>
          <w:szCs w:val="24"/>
          <w:lang w:val="it-IT"/>
        </w:rPr>
      </w:pPr>
    </w:p>
    <w:p w:rsidR="008A4998" w:rsidRPr="00932911" w:rsidRDefault="0005147D" w:rsidP="008A4998">
      <w:pPr>
        <w:jc w:val="center"/>
        <w:rPr>
          <w:rFonts w:ascii="Arial" w:hAnsi="Arial" w:cs="Arial"/>
          <w:i/>
          <w:color w:val="FF0000"/>
          <w:sz w:val="24"/>
          <w:szCs w:val="24"/>
        </w:rPr>
      </w:pPr>
      <w:r w:rsidRPr="0005147D">
        <w:rPr>
          <w:rFonts w:ascii="Arial" w:hAnsi="Arial" w:cs="Arial"/>
          <w:i/>
          <w:noProof/>
          <w:color w:val="FF0000"/>
          <w:sz w:val="24"/>
          <w:szCs w:val="24"/>
        </w:rPr>
        <w:drawing>
          <wp:inline distT="0" distB="0" distL="0" distR="0">
            <wp:extent cx="5943600" cy="3104515"/>
            <wp:effectExtent l="19050" t="0" r="19050" b="635"/>
            <wp:docPr id="4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4998" w:rsidRPr="004F4E28" w:rsidRDefault="008A4998" w:rsidP="008A4998">
      <w:pPr>
        <w:jc w:val="center"/>
        <w:rPr>
          <w:rFonts w:ascii="Arial" w:hAnsi="Arial" w:cs="Arial"/>
          <w:i/>
          <w:sz w:val="24"/>
          <w:szCs w:val="24"/>
          <w:lang w:val="it-IT"/>
        </w:rPr>
      </w:pPr>
      <w:r w:rsidRPr="004F4E28">
        <w:rPr>
          <w:rFonts w:ascii="Arial" w:hAnsi="Arial" w:cs="Arial"/>
          <w:i/>
          <w:sz w:val="24"/>
          <w:szCs w:val="24"/>
          <w:lang w:val="it-IT"/>
        </w:rPr>
        <w:t xml:space="preserve">                                                                        Figura nr.1.2.1.2.1.</w:t>
      </w:r>
    </w:p>
    <w:p w:rsidR="00FC4790" w:rsidRPr="00582178" w:rsidRDefault="00FC4790" w:rsidP="00FC4790">
      <w:pPr>
        <w:jc w:val="both"/>
        <w:rPr>
          <w:rFonts w:ascii="Arial" w:hAnsi="Arial" w:cs="Arial"/>
          <w:b/>
          <w:bCs/>
          <w:sz w:val="24"/>
          <w:szCs w:val="24"/>
          <w:lang w:val="ro-RO"/>
        </w:rPr>
      </w:pPr>
      <w:r w:rsidRPr="00582178">
        <w:rPr>
          <w:rFonts w:ascii="Arial" w:hAnsi="Arial" w:cs="Arial"/>
          <w:b/>
          <w:bCs/>
          <w:sz w:val="24"/>
          <w:szCs w:val="24"/>
          <w:lang w:val="ro-RO"/>
        </w:rPr>
        <w:t>Cod indicator România: RO 02</w:t>
      </w:r>
    </w:p>
    <w:p w:rsidR="00FC4790" w:rsidRPr="00582178" w:rsidRDefault="00FC4790" w:rsidP="00FC4790">
      <w:pPr>
        <w:jc w:val="both"/>
        <w:rPr>
          <w:rFonts w:ascii="Arial" w:hAnsi="Arial" w:cs="Arial"/>
          <w:b/>
          <w:bCs/>
          <w:sz w:val="24"/>
          <w:szCs w:val="24"/>
          <w:lang w:val="ro-RO"/>
        </w:rPr>
      </w:pPr>
      <w:r w:rsidRPr="00582178">
        <w:rPr>
          <w:rFonts w:ascii="Arial" w:hAnsi="Arial" w:cs="Arial"/>
          <w:b/>
          <w:bCs/>
          <w:sz w:val="24"/>
          <w:szCs w:val="24"/>
          <w:lang w:val="ro-RO"/>
        </w:rPr>
        <w:t xml:space="preserve">Cod indicator AEM: CSI 02 </w:t>
      </w:r>
    </w:p>
    <w:p w:rsidR="00FC4790" w:rsidRPr="00582178" w:rsidRDefault="00FC4790" w:rsidP="00FC4790">
      <w:pPr>
        <w:jc w:val="both"/>
        <w:rPr>
          <w:rFonts w:ascii="Arial" w:hAnsi="Arial" w:cs="Arial"/>
          <w:b/>
          <w:bCs/>
          <w:sz w:val="24"/>
          <w:szCs w:val="24"/>
          <w:lang w:val="ro-RO"/>
        </w:rPr>
      </w:pPr>
      <w:r w:rsidRPr="00582178">
        <w:rPr>
          <w:rFonts w:ascii="Arial" w:hAnsi="Arial" w:cs="Arial"/>
          <w:b/>
          <w:bCs/>
          <w:sz w:val="24"/>
          <w:szCs w:val="24"/>
          <w:lang w:val="ro-RO"/>
        </w:rPr>
        <w:t xml:space="preserve">DENUMIRE: EMISII DE PRECURSORI AI OZONULUI </w:t>
      </w:r>
    </w:p>
    <w:p w:rsidR="00FC4790" w:rsidRPr="00582178" w:rsidRDefault="00FC4790" w:rsidP="00FC4790">
      <w:pPr>
        <w:rPr>
          <w:rFonts w:ascii="Arial" w:hAnsi="Arial" w:cs="Arial"/>
          <w:sz w:val="24"/>
          <w:szCs w:val="24"/>
          <w:lang w:val="it-IT"/>
        </w:rPr>
      </w:pPr>
      <w:r w:rsidRPr="00582178">
        <w:rPr>
          <w:rFonts w:ascii="Arial" w:hAnsi="Arial" w:cs="Arial"/>
          <w:bCs/>
          <w:sz w:val="24"/>
          <w:szCs w:val="24"/>
          <w:lang w:val="ro-RO"/>
        </w:rPr>
        <w:t>DEFINITIE:</w:t>
      </w:r>
      <w:r w:rsidRPr="00582178">
        <w:rPr>
          <w:rFonts w:ascii="Arial" w:hAnsi="Arial" w:cs="Arial"/>
          <w:sz w:val="24"/>
          <w:szCs w:val="24"/>
          <w:lang w:val="it-IT"/>
        </w:rPr>
        <w:t xml:space="preserve"> 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FC4790" w:rsidRPr="00932911" w:rsidRDefault="00FC4790" w:rsidP="00E939BB">
      <w:pPr>
        <w:jc w:val="center"/>
        <w:rPr>
          <w:rFonts w:ascii="Arial" w:hAnsi="Arial" w:cs="Arial"/>
          <w:i/>
          <w:color w:val="FF0000"/>
          <w:sz w:val="24"/>
          <w:szCs w:val="24"/>
          <w:lang w:val="it-IT"/>
        </w:rPr>
      </w:pPr>
    </w:p>
    <w:p w:rsidR="00FC4790" w:rsidRPr="00932911" w:rsidRDefault="003252AB" w:rsidP="00E939BB">
      <w:pPr>
        <w:jc w:val="center"/>
        <w:rPr>
          <w:rFonts w:ascii="Arial" w:hAnsi="Arial" w:cs="Arial"/>
          <w:i/>
          <w:color w:val="FF0000"/>
          <w:sz w:val="24"/>
          <w:szCs w:val="24"/>
        </w:rPr>
      </w:pPr>
      <w:r w:rsidRPr="003252AB">
        <w:rPr>
          <w:rFonts w:ascii="Arial" w:hAnsi="Arial" w:cs="Arial"/>
          <w:i/>
          <w:noProof/>
          <w:color w:val="FF0000"/>
          <w:sz w:val="24"/>
          <w:szCs w:val="24"/>
        </w:rPr>
        <w:drawing>
          <wp:inline distT="0" distB="0" distL="0" distR="0">
            <wp:extent cx="5943600" cy="3104515"/>
            <wp:effectExtent l="19050" t="0" r="19050" b="63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A4998" w:rsidRPr="003252AB" w:rsidRDefault="008A4998" w:rsidP="008A4998">
      <w:pPr>
        <w:jc w:val="center"/>
        <w:rPr>
          <w:rFonts w:ascii="Arial" w:hAnsi="Arial" w:cs="Arial"/>
          <w:i/>
          <w:sz w:val="24"/>
          <w:szCs w:val="24"/>
          <w:lang w:val="it-IT"/>
        </w:rPr>
      </w:pPr>
      <w:r w:rsidRPr="003252AB">
        <w:rPr>
          <w:rFonts w:ascii="Arial" w:hAnsi="Arial" w:cs="Arial"/>
          <w:i/>
          <w:sz w:val="24"/>
          <w:szCs w:val="24"/>
          <w:lang w:val="it-IT"/>
        </w:rPr>
        <w:t xml:space="preserve">                                                              </w:t>
      </w:r>
      <w:r w:rsidR="003252AB" w:rsidRPr="003252AB">
        <w:rPr>
          <w:rFonts w:ascii="Arial" w:hAnsi="Arial" w:cs="Arial"/>
          <w:i/>
          <w:sz w:val="24"/>
          <w:szCs w:val="24"/>
          <w:lang w:val="it-IT"/>
        </w:rPr>
        <w:t xml:space="preserve">                                    </w:t>
      </w:r>
      <w:r w:rsidRPr="003252AB">
        <w:rPr>
          <w:rFonts w:ascii="Arial" w:hAnsi="Arial" w:cs="Arial"/>
          <w:i/>
          <w:sz w:val="24"/>
          <w:szCs w:val="24"/>
          <w:lang w:val="it-IT"/>
        </w:rPr>
        <w:t xml:space="preserve">          Figura nr.1.2.1.2.2.</w:t>
      </w:r>
    </w:p>
    <w:p w:rsidR="00C432E0" w:rsidRDefault="00C432E0" w:rsidP="008A4998">
      <w:pPr>
        <w:jc w:val="both"/>
        <w:rPr>
          <w:rFonts w:ascii="Arial" w:hAnsi="Arial" w:cs="Arial"/>
          <w:b/>
          <w:bCs/>
          <w:sz w:val="24"/>
          <w:szCs w:val="24"/>
          <w:lang w:val="ro-RO"/>
        </w:rPr>
      </w:pPr>
    </w:p>
    <w:p w:rsidR="00C432E0" w:rsidRDefault="00C432E0" w:rsidP="008A4998">
      <w:pPr>
        <w:jc w:val="both"/>
        <w:rPr>
          <w:rFonts w:ascii="Arial" w:hAnsi="Arial" w:cs="Arial"/>
          <w:b/>
          <w:bCs/>
          <w:sz w:val="24"/>
          <w:szCs w:val="24"/>
          <w:lang w:val="ro-RO"/>
        </w:rPr>
      </w:pPr>
    </w:p>
    <w:p w:rsidR="00C432E0" w:rsidRDefault="00C432E0" w:rsidP="008A4998">
      <w:pPr>
        <w:jc w:val="both"/>
        <w:rPr>
          <w:rFonts w:ascii="Arial" w:hAnsi="Arial" w:cs="Arial"/>
          <w:b/>
          <w:bCs/>
          <w:sz w:val="24"/>
          <w:szCs w:val="24"/>
          <w:lang w:val="ro-RO"/>
        </w:rPr>
      </w:pPr>
    </w:p>
    <w:p w:rsidR="008A4998" w:rsidRPr="00C432E0" w:rsidRDefault="008A4998" w:rsidP="008A4998">
      <w:pPr>
        <w:jc w:val="both"/>
        <w:rPr>
          <w:rFonts w:ascii="Arial" w:hAnsi="Arial" w:cs="Arial"/>
          <w:b/>
          <w:bCs/>
          <w:sz w:val="24"/>
          <w:szCs w:val="24"/>
          <w:lang w:val="ro-RO"/>
        </w:rPr>
      </w:pPr>
      <w:r w:rsidRPr="00C432E0">
        <w:rPr>
          <w:rFonts w:ascii="Arial" w:hAnsi="Arial" w:cs="Arial"/>
          <w:b/>
          <w:bCs/>
          <w:sz w:val="24"/>
          <w:szCs w:val="24"/>
          <w:lang w:val="ro-RO"/>
        </w:rPr>
        <w:t>Cod indicator România: RO 03</w:t>
      </w:r>
    </w:p>
    <w:p w:rsidR="008A4998" w:rsidRPr="00C432E0" w:rsidRDefault="008A4998" w:rsidP="008A4998">
      <w:pPr>
        <w:jc w:val="both"/>
        <w:rPr>
          <w:rFonts w:ascii="Arial" w:hAnsi="Arial" w:cs="Arial"/>
          <w:b/>
          <w:bCs/>
          <w:sz w:val="24"/>
          <w:szCs w:val="24"/>
          <w:lang w:val="ro-RO"/>
        </w:rPr>
      </w:pPr>
      <w:r w:rsidRPr="00C432E0">
        <w:rPr>
          <w:rFonts w:ascii="Arial" w:hAnsi="Arial" w:cs="Arial"/>
          <w:b/>
          <w:bCs/>
          <w:sz w:val="24"/>
          <w:szCs w:val="24"/>
          <w:lang w:val="ro-RO"/>
        </w:rPr>
        <w:t>Cod indicator AEM: CSI 03</w:t>
      </w:r>
    </w:p>
    <w:p w:rsidR="008A4998" w:rsidRPr="00C432E0" w:rsidRDefault="008A4998" w:rsidP="008A4998">
      <w:pPr>
        <w:jc w:val="both"/>
        <w:rPr>
          <w:rFonts w:ascii="Arial" w:hAnsi="Arial" w:cs="Arial"/>
          <w:b/>
          <w:bCs/>
          <w:sz w:val="24"/>
          <w:szCs w:val="24"/>
          <w:lang w:val="ro-RO"/>
        </w:rPr>
      </w:pPr>
      <w:r w:rsidRPr="00C432E0">
        <w:rPr>
          <w:rFonts w:ascii="Arial" w:hAnsi="Arial" w:cs="Arial"/>
          <w:b/>
          <w:bCs/>
          <w:sz w:val="24"/>
          <w:szCs w:val="24"/>
          <w:lang w:val="ro-RO"/>
        </w:rPr>
        <w:t xml:space="preserve">DENUMIRE: </w:t>
      </w:r>
      <w:r w:rsidRPr="00C432E0">
        <w:rPr>
          <w:rFonts w:ascii="Arial" w:hAnsi="Arial" w:cs="Arial"/>
          <w:b/>
          <w:bCs/>
          <w:sz w:val="24"/>
          <w:szCs w:val="24"/>
          <w:lang w:val="it-IT"/>
        </w:rPr>
        <w:t>EMISII DE PARTICULE PRIMARE ŞI PRECURSORI SECUNDARI DE PARTICULE</w:t>
      </w:r>
    </w:p>
    <w:p w:rsidR="008A4998" w:rsidRPr="00C432E0" w:rsidRDefault="008A4998" w:rsidP="008A4998">
      <w:pPr>
        <w:rPr>
          <w:rFonts w:ascii="Arial" w:hAnsi="Arial" w:cs="Arial"/>
          <w:sz w:val="24"/>
          <w:szCs w:val="24"/>
          <w:lang w:val="it-IT"/>
        </w:rPr>
      </w:pPr>
      <w:r w:rsidRPr="00C432E0">
        <w:rPr>
          <w:rFonts w:ascii="Arial" w:hAnsi="Arial" w:cs="Arial"/>
          <w:bCs/>
          <w:sz w:val="24"/>
          <w:szCs w:val="24"/>
          <w:lang w:val="ro-RO"/>
        </w:rPr>
        <w:t xml:space="preserve">DEFINITIE: </w:t>
      </w:r>
      <w:r w:rsidRPr="00C432E0">
        <w:rPr>
          <w:rFonts w:ascii="Arial" w:hAnsi="Arial" w:cs="Arial"/>
          <w:sz w:val="24"/>
          <w:szCs w:val="24"/>
          <w:lang w:val="it-IT"/>
        </w:rPr>
        <w:t xml:space="preserve">Acest indicator prezintă tendinţele emisiilor de particule primare cu diametrul mai mic de 2,5 </w:t>
      </w:r>
      <w:r w:rsidRPr="00C432E0">
        <w:rPr>
          <w:rFonts w:ascii="Arial" w:hAnsi="Arial" w:cs="Arial"/>
          <w:sz w:val="24"/>
          <w:szCs w:val="24"/>
        </w:rPr>
        <w:t>μ</w:t>
      </w:r>
      <w:r w:rsidRPr="00C432E0">
        <w:rPr>
          <w:rFonts w:ascii="Arial" w:hAnsi="Arial" w:cs="Arial"/>
          <w:sz w:val="24"/>
          <w:szCs w:val="24"/>
          <w:lang w:val="it-IT"/>
        </w:rPr>
        <w:t xml:space="preserve">m (PM2,5) şi respectiv 10 </w:t>
      </w:r>
      <w:r w:rsidRPr="00C432E0">
        <w:rPr>
          <w:rFonts w:ascii="Arial" w:hAnsi="Arial" w:cs="Arial"/>
          <w:sz w:val="24"/>
          <w:szCs w:val="24"/>
        </w:rPr>
        <w:t>μ</w:t>
      </w:r>
      <w:r w:rsidRPr="00C432E0">
        <w:rPr>
          <w:rFonts w:ascii="Arial" w:hAnsi="Arial" w:cs="Arial"/>
          <w:sz w:val="24"/>
          <w:szCs w:val="24"/>
          <w:lang w:val="it-IT"/>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246ADF" w:rsidRPr="00932911" w:rsidRDefault="00246ADF" w:rsidP="008A4998">
      <w:pPr>
        <w:rPr>
          <w:rFonts w:ascii="Arial" w:hAnsi="Arial" w:cs="Arial"/>
          <w:color w:val="FF0000"/>
          <w:sz w:val="24"/>
          <w:szCs w:val="24"/>
          <w:lang w:val="it-IT"/>
        </w:rPr>
      </w:pPr>
    </w:p>
    <w:p w:rsidR="008A4998" w:rsidRPr="00932911" w:rsidRDefault="008A4998" w:rsidP="008A4998">
      <w:pPr>
        <w:rPr>
          <w:rFonts w:ascii="Arial" w:hAnsi="Arial" w:cs="Arial"/>
          <w:color w:val="FF0000"/>
          <w:sz w:val="24"/>
          <w:szCs w:val="24"/>
          <w:lang w:val="it-IT"/>
        </w:rPr>
      </w:pPr>
    </w:p>
    <w:p w:rsidR="008A4998" w:rsidRPr="00932911" w:rsidRDefault="00973EC0" w:rsidP="00973EC0">
      <w:pPr>
        <w:jc w:val="center"/>
        <w:rPr>
          <w:rFonts w:ascii="Arial" w:hAnsi="Arial" w:cs="Arial"/>
          <w:color w:val="FF0000"/>
          <w:sz w:val="24"/>
          <w:szCs w:val="24"/>
        </w:rPr>
      </w:pPr>
      <w:r w:rsidRPr="00973EC0">
        <w:rPr>
          <w:rFonts w:ascii="Arial" w:hAnsi="Arial" w:cs="Arial"/>
          <w:noProof/>
          <w:color w:val="FF0000"/>
          <w:sz w:val="24"/>
          <w:szCs w:val="24"/>
        </w:rPr>
        <w:drawing>
          <wp:inline distT="0" distB="0" distL="0" distR="0">
            <wp:extent cx="5943600" cy="3104515"/>
            <wp:effectExtent l="19050" t="0" r="19050" b="63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A4998" w:rsidRPr="00973EC0" w:rsidRDefault="008A4998" w:rsidP="008A4998">
      <w:pPr>
        <w:jc w:val="center"/>
        <w:rPr>
          <w:rFonts w:ascii="Arial" w:hAnsi="Arial" w:cs="Arial"/>
          <w:i/>
          <w:sz w:val="24"/>
          <w:szCs w:val="24"/>
          <w:lang w:val="it-IT"/>
        </w:rPr>
      </w:pPr>
      <w:r w:rsidRPr="00932911">
        <w:rPr>
          <w:rFonts w:ascii="Arial" w:hAnsi="Arial" w:cs="Arial"/>
          <w:i/>
          <w:color w:val="FF0000"/>
          <w:sz w:val="24"/>
          <w:szCs w:val="24"/>
          <w:lang w:val="it-IT"/>
        </w:rPr>
        <w:t xml:space="preserve">                                                                      </w:t>
      </w:r>
      <w:r w:rsidR="002D67A6">
        <w:rPr>
          <w:rFonts w:ascii="Arial" w:hAnsi="Arial" w:cs="Arial"/>
          <w:i/>
          <w:color w:val="FF0000"/>
          <w:sz w:val="24"/>
          <w:szCs w:val="24"/>
          <w:lang w:val="it-IT"/>
        </w:rPr>
        <w:t xml:space="preserve">                            </w:t>
      </w:r>
      <w:r w:rsidRPr="00932911">
        <w:rPr>
          <w:rFonts w:ascii="Arial" w:hAnsi="Arial" w:cs="Arial"/>
          <w:i/>
          <w:color w:val="FF0000"/>
          <w:sz w:val="24"/>
          <w:szCs w:val="24"/>
          <w:lang w:val="it-IT"/>
        </w:rPr>
        <w:t xml:space="preserve">  </w:t>
      </w:r>
      <w:r w:rsidRPr="00973EC0">
        <w:rPr>
          <w:rFonts w:ascii="Arial" w:hAnsi="Arial" w:cs="Arial"/>
          <w:i/>
          <w:sz w:val="24"/>
          <w:szCs w:val="24"/>
          <w:lang w:val="it-IT"/>
        </w:rPr>
        <w:t>Figura nr.1.2.1.2.3.</w:t>
      </w:r>
    </w:p>
    <w:p w:rsidR="008A4998" w:rsidRPr="00932911" w:rsidRDefault="008A4998" w:rsidP="008A4998">
      <w:pPr>
        <w:rPr>
          <w:rFonts w:ascii="Arial" w:hAnsi="Arial" w:cs="Arial"/>
          <w:color w:val="FF0000"/>
          <w:sz w:val="24"/>
          <w:szCs w:val="24"/>
          <w:lang w:val="it-IT"/>
        </w:rPr>
      </w:pPr>
    </w:p>
    <w:p w:rsidR="008A4998" w:rsidRPr="00932911" w:rsidRDefault="008A4998" w:rsidP="00E939BB">
      <w:pPr>
        <w:jc w:val="center"/>
        <w:rPr>
          <w:rFonts w:ascii="Arial" w:hAnsi="Arial" w:cs="Arial"/>
          <w:i/>
          <w:color w:val="FF0000"/>
          <w:sz w:val="24"/>
          <w:szCs w:val="24"/>
          <w:lang w:val="it-IT"/>
        </w:rPr>
      </w:pPr>
    </w:p>
    <w:p w:rsidR="008A4998" w:rsidRPr="00B601E6" w:rsidRDefault="008A4998" w:rsidP="008A4998">
      <w:pPr>
        <w:jc w:val="both"/>
        <w:rPr>
          <w:rFonts w:ascii="Arial" w:hAnsi="Arial" w:cs="Arial"/>
          <w:b/>
          <w:bCs/>
          <w:sz w:val="24"/>
          <w:szCs w:val="24"/>
          <w:lang w:val="ro-RO"/>
        </w:rPr>
      </w:pPr>
      <w:r w:rsidRPr="00B601E6">
        <w:rPr>
          <w:rFonts w:ascii="Arial" w:hAnsi="Arial" w:cs="Arial"/>
          <w:b/>
          <w:bCs/>
          <w:sz w:val="24"/>
          <w:szCs w:val="24"/>
          <w:lang w:val="ro-RO"/>
        </w:rPr>
        <w:t>Cod indicator România: RO 38</w:t>
      </w:r>
    </w:p>
    <w:p w:rsidR="008A4998" w:rsidRPr="00B601E6" w:rsidRDefault="008A4998" w:rsidP="008A4998">
      <w:pPr>
        <w:jc w:val="both"/>
        <w:rPr>
          <w:rFonts w:ascii="Arial" w:hAnsi="Arial" w:cs="Arial"/>
          <w:b/>
          <w:bCs/>
          <w:sz w:val="24"/>
          <w:szCs w:val="24"/>
          <w:lang w:val="ro-RO"/>
        </w:rPr>
      </w:pPr>
      <w:r w:rsidRPr="00B601E6">
        <w:rPr>
          <w:rFonts w:ascii="Arial" w:hAnsi="Arial" w:cs="Arial"/>
          <w:b/>
          <w:bCs/>
          <w:sz w:val="24"/>
          <w:szCs w:val="24"/>
          <w:lang w:val="ro-RO"/>
        </w:rPr>
        <w:t>Cod indicator AEM: APE 05</w:t>
      </w:r>
    </w:p>
    <w:p w:rsidR="008A4998" w:rsidRPr="00B601E6" w:rsidRDefault="008A4998" w:rsidP="008A4998">
      <w:pPr>
        <w:jc w:val="both"/>
        <w:rPr>
          <w:rFonts w:ascii="Arial" w:hAnsi="Arial" w:cs="Arial"/>
          <w:b/>
          <w:bCs/>
          <w:sz w:val="24"/>
          <w:szCs w:val="24"/>
          <w:lang w:val="ro-RO"/>
        </w:rPr>
      </w:pPr>
      <w:r w:rsidRPr="00B601E6">
        <w:rPr>
          <w:rFonts w:ascii="Arial" w:hAnsi="Arial" w:cs="Arial"/>
          <w:b/>
          <w:bCs/>
          <w:sz w:val="24"/>
          <w:szCs w:val="24"/>
          <w:lang w:val="ro-RO"/>
        </w:rPr>
        <w:t xml:space="preserve">DENUMIRE: </w:t>
      </w:r>
      <w:r w:rsidRPr="00B601E6">
        <w:rPr>
          <w:rFonts w:ascii="Arial" w:hAnsi="Arial" w:cs="Arial"/>
          <w:b/>
          <w:bCs/>
          <w:sz w:val="24"/>
          <w:szCs w:val="24"/>
          <w:lang w:val="it-IT"/>
        </w:rPr>
        <w:t>EMISII DE METALE GRELE</w:t>
      </w:r>
    </w:p>
    <w:p w:rsidR="008A4998" w:rsidRPr="00B601E6" w:rsidRDefault="008A4998" w:rsidP="008A4998">
      <w:pPr>
        <w:rPr>
          <w:lang w:val="it-IT"/>
        </w:rPr>
      </w:pPr>
      <w:r w:rsidRPr="00B601E6">
        <w:rPr>
          <w:rFonts w:ascii="Arial" w:hAnsi="Arial" w:cs="Arial"/>
          <w:bCs/>
          <w:sz w:val="24"/>
          <w:szCs w:val="24"/>
          <w:lang w:val="ro-RO"/>
        </w:rPr>
        <w:t xml:space="preserve">DEFINITIE: </w:t>
      </w:r>
      <w:r w:rsidRPr="00B601E6">
        <w:rPr>
          <w:rFonts w:ascii="Arial" w:hAnsi="Arial" w:cs="Arial"/>
          <w:sz w:val="24"/>
          <w:szCs w:val="24"/>
          <w:lang w:val="it-IT"/>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r w:rsidRPr="00B601E6">
        <w:rPr>
          <w:lang w:val="it-IT"/>
        </w:rPr>
        <w:t>.</w:t>
      </w:r>
    </w:p>
    <w:p w:rsidR="001506F0" w:rsidRDefault="001506F0" w:rsidP="00D67E0C">
      <w:pPr>
        <w:jc w:val="center"/>
        <w:rPr>
          <w:rFonts w:ascii="Arial" w:hAnsi="Arial" w:cs="Arial"/>
          <w:i/>
          <w:color w:val="FF0000"/>
          <w:sz w:val="24"/>
          <w:szCs w:val="24"/>
          <w:lang w:val="it-IT"/>
        </w:rPr>
      </w:pPr>
    </w:p>
    <w:p w:rsidR="00D67E0C" w:rsidRPr="00932911" w:rsidRDefault="00D67E0C" w:rsidP="00D67E0C">
      <w:pPr>
        <w:jc w:val="center"/>
        <w:rPr>
          <w:rFonts w:ascii="Arial" w:hAnsi="Arial" w:cs="Arial"/>
          <w:i/>
          <w:color w:val="FF0000"/>
          <w:sz w:val="24"/>
          <w:szCs w:val="24"/>
          <w:lang w:val="it-IT"/>
        </w:rPr>
      </w:pPr>
      <w:r w:rsidRPr="00D67E0C">
        <w:rPr>
          <w:rFonts w:ascii="Arial" w:hAnsi="Arial" w:cs="Arial"/>
          <w:i/>
          <w:noProof/>
          <w:color w:val="FF0000"/>
          <w:sz w:val="24"/>
          <w:szCs w:val="24"/>
        </w:rPr>
        <w:drawing>
          <wp:inline distT="0" distB="0" distL="0" distR="0">
            <wp:extent cx="5943600" cy="3104515"/>
            <wp:effectExtent l="19050" t="0" r="19050" b="635"/>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A4998" w:rsidRPr="005763EE" w:rsidRDefault="008A4998" w:rsidP="005763EE">
      <w:pPr>
        <w:jc w:val="center"/>
        <w:rPr>
          <w:rFonts w:ascii="Arial" w:hAnsi="Arial" w:cs="Arial"/>
          <w:i/>
          <w:sz w:val="24"/>
          <w:szCs w:val="24"/>
          <w:lang w:val="it-IT"/>
        </w:rPr>
      </w:pPr>
      <w:r w:rsidRPr="005763EE">
        <w:rPr>
          <w:rFonts w:ascii="Arial" w:hAnsi="Arial" w:cs="Arial"/>
          <w:i/>
          <w:sz w:val="24"/>
          <w:szCs w:val="24"/>
          <w:lang w:val="it-IT"/>
        </w:rPr>
        <w:t xml:space="preserve">              </w:t>
      </w:r>
      <w:r w:rsidR="005763EE">
        <w:rPr>
          <w:rFonts w:ascii="Arial" w:hAnsi="Arial" w:cs="Arial"/>
          <w:i/>
          <w:sz w:val="24"/>
          <w:szCs w:val="24"/>
          <w:lang w:val="it-IT"/>
        </w:rPr>
        <w:t xml:space="preserve">                                                                                 </w:t>
      </w:r>
      <w:r w:rsidRPr="005763EE">
        <w:rPr>
          <w:rFonts w:ascii="Arial" w:hAnsi="Arial" w:cs="Arial"/>
          <w:i/>
          <w:sz w:val="24"/>
          <w:szCs w:val="24"/>
          <w:lang w:val="it-IT"/>
        </w:rPr>
        <w:t xml:space="preserve">    Figura nr.1.2.1.2.4.</w:t>
      </w:r>
    </w:p>
    <w:p w:rsidR="008A4998" w:rsidRPr="005763EE" w:rsidRDefault="008A4998" w:rsidP="00E939BB">
      <w:pPr>
        <w:jc w:val="center"/>
        <w:rPr>
          <w:rFonts w:ascii="Arial" w:hAnsi="Arial" w:cs="Arial"/>
          <w:i/>
          <w:sz w:val="24"/>
          <w:szCs w:val="24"/>
          <w:lang w:val="it-IT"/>
        </w:rPr>
      </w:pPr>
    </w:p>
    <w:p w:rsidR="008A4998" w:rsidRPr="00932911" w:rsidRDefault="008A4998" w:rsidP="00E939BB">
      <w:pPr>
        <w:jc w:val="center"/>
        <w:rPr>
          <w:rFonts w:ascii="Arial" w:hAnsi="Arial" w:cs="Arial"/>
          <w:i/>
          <w:color w:val="FF0000"/>
          <w:sz w:val="24"/>
          <w:szCs w:val="24"/>
          <w:lang w:val="it-IT"/>
        </w:rPr>
      </w:pPr>
    </w:p>
    <w:p w:rsidR="005763EE" w:rsidRDefault="005763EE" w:rsidP="008A4998">
      <w:pPr>
        <w:jc w:val="both"/>
        <w:rPr>
          <w:rFonts w:ascii="Arial" w:hAnsi="Arial" w:cs="Arial"/>
          <w:b/>
          <w:bCs/>
          <w:sz w:val="24"/>
          <w:szCs w:val="24"/>
          <w:lang w:val="ro-RO"/>
        </w:rPr>
      </w:pPr>
    </w:p>
    <w:p w:rsidR="005763EE" w:rsidRDefault="005763EE" w:rsidP="008A4998">
      <w:pPr>
        <w:jc w:val="both"/>
        <w:rPr>
          <w:rFonts w:ascii="Arial" w:hAnsi="Arial" w:cs="Arial"/>
          <w:b/>
          <w:bCs/>
          <w:sz w:val="24"/>
          <w:szCs w:val="24"/>
          <w:lang w:val="ro-RO"/>
        </w:rPr>
      </w:pPr>
    </w:p>
    <w:p w:rsidR="005763EE" w:rsidRDefault="005763EE" w:rsidP="008A4998">
      <w:pPr>
        <w:jc w:val="both"/>
        <w:rPr>
          <w:rFonts w:ascii="Arial" w:hAnsi="Arial" w:cs="Arial"/>
          <w:b/>
          <w:bCs/>
          <w:sz w:val="24"/>
          <w:szCs w:val="24"/>
          <w:lang w:val="ro-RO"/>
        </w:rPr>
      </w:pPr>
    </w:p>
    <w:p w:rsidR="005763EE" w:rsidRDefault="005763EE" w:rsidP="008A4998">
      <w:pPr>
        <w:jc w:val="both"/>
        <w:rPr>
          <w:rFonts w:ascii="Arial" w:hAnsi="Arial" w:cs="Arial"/>
          <w:b/>
          <w:bCs/>
          <w:sz w:val="24"/>
          <w:szCs w:val="24"/>
          <w:lang w:val="ro-RO"/>
        </w:rPr>
      </w:pPr>
    </w:p>
    <w:p w:rsidR="008A4998" w:rsidRPr="00C21CCF" w:rsidRDefault="008A4998" w:rsidP="008A4998">
      <w:pPr>
        <w:jc w:val="both"/>
        <w:rPr>
          <w:rFonts w:ascii="Arial" w:hAnsi="Arial" w:cs="Arial"/>
          <w:b/>
          <w:bCs/>
          <w:sz w:val="24"/>
          <w:szCs w:val="24"/>
          <w:lang w:val="ro-RO"/>
        </w:rPr>
      </w:pPr>
      <w:r w:rsidRPr="00C21CCF">
        <w:rPr>
          <w:rFonts w:ascii="Arial" w:hAnsi="Arial" w:cs="Arial"/>
          <w:b/>
          <w:bCs/>
          <w:sz w:val="24"/>
          <w:szCs w:val="24"/>
          <w:lang w:val="ro-RO"/>
        </w:rPr>
        <w:t>Cod indicator România: RO 39</w:t>
      </w:r>
    </w:p>
    <w:p w:rsidR="008A4998" w:rsidRPr="00C21CCF" w:rsidRDefault="008A4998" w:rsidP="008A4998">
      <w:pPr>
        <w:jc w:val="both"/>
        <w:rPr>
          <w:rFonts w:ascii="Arial" w:hAnsi="Arial" w:cs="Arial"/>
          <w:b/>
          <w:bCs/>
          <w:sz w:val="24"/>
          <w:szCs w:val="24"/>
          <w:lang w:val="ro-RO"/>
        </w:rPr>
      </w:pPr>
      <w:r w:rsidRPr="00C21CCF">
        <w:rPr>
          <w:rFonts w:ascii="Arial" w:hAnsi="Arial" w:cs="Arial"/>
          <w:b/>
          <w:bCs/>
          <w:sz w:val="24"/>
          <w:szCs w:val="24"/>
          <w:lang w:val="ro-RO"/>
        </w:rPr>
        <w:t>Cod indicator AEM: APE 06</w:t>
      </w:r>
    </w:p>
    <w:p w:rsidR="008A4998" w:rsidRPr="00C21CCF" w:rsidRDefault="008A4998" w:rsidP="008A4998">
      <w:pPr>
        <w:jc w:val="both"/>
        <w:rPr>
          <w:rFonts w:ascii="Arial" w:hAnsi="Arial" w:cs="Arial"/>
          <w:b/>
          <w:bCs/>
          <w:sz w:val="24"/>
          <w:szCs w:val="24"/>
          <w:lang w:val="it-IT"/>
        </w:rPr>
      </w:pPr>
      <w:r w:rsidRPr="00C21CCF">
        <w:rPr>
          <w:rFonts w:ascii="Arial" w:hAnsi="Arial" w:cs="Arial"/>
          <w:b/>
          <w:bCs/>
          <w:sz w:val="24"/>
          <w:szCs w:val="24"/>
          <w:lang w:val="ro-RO"/>
        </w:rPr>
        <w:t xml:space="preserve">DENUMIRE: </w:t>
      </w:r>
      <w:r w:rsidRPr="00C21CCF">
        <w:rPr>
          <w:rFonts w:ascii="Arial" w:hAnsi="Arial" w:cs="Arial"/>
          <w:b/>
          <w:bCs/>
          <w:sz w:val="24"/>
          <w:szCs w:val="24"/>
          <w:lang w:val="it-IT"/>
        </w:rPr>
        <w:t>EMISII DE POLUANTI ORGANICI PERSISTENTI</w:t>
      </w:r>
    </w:p>
    <w:p w:rsidR="008A4998" w:rsidRPr="00C21CCF" w:rsidRDefault="008A4998" w:rsidP="008A4998">
      <w:pPr>
        <w:jc w:val="both"/>
        <w:rPr>
          <w:rFonts w:ascii="Arial" w:hAnsi="Arial" w:cs="Arial"/>
          <w:b/>
          <w:bCs/>
          <w:sz w:val="24"/>
          <w:szCs w:val="24"/>
          <w:lang w:val="it-IT"/>
        </w:rPr>
      </w:pPr>
    </w:p>
    <w:p w:rsidR="008A4998" w:rsidRDefault="008A4998" w:rsidP="008A4998">
      <w:pPr>
        <w:jc w:val="both"/>
        <w:rPr>
          <w:rFonts w:ascii="Arial" w:hAnsi="Arial" w:cs="Arial"/>
          <w:sz w:val="24"/>
          <w:szCs w:val="24"/>
          <w:lang w:val="it-IT"/>
        </w:rPr>
      </w:pPr>
      <w:r w:rsidRPr="00C21CCF">
        <w:rPr>
          <w:rFonts w:ascii="Arial" w:hAnsi="Arial" w:cs="Arial"/>
          <w:bCs/>
          <w:sz w:val="24"/>
          <w:szCs w:val="24"/>
          <w:lang w:val="ro-RO"/>
        </w:rPr>
        <w:t xml:space="preserve">DEFINITIE: </w:t>
      </w:r>
      <w:r w:rsidRPr="00C21CCF">
        <w:rPr>
          <w:rFonts w:ascii="Arial" w:hAnsi="Arial" w:cs="Arial"/>
          <w:sz w:val="24"/>
          <w:szCs w:val="24"/>
          <w:lang w:val="it-IT"/>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3E3E9A" w:rsidRDefault="003E3E9A" w:rsidP="008A4998">
      <w:pPr>
        <w:jc w:val="both"/>
        <w:rPr>
          <w:rFonts w:ascii="Arial" w:hAnsi="Arial" w:cs="Arial"/>
          <w:sz w:val="24"/>
          <w:szCs w:val="24"/>
          <w:lang w:val="it-IT"/>
        </w:rPr>
      </w:pPr>
    </w:p>
    <w:p w:rsidR="001E2D83" w:rsidRPr="00C21CCF" w:rsidRDefault="00344254" w:rsidP="00344254">
      <w:pPr>
        <w:jc w:val="center"/>
        <w:rPr>
          <w:rFonts w:ascii="Arial" w:hAnsi="Arial" w:cs="Arial"/>
          <w:b/>
          <w:bCs/>
          <w:sz w:val="24"/>
          <w:szCs w:val="24"/>
          <w:lang w:val="ro-RO"/>
        </w:rPr>
      </w:pPr>
      <w:r w:rsidRPr="00344254">
        <w:rPr>
          <w:rFonts w:ascii="Arial" w:hAnsi="Arial" w:cs="Arial"/>
          <w:b/>
          <w:bCs/>
          <w:noProof/>
          <w:sz w:val="24"/>
          <w:szCs w:val="24"/>
        </w:rPr>
        <w:drawing>
          <wp:inline distT="0" distB="0" distL="0" distR="0">
            <wp:extent cx="5943600" cy="3104515"/>
            <wp:effectExtent l="19050" t="0" r="19050" b="635"/>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A4998" w:rsidRPr="00C21CCF" w:rsidRDefault="00C21CCF" w:rsidP="00C21CCF">
      <w:pPr>
        <w:rPr>
          <w:rFonts w:ascii="Arial" w:hAnsi="Arial" w:cs="Arial"/>
          <w:i/>
          <w:sz w:val="24"/>
          <w:szCs w:val="24"/>
        </w:rPr>
      </w:pPr>
      <w:r w:rsidRPr="00C21CCF">
        <w:rPr>
          <w:rFonts w:ascii="Arial" w:hAnsi="Arial" w:cs="Arial"/>
          <w:i/>
          <w:sz w:val="24"/>
          <w:szCs w:val="24"/>
        </w:rPr>
        <w:t xml:space="preserve">                                                                                                                 </w:t>
      </w:r>
      <w:r w:rsidR="008A4998" w:rsidRPr="00C21CCF">
        <w:rPr>
          <w:rFonts w:ascii="Arial" w:hAnsi="Arial" w:cs="Arial"/>
          <w:i/>
          <w:sz w:val="24"/>
          <w:szCs w:val="24"/>
        </w:rPr>
        <w:t>Figura nr.1.2.1.2.5.</w:t>
      </w:r>
    </w:p>
    <w:p w:rsidR="002A2EFA" w:rsidRPr="00C27C29" w:rsidRDefault="002A2EFA" w:rsidP="002A2EFA">
      <w:pPr>
        <w:ind w:left="1418"/>
        <w:rPr>
          <w:rFonts w:ascii="Arial" w:hAnsi="Arial" w:cs="Arial"/>
          <w:sz w:val="24"/>
          <w:szCs w:val="24"/>
          <w:lang w:val="ro-RO"/>
        </w:rPr>
      </w:pPr>
    </w:p>
    <w:p w:rsidR="00E939BB" w:rsidRDefault="00E939BB" w:rsidP="002A2EFA">
      <w:pPr>
        <w:ind w:left="1135"/>
        <w:rPr>
          <w:rFonts w:ascii="Arial" w:hAnsi="Arial" w:cs="Arial"/>
          <w:sz w:val="24"/>
          <w:szCs w:val="24"/>
          <w:lang w:val="ro-RO"/>
        </w:rPr>
      </w:pPr>
    </w:p>
    <w:p w:rsidR="00C27C29" w:rsidRPr="00493DE7" w:rsidRDefault="002A2EFA" w:rsidP="002A2EFA">
      <w:pPr>
        <w:ind w:left="1135"/>
        <w:rPr>
          <w:rFonts w:ascii="Arial" w:hAnsi="Arial" w:cs="Arial"/>
          <w:b/>
          <w:sz w:val="24"/>
          <w:szCs w:val="24"/>
          <w:lang w:val="ro-RO"/>
        </w:rPr>
      </w:pPr>
      <w:r w:rsidRPr="00493DE7">
        <w:rPr>
          <w:rFonts w:ascii="Arial" w:hAnsi="Arial" w:cs="Arial"/>
          <w:b/>
          <w:sz w:val="24"/>
          <w:szCs w:val="24"/>
          <w:lang w:val="ro-RO"/>
        </w:rPr>
        <w:t>I.2.1.3.</w:t>
      </w:r>
      <w:r w:rsidR="00C27C29" w:rsidRPr="00493DE7">
        <w:rPr>
          <w:rFonts w:ascii="Arial" w:hAnsi="Arial" w:cs="Arial"/>
          <w:b/>
          <w:sz w:val="24"/>
          <w:szCs w:val="24"/>
          <w:lang w:val="ro-RO"/>
        </w:rPr>
        <w:t xml:space="preserve">Transportul </w:t>
      </w:r>
      <w:r w:rsidR="00C27C29" w:rsidRPr="00493DE7">
        <w:rPr>
          <w:rFonts w:ascii="Arial" w:hAnsi="Arial" w:cs="Arial"/>
          <w:b/>
          <w:sz w:val="24"/>
          <w:szCs w:val="24"/>
          <w:lang w:val="ro-RO"/>
        </w:rPr>
        <w:tab/>
      </w:r>
    </w:p>
    <w:p w:rsidR="008A4998" w:rsidRDefault="008A4998" w:rsidP="008A4998">
      <w:pPr>
        <w:ind w:left="1135"/>
        <w:rPr>
          <w:rFonts w:ascii="Arial" w:hAnsi="Arial" w:cs="Arial"/>
          <w:sz w:val="24"/>
          <w:szCs w:val="24"/>
          <w:lang w:val="ro-RO"/>
        </w:rPr>
      </w:pPr>
    </w:p>
    <w:p w:rsidR="008A4998" w:rsidRDefault="008A4998" w:rsidP="008A4998">
      <w:pPr>
        <w:numPr>
          <w:ilvl w:val="0"/>
          <w:numId w:val="43"/>
        </w:numPr>
        <w:rPr>
          <w:rFonts w:ascii="Arial" w:hAnsi="Arial" w:cs="Arial"/>
          <w:b/>
          <w:sz w:val="24"/>
          <w:szCs w:val="24"/>
        </w:rPr>
      </w:pPr>
      <w:r w:rsidRPr="00FC4790">
        <w:rPr>
          <w:rFonts w:ascii="Arial" w:hAnsi="Arial" w:cs="Arial"/>
          <w:b/>
          <w:sz w:val="24"/>
          <w:szCs w:val="24"/>
        </w:rPr>
        <w:t>Indicatori specifici</w:t>
      </w:r>
    </w:p>
    <w:p w:rsidR="008A4998" w:rsidRPr="00FC4790" w:rsidRDefault="008A4998" w:rsidP="008A4998">
      <w:pPr>
        <w:ind w:left="720"/>
        <w:rPr>
          <w:rFonts w:ascii="Arial" w:hAnsi="Arial" w:cs="Arial"/>
          <w:b/>
          <w:sz w:val="24"/>
          <w:szCs w:val="24"/>
        </w:rPr>
      </w:pPr>
    </w:p>
    <w:p w:rsidR="008A4998" w:rsidRPr="00D352C7" w:rsidRDefault="008A4998" w:rsidP="008A4998">
      <w:pPr>
        <w:jc w:val="both"/>
        <w:rPr>
          <w:rFonts w:ascii="Arial" w:hAnsi="Arial" w:cs="Arial"/>
          <w:b/>
          <w:bCs/>
          <w:sz w:val="24"/>
          <w:szCs w:val="24"/>
          <w:lang w:val="ro-RO"/>
        </w:rPr>
      </w:pPr>
      <w:r w:rsidRPr="00D352C7">
        <w:rPr>
          <w:rFonts w:ascii="Arial" w:hAnsi="Arial" w:cs="Arial"/>
          <w:b/>
          <w:bCs/>
          <w:sz w:val="24"/>
          <w:szCs w:val="24"/>
          <w:lang w:val="ro-RO"/>
        </w:rPr>
        <w:t>Cod indicator România: RO 01</w:t>
      </w:r>
    </w:p>
    <w:p w:rsidR="008A4998" w:rsidRPr="00D352C7" w:rsidRDefault="008A4998" w:rsidP="008A4998">
      <w:pPr>
        <w:jc w:val="both"/>
        <w:rPr>
          <w:rFonts w:ascii="Arial" w:hAnsi="Arial" w:cs="Arial"/>
          <w:b/>
          <w:bCs/>
          <w:sz w:val="24"/>
          <w:szCs w:val="24"/>
          <w:lang w:val="ro-RO"/>
        </w:rPr>
      </w:pPr>
      <w:r w:rsidRPr="00D352C7">
        <w:rPr>
          <w:rFonts w:ascii="Arial" w:hAnsi="Arial" w:cs="Arial"/>
          <w:b/>
          <w:bCs/>
          <w:sz w:val="24"/>
          <w:szCs w:val="24"/>
          <w:lang w:val="ro-RO"/>
        </w:rPr>
        <w:t xml:space="preserve">Cod indicator AEM: CSI 01 </w:t>
      </w:r>
    </w:p>
    <w:p w:rsidR="008A4998" w:rsidRPr="00D352C7" w:rsidRDefault="008A4998" w:rsidP="008A4998">
      <w:pPr>
        <w:jc w:val="both"/>
        <w:rPr>
          <w:rFonts w:ascii="Arial" w:hAnsi="Arial" w:cs="Arial"/>
          <w:b/>
          <w:bCs/>
          <w:sz w:val="24"/>
          <w:szCs w:val="24"/>
          <w:lang w:val="ro-RO"/>
        </w:rPr>
      </w:pPr>
      <w:r w:rsidRPr="00D352C7">
        <w:rPr>
          <w:rFonts w:ascii="Arial" w:hAnsi="Arial" w:cs="Arial"/>
          <w:b/>
          <w:bCs/>
          <w:sz w:val="24"/>
          <w:szCs w:val="24"/>
          <w:lang w:val="ro-RO"/>
        </w:rPr>
        <w:t xml:space="preserve">DENUMIRE: EMISIILE DE SUBSTANTE ACIDIFIANTE </w:t>
      </w:r>
    </w:p>
    <w:p w:rsidR="008A4998" w:rsidRDefault="008A4998" w:rsidP="008A4998">
      <w:pPr>
        <w:rPr>
          <w:rFonts w:ascii="Arial" w:hAnsi="Arial" w:cs="Arial"/>
          <w:sz w:val="24"/>
          <w:szCs w:val="24"/>
          <w:lang w:val="it-IT"/>
        </w:rPr>
      </w:pPr>
      <w:r w:rsidRPr="00C65BB7">
        <w:rPr>
          <w:rFonts w:ascii="Arial" w:hAnsi="Arial" w:cs="Arial"/>
          <w:bCs/>
          <w:sz w:val="24"/>
          <w:szCs w:val="24"/>
          <w:lang w:val="ro-RO"/>
        </w:rPr>
        <w:t>DEFINITIE:</w:t>
      </w:r>
      <w:r w:rsidRPr="00D129ED">
        <w:rPr>
          <w:rFonts w:ascii="Arial" w:hAnsi="Arial" w:cs="Arial"/>
          <w:sz w:val="24"/>
          <w:szCs w:val="24"/>
          <w:lang w:val="ro-RO"/>
        </w:rPr>
        <w:t xml:space="preserve"> Indicatorul urmăreşte tendinţele emisiilor antropice ale substanţelor acidifiante: oxizi de azot (NOx), amoniac (NH3) şi oxizi de sulf (SOx, SO2), la fiecare dintre acestea ţinânduse cont de potenţialul său acidifiant. </w:t>
      </w:r>
      <w:r w:rsidRPr="00D129ED">
        <w:rPr>
          <w:rFonts w:ascii="Arial" w:hAnsi="Arial" w:cs="Arial"/>
          <w:sz w:val="24"/>
          <w:szCs w:val="24"/>
          <w:lang w:val="it-IT"/>
        </w:rPr>
        <w:t>Indicatorul oferă de asemenea informaţii referitoare la modificările survenite în emisiile provenite de la principalele sectoare sursă:</w:t>
      </w:r>
      <w:r w:rsidRPr="00D129ED">
        <w:rPr>
          <w:lang w:val="it-IT"/>
        </w:rPr>
        <w:t xml:space="preserve"> </w:t>
      </w:r>
      <w:r w:rsidRPr="00D129ED">
        <w:rPr>
          <w:rFonts w:ascii="Arial" w:hAnsi="Arial" w:cs="Arial"/>
          <w:sz w:val="24"/>
          <w:szCs w:val="24"/>
          <w:lang w:val="it-IT"/>
        </w:rPr>
        <w:t>producerea şi distribuţia energiei; utilizarea energiei în industrie; procesele industriale; transport rutier; transport nerutier; sectorul comercial, industrial şi gospodării; folosirea solvenţilor şi a produselor; agricultură; deşeuri; altele.</w:t>
      </w:r>
    </w:p>
    <w:p w:rsidR="00546619" w:rsidRDefault="00546619" w:rsidP="008A4998">
      <w:pPr>
        <w:rPr>
          <w:rFonts w:ascii="Arial" w:hAnsi="Arial" w:cs="Arial"/>
          <w:sz w:val="24"/>
          <w:szCs w:val="24"/>
          <w:lang w:val="it-IT"/>
        </w:rPr>
      </w:pPr>
    </w:p>
    <w:p w:rsidR="00546619" w:rsidRPr="00D129ED" w:rsidRDefault="0054415C" w:rsidP="00546619">
      <w:pPr>
        <w:jc w:val="center"/>
        <w:rPr>
          <w:rFonts w:ascii="Arial" w:hAnsi="Arial" w:cs="Arial"/>
          <w:sz w:val="24"/>
          <w:szCs w:val="24"/>
          <w:lang w:val="it-IT"/>
        </w:rPr>
      </w:pPr>
      <w:r w:rsidRPr="0054415C">
        <w:rPr>
          <w:rFonts w:ascii="Arial" w:hAnsi="Arial" w:cs="Arial"/>
          <w:noProof/>
          <w:sz w:val="24"/>
          <w:szCs w:val="24"/>
        </w:rPr>
        <w:drawing>
          <wp:inline distT="0" distB="0" distL="0" distR="0">
            <wp:extent cx="5943600" cy="2463165"/>
            <wp:effectExtent l="19050" t="0" r="19050" b="0"/>
            <wp:docPr id="4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A4998" w:rsidRDefault="009B78FE" w:rsidP="009B78FE">
      <w:pPr>
        <w:jc w:val="center"/>
        <w:rPr>
          <w:rFonts w:ascii="Arial" w:hAnsi="Arial" w:cs="Arial"/>
          <w:sz w:val="24"/>
          <w:szCs w:val="24"/>
          <w:lang w:val="ro-RO"/>
        </w:rPr>
      </w:pPr>
      <w:r>
        <w:rPr>
          <w:rFonts w:ascii="Arial" w:hAnsi="Arial" w:cs="Arial"/>
          <w:sz w:val="24"/>
          <w:szCs w:val="24"/>
          <w:lang w:val="ro-RO"/>
        </w:rPr>
        <w:t xml:space="preserve">                                    </w:t>
      </w:r>
      <w:r w:rsidR="00D854BA">
        <w:rPr>
          <w:rFonts w:ascii="Arial" w:hAnsi="Arial" w:cs="Arial"/>
          <w:sz w:val="24"/>
          <w:szCs w:val="24"/>
          <w:lang w:val="ro-RO"/>
        </w:rPr>
        <w:t xml:space="preserve">             </w:t>
      </w:r>
      <w:r w:rsidR="00E73797">
        <w:rPr>
          <w:rFonts w:ascii="Arial" w:hAnsi="Arial" w:cs="Arial"/>
          <w:sz w:val="24"/>
          <w:szCs w:val="24"/>
          <w:lang w:val="ro-RO"/>
        </w:rPr>
        <w:t xml:space="preserve">                </w:t>
      </w:r>
      <w:r w:rsidR="00D854BA">
        <w:rPr>
          <w:rFonts w:ascii="Arial" w:hAnsi="Arial" w:cs="Arial"/>
          <w:sz w:val="24"/>
          <w:szCs w:val="24"/>
          <w:lang w:val="ro-RO"/>
        </w:rPr>
        <w:t xml:space="preserve">  </w:t>
      </w:r>
      <w:r w:rsidR="00E73797">
        <w:rPr>
          <w:rFonts w:ascii="Arial" w:hAnsi="Arial" w:cs="Arial"/>
          <w:sz w:val="24"/>
          <w:szCs w:val="24"/>
          <w:lang w:val="ro-RO"/>
        </w:rPr>
        <w:t xml:space="preserve">                                             </w:t>
      </w:r>
      <w:r>
        <w:rPr>
          <w:rFonts w:ascii="Arial" w:hAnsi="Arial" w:cs="Arial"/>
          <w:sz w:val="24"/>
          <w:szCs w:val="24"/>
          <w:lang w:val="ro-RO"/>
        </w:rPr>
        <w:t xml:space="preserve">  Figura </w:t>
      </w:r>
      <w:r w:rsidRPr="002A2EFA">
        <w:rPr>
          <w:rFonts w:ascii="Arial" w:hAnsi="Arial" w:cs="Arial"/>
          <w:sz w:val="24"/>
          <w:szCs w:val="24"/>
          <w:lang w:val="ro-RO"/>
        </w:rPr>
        <w:t>I.2.1.3.</w:t>
      </w:r>
      <w:r>
        <w:rPr>
          <w:rFonts w:ascii="Arial" w:hAnsi="Arial" w:cs="Arial"/>
          <w:sz w:val="24"/>
          <w:szCs w:val="24"/>
          <w:lang w:val="ro-RO"/>
        </w:rPr>
        <w:t>1</w:t>
      </w:r>
    </w:p>
    <w:p w:rsidR="00762613" w:rsidRDefault="00762613" w:rsidP="009B78FE">
      <w:pPr>
        <w:jc w:val="center"/>
        <w:rPr>
          <w:rFonts w:ascii="Arial" w:hAnsi="Arial" w:cs="Arial"/>
          <w:sz w:val="24"/>
          <w:szCs w:val="24"/>
        </w:rPr>
      </w:pPr>
    </w:p>
    <w:p w:rsidR="00544B17" w:rsidRDefault="00544B17" w:rsidP="009B78FE">
      <w:pPr>
        <w:jc w:val="center"/>
        <w:rPr>
          <w:rFonts w:ascii="Arial" w:hAnsi="Arial" w:cs="Arial"/>
          <w:sz w:val="24"/>
          <w:szCs w:val="24"/>
        </w:rPr>
      </w:pPr>
    </w:p>
    <w:p w:rsidR="00544B17" w:rsidRDefault="004615C9" w:rsidP="009B78FE">
      <w:pPr>
        <w:jc w:val="center"/>
        <w:rPr>
          <w:rFonts w:ascii="Arial" w:hAnsi="Arial" w:cs="Arial"/>
          <w:sz w:val="24"/>
          <w:szCs w:val="24"/>
        </w:rPr>
      </w:pPr>
      <w:r w:rsidRPr="004615C9">
        <w:rPr>
          <w:rFonts w:ascii="Arial" w:hAnsi="Arial" w:cs="Arial"/>
          <w:noProof/>
          <w:sz w:val="24"/>
          <w:szCs w:val="24"/>
        </w:rPr>
        <w:drawing>
          <wp:inline distT="0" distB="0" distL="0" distR="0">
            <wp:extent cx="5940005" cy="2622431"/>
            <wp:effectExtent l="19050" t="0" r="22645" b="6469"/>
            <wp:docPr id="4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621A1" w:rsidRDefault="009621A1" w:rsidP="009B78FE">
      <w:pPr>
        <w:jc w:val="center"/>
        <w:rPr>
          <w:rFonts w:ascii="Arial" w:hAnsi="Arial" w:cs="Arial"/>
          <w:sz w:val="24"/>
          <w:szCs w:val="24"/>
        </w:rPr>
      </w:pPr>
    </w:p>
    <w:p w:rsidR="008A4998" w:rsidRPr="00D129ED" w:rsidRDefault="006A0F61" w:rsidP="008A4998">
      <w:pPr>
        <w:jc w:val="center"/>
        <w:rPr>
          <w:rFonts w:ascii="Arial" w:hAnsi="Arial" w:cs="Arial"/>
          <w:i/>
          <w:sz w:val="24"/>
          <w:szCs w:val="24"/>
          <w:lang w:val="it-IT"/>
        </w:rPr>
      </w:pPr>
      <w:r>
        <w:rPr>
          <w:rFonts w:ascii="Arial" w:hAnsi="Arial" w:cs="Arial"/>
          <w:sz w:val="24"/>
          <w:szCs w:val="24"/>
          <w:lang w:val="ro-RO"/>
        </w:rPr>
        <w:t xml:space="preserve">                          </w:t>
      </w:r>
      <w:r w:rsidR="00D854BA">
        <w:rPr>
          <w:rFonts w:ascii="Arial" w:hAnsi="Arial" w:cs="Arial"/>
          <w:sz w:val="24"/>
          <w:szCs w:val="24"/>
          <w:lang w:val="ro-RO"/>
        </w:rPr>
        <w:t xml:space="preserve">                                                               </w:t>
      </w:r>
      <w:r w:rsidR="00BA65AD">
        <w:rPr>
          <w:rFonts w:ascii="Arial" w:hAnsi="Arial" w:cs="Arial"/>
          <w:sz w:val="24"/>
          <w:szCs w:val="24"/>
          <w:lang w:val="ro-RO"/>
        </w:rPr>
        <w:t xml:space="preserve">                   </w:t>
      </w:r>
      <w:r w:rsidR="00D854BA">
        <w:rPr>
          <w:rFonts w:ascii="Arial" w:hAnsi="Arial" w:cs="Arial"/>
          <w:sz w:val="24"/>
          <w:szCs w:val="24"/>
          <w:lang w:val="ro-RO"/>
        </w:rPr>
        <w:t xml:space="preserve">    </w:t>
      </w:r>
      <w:r>
        <w:rPr>
          <w:rFonts w:ascii="Arial" w:hAnsi="Arial" w:cs="Arial"/>
          <w:sz w:val="24"/>
          <w:szCs w:val="24"/>
          <w:lang w:val="ro-RO"/>
        </w:rPr>
        <w:t xml:space="preserve"> Figura </w:t>
      </w:r>
      <w:r w:rsidRPr="002A2EFA">
        <w:rPr>
          <w:rFonts w:ascii="Arial" w:hAnsi="Arial" w:cs="Arial"/>
          <w:sz w:val="24"/>
          <w:szCs w:val="24"/>
          <w:lang w:val="ro-RO"/>
        </w:rPr>
        <w:t>I.2.1.3.</w:t>
      </w:r>
      <w:r>
        <w:rPr>
          <w:rFonts w:ascii="Arial" w:hAnsi="Arial" w:cs="Arial"/>
          <w:sz w:val="24"/>
          <w:szCs w:val="24"/>
          <w:lang w:val="ro-RO"/>
        </w:rPr>
        <w:t>2</w:t>
      </w:r>
    </w:p>
    <w:p w:rsidR="00BA65AD" w:rsidRDefault="00BA65AD" w:rsidP="008A4998">
      <w:pPr>
        <w:jc w:val="both"/>
        <w:rPr>
          <w:rFonts w:ascii="Arial" w:hAnsi="Arial" w:cs="Arial"/>
          <w:b/>
          <w:bCs/>
          <w:sz w:val="24"/>
          <w:szCs w:val="24"/>
          <w:lang w:val="ro-RO"/>
        </w:rPr>
      </w:pPr>
    </w:p>
    <w:p w:rsidR="00BA65AD" w:rsidRDefault="00BA65AD" w:rsidP="008A4998">
      <w:pPr>
        <w:jc w:val="both"/>
        <w:rPr>
          <w:rFonts w:ascii="Arial" w:hAnsi="Arial" w:cs="Arial"/>
          <w:b/>
          <w:bCs/>
          <w:sz w:val="24"/>
          <w:szCs w:val="24"/>
          <w:lang w:val="ro-RO"/>
        </w:rPr>
      </w:pPr>
    </w:p>
    <w:p w:rsidR="008A4998" w:rsidRPr="00D352C7" w:rsidRDefault="008A4998" w:rsidP="008A4998">
      <w:pPr>
        <w:jc w:val="both"/>
        <w:rPr>
          <w:rFonts w:ascii="Arial" w:hAnsi="Arial" w:cs="Arial"/>
          <w:b/>
          <w:bCs/>
          <w:sz w:val="24"/>
          <w:szCs w:val="24"/>
          <w:lang w:val="ro-RO"/>
        </w:rPr>
      </w:pPr>
      <w:r w:rsidRPr="00D352C7">
        <w:rPr>
          <w:rFonts w:ascii="Arial" w:hAnsi="Arial" w:cs="Arial"/>
          <w:b/>
          <w:bCs/>
          <w:sz w:val="24"/>
          <w:szCs w:val="24"/>
          <w:lang w:val="ro-RO"/>
        </w:rPr>
        <w:t>Cod indicator România: RO 02</w:t>
      </w:r>
    </w:p>
    <w:p w:rsidR="008A4998" w:rsidRPr="00D352C7" w:rsidRDefault="008A4998" w:rsidP="008A4998">
      <w:pPr>
        <w:jc w:val="both"/>
        <w:rPr>
          <w:rFonts w:ascii="Arial" w:hAnsi="Arial" w:cs="Arial"/>
          <w:b/>
          <w:bCs/>
          <w:sz w:val="24"/>
          <w:szCs w:val="24"/>
          <w:lang w:val="ro-RO"/>
        </w:rPr>
      </w:pPr>
      <w:r w:rsidRPr="00D352C7">
        <w:rPr>
          <w:rFonts w:ascii="Arial" w:hAnsi="Arial" w:cs="Arial"/>
          <w:b/>
          <w:bCs/>
          <w:sz w:val="24"/>
          <w:szCs w:val="24"/>
          <w:lang w:val="ro-RO"/>
        </w:rPr>
        <w:t xml:space="preserve">Cod indicator AEM: CSI 02 </w:t>
      </w:r>
    </w:p>
    <w:p w:rsidR="008A4998" w:rsidRPr="00D352C7" w:rsidRDefault="008A4998" w:rsidP="008A4998">
      <w:pPr>
        <w:jc w:val="both"/>
        <w:rPr>
          <w:rFonts w:ascii="Arial" w:hAnsi="Arial" w:cs="Arial"/>
          <w:b/>
          <w:bCs/>
          <w:sz w:val="24"/>
          <w:szCs w:val="24"/>
          <w:lang w:val="ro-RO"/>
        </w:rPr>
      </w:pPr>
      <w:r w:rsidRPr="00D352C7">
        <w:rPr>
          <w:rFonts w:ascii="Arial" w:hAnsi="Arial" w:cs="Arial"/>
          <w:b/>
          <w:bCs/>
          <w:sz w:val="24"/>
          <w:szCs w:val="24"/>
          <w:lang w:val="ro-RO"/>
        </w:rPr>
        <w:t xml:space="preserve">DENUMIRE: EMISII DE PRECURSORI AI OZONULUI </w:t>
      </w:r>
    </w:p>
    <w:p w:rsidR="008A4998" w:rsidRPr="00D129ED" w:rsidRDefault="008A4998" w:rsidP="008A4998">
      <w:pPr>
        <w:rPr>
          <w:rFonts w:ascii="Arial" w:hAnsi="Arial" w:cs="Arial"/>
          <w:sz w:val="24"/>
          <w:szCs w:val="24"/>
          <w:lang w:val="it-IT"/>
        </w:rPr>
      </w:pPr>
      <w:r w:rsidRPr="008E4B16">
        <w:rPr>
          <w:rFonts w:ascii="Arial" w:hAnsi="Arial" w:cs="Arial"/>
          <w:bCs/>
          <w:sz w:val="24"/>
          <w:szCs w:val="24"/>
          <w:lang w:val="ro-RO"/>
        </w:rPr>
        <w:t>DEFINITIE</w:t>
      </w:r>
      <w:r w:rsidRPr="00E939BB">
        <w:rPr>
          <w:rFonts w:ascii="Arial" w:hAnsi="Arial" w:cs="Arial"/>
          <w:bCs/>
          <w:sz w:val="24"/>
          <w:szCs w:val="24"/>
          <w:lang w:val="ro-RO"/>
        </w:rPr>
        <w:t>:</w:t>
      </w:r>
      <w:r w:rsidRPr="00D129ED">
        <w:rPr>
          <w:rFonts w:ascii="Arial" w:hAnsi="Arial" w:cs="Arial"/>
          <w:sz w:val="24"/>
          <w:szCs w:val="24"/>
          <w:lang w:val="it-IT"/>
        </w:rPr>
        <w:t xml:space="preserve"> 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p>
    <w:p w:rsidR="00762613" w:rsidRPr="00D129ED" w:rsidRDefault="008825B5" w:rsidP="00D61B69">
      <w:pPr>
        <w:jc w:val="center"/>
        <w:rPr>
          <w:rFonts w:ascii="Arial" w:hAnsi="Arial" w:cs="Arial"/>
          <w:sz w:val="24"/>
          <w:szCs w:val="24"/>
          <w:lang w:val="it-IT"/>
        </w:rPr>
      </w:pPr>
      <w:r w:rsidRPr="008825B5">
        <w:rPr>
          <w:rFonts w:ascii="Arial" w:hAnsi="Arial" w:cs="Arial"/>
          <w:noProof/>
          <w:sz w:val="24"/>
          <w:szCs w:val="24"/>
        </w:rPr>
        <w:drawing>
          <wp:inline distT="0" distB="0" distL="0" distR="0">
            <wp:extent cx="5943600" cy="2463165"/>
            <wp:effectExtent l="19050" t="0" r="19050" b="0"/>
            <wp:docPr id="4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62613" w:rsidRDefault="00D61B69" w:rsidP="00762613">
      <w:pPr>
        <w:jc w:val="center"/>
        <w:rPr>
          <w:rFonts w:ascii="Arial" w:hAnsi="Arial" w:cs="Arial"/>
          <w:sz w:val="24"/>
          <w:szCs w:val="24"/>
          <w:lang w:val="ro-RO"/>
        </w:rPr>
      </w:pPr>
      <w:r>
        <w:rPr>
          <w:rFonts w:ascii="Arial" w:hAnsi="Arial" w:cs="Arial"/>
          <w:sz w:val="24"/>
          <w:szCs w:val="24"/>
          <w:lang w:val="ro-RO"/>
        </w:rPr>
        <w:t xml:space="preserve">                                                               </w:t>
      </w:r>
      <w:r w:rsidR="00D854BA">
        <w:rPr>
          <w:rFonts w:ascii="Arial" w:hAnsi="Arial" w:cs="Arial"/>
          <w:sz w:val="24"/>
          <w:szCs w:val="24"/>
          <w:lang w:val="ro-RO"/>
        </w:rPr>
        <w:t xml:space="preserve">                                             </w:t>
      </w:r>
      <w:r w:rsidR="00762613">
        <w:rPr>
          <w:rFonts w:ascii="Arial" w:hAnsi="Arial" w:cs="Arial"/>
          <w:sz w:val="24"/>
          <w:szCs w:val="24"/>
          <w:lang w:val="ro-RO"/>
        </w:rPr>
        <w:t xml:space="preserve">       Figura </w:t>
      </w:r>
      <w:r w:rsidR="00762613" w:rsidRPr="002A2EFA">
        <w:rPr>
          <w:rFonts w:ascii="Arial" w:hAnsi="Arial" w:cs="Arial"/>
          <w:sz w:val="24"/>
          <w:szCs w:val="24"/>
          <w:lang w:val="ro-RO"/>
        </w:rPr>
        <w:t>I.2.1.3.</w:t>
      </w:r>
      <w:r w:rsidR="00762613">
        <w:rPr>
          <w:rFonts w:ascii="Arial" w:hAnsi="Arial" w:cs="Arial"/>
          <w:sz w:val="24"/>
          <w:szCs w:val="24"/>
          <w:lang w:val="ro-RO"/>
        </w:rPr>
        <w:t>3</w:t>
      </w:r>
    </w:p>
    <w:p w:rsidR="002D27F5" w:rsidRDefault="002D27F5" w:rsidP="00762613">
      <w:pPr>
        <w:jc w:val="center"/>
        <w:rPr>
          <w:rFonts w:ascii="Arial" w:hAnsi="Arial" w:cs="Arial"/>
          <w:sz w:val="24"/>
          <w:szCs w:val="24"/>
          <w:lang w:val="ro-RO"/>
        </w:rPr>
      </w:pPr>
    </w:p>
    <w:p w:rsidR="002D27F5" w:rsidRDefault="002D27F5" w:rsidP="00762613">
      <w:pPr>
        <w:jc w:val="center"/>
        <w:rPr>
          <w:rFonts w:ascii="Arial" w:hAnsi="Arial" w:cs="Arial"/>
          <w:sz w:val="24"/>
          <w:szCs w:val="24"/>
          <w:lang w:val="ro-RO"/>
        </w:rPr>
      </w:pPr>
    </w:p>
    <w:p w:rsidR="002D27F5" w:rsidRDefault="002D27F5" w:rsidP="00762613">
      <w:pPr>
        <w:jc w:val="center"/>
        <w:rPr>
          <w:rFonts w:ascii="Arial" w:hAnsi="Arial" w:cs="Arial"/>
          <w:sz w:val="24"/>
          <w:szCs w:val="24"/>
          <w:lang w:val="ro-RO"/>
        </w:rPr>
      </w:pPr>
    </w:p>
    <w:p w:rsidR="007A4AC8" w:rsidRDefault="0069632E" w:rsidP="00762613">
      <w:pPr>
        <w:jc w:val="center"/>
        <w:rPr>
          <w:rFonts w:ascii="Arial" w:hAnsi="Arial" w:cs="Arial"/>
          <w:sz w:val="24"/>
          <w:szCs w:val="24"/>
          <w:lang w:val="ro-RO"/>
        </w:rPr>
      </w:pPr>
      <w:r w:rsidRPr="0069632E">
        <w:rPr>
          <w:rFonts w:ascii="Arial" w:hAnsi="Arial" w:cs="Arial"/>
          <w:noProof/>
          <w:sz w:val="24"/>
          <w:szCs w:val="24"/>
        </w:rPr>
        <w:drawing>
          <wp:inline distT="0" distB="0" distL="0" distR="0">
            <wp:extent cx="5943600" cy="2463165"/>
            <wp:effectExtent l="19050" t="0" r="19050" b="0"/>
            <wp:docPr id="4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A4AC8" w:rsidRDefault="002D27F5" w:rsidP="007A4AC8">
      <w:pPr>
        <w:jc w:val="center"/>
        <w:rPr>
          <w:rFonts w:ascii="Arial" w:hAnsi="Arial" w:cs="Arial"/>
          <w:sz w:val="24"/>
          <w:szCs w:val="24"/>
          <w:lang w:val="ro-RO"/>
        </w:rPr>
      </w:pPr>
      <w:r>
        <w:rPr>
          <w:rFonts w:ascii="Arial" w:hAnsi="Arial" w:cs="Arial"/>
          <w:sz w:val="24"/>
          <w:szCs w:val="24"/>
          <w:lang w:val="ro-RO"/>
        </w:rPr>
        <w:t xml:space="preserve">                                                                      </w:t>
      </w:r>
      <w:r w:rsidR="00D854BA">
        <w:rPr>
          <w:rFonts w:ascii="Arial" w:hAnsi="Arial" w:cs="Arial"/>
          <w:sz w:val="24"/>
          <w:szCs w:val="24"/>
          <w:lang w:val="ro-RO"/>
        </w:rPr>
        <w:t xml:space="preserve">                                      </w:t>
      </w:r>
      <w:r w:rsidR="007A4AC8">
        <w:rPr>
          <w:rFonts w:ascii="Arial" w:hAnsi="Arial" w:cs="Arial"/>
          <w:sz w:val="24"/>
          <w:szCs w:val="24"/>
          <w:lang w:val="ro-RO"/>
        </w:rPr>
        <w:t xml:space="preserve">        Figura </w:t>
      </w:r>
      <w:r w:rsidR="007A4AC8" w:rsidRPr="002A2EFA">
        <w:rPr>
          <w:rFonts w:ascii="Arial" w:hAnsi="Arial" w:cs="Arial"/>
          <w:sz w:val="24"/>
          <w:szCs w:val="24"/>
          <w:lang w:val="ro-RO"/>
        </w:rPr>
        <w:t>I.2.1.3.</w:t>
      </w:r>
      <w:r w:rsidR="007A4AC8">
        <w:rPr>
          <w:rFonts w:ascii="Arial" w:hAnsi="Arial" w:cs="Arial"/>
          <w:sz w:val="24"/>
          <w:szCs w:val="24"/>
          <w:lang w:val="ro-RO"/>
        </w:rPr>
        <w:t>4</w:t>
      </w:r>
    </w:p>
    <w:p w:rsidR="008A4998" w:rsidRPr="00D129ED" w:rsidRDefault="008A4998" w:rsidP="008A4998">
      <w:pPr>
        <w:jc w:val="center"/>
        <w:rPr>
          <w:rFonts w:ascii="Arial" w:hAnsi="Arial" w:cs="Arial"/>
          <w:i/>
          <w:sz w:val="24"/>
          <w:szCs w:val="24"/>
          <w:lang w:val="it-IT"/>
        </w:rPr>
      </w:pPr>
    </w:p>
    <w:p w:rsidR="007A4AC8" w:rsidRDefault="007A4AC8" w:rsidP="008A4998">
      <w:pPr>
        <w:jc w:val="both"/>
        <w:rPr>
          <w:rFonts w:ascii="Arial" w:hAnsi="Arial" w:cs="Arial"/>
          <w:b/>
          <w:bCs/>
          <w:sz w:val="24"/>
          <w:szCs w:val="24"/>
          <w:lang w:val="ro-RO"/>
        </w:rPr>
      </w:pPr>
    </w:p>
    <w:p w:rsidR="008A4998" w:rsidRPr="008535F4" w:rsidRDefault="008A4998" w:rsidP="008A4998">
      <w:pPr>
        <w:jc w:val="both"/>
        <w:rPr>
          <w:rFonts w:ascii="Arial" w:hAnsi="Arial" w:cs="Arial"/>
          <w:b/>
          <w:bCs/>
          <w:sz w:val="24"/>
          <w:szCs w:val="24"/>
          <w:lang w:val="ro-RO"/>
        </w:rPr>
      </w:pPr>
      <w:r w:rsidRPr="008535F4">
        <w:rPr>
          <w:rFonts w:ascii="Arial" w:hAnsi="Arial" w:cs="Arial"/>
          <w:b/>
          <w:bCs/>
          <w:sz w:val="24"/>
          <w:szCs w:val="24"/>
          <w:lang w:val="ro-RO"/>
        </w:rPr>
        <w:t>Cod indicator România: RO 03</w:t>
      </w:r>
    </w:p>
    <w:p w:rsidR="008A4998" w:rsidRPr="008535F4" w:rsidRDefault="008A4998" w:rsidP="008A4998">
      <w:pPr>
        <w:jc w:val="both"/>
        <w:rPr>
          <w:rFonts w:ascii="Arial" w:hAnsi="Arial" w:cs="Arial"/>
          <w:b/>
          <w:bCs/>
          <w:sz w:val="24"/>
          <w:szCs w:val="24"/>
          <w:lang w:val="ro-RO"/>
        </w:rPr>
      </w:pPr>
      <w:r w:rsidRPr="008535F4">
        <w:rPr>
          <w:rFonts w:ascii="Arial" w:hAnsi="Arial" w:cs="Arial"/>
          <w:b/>
          <w:bCs/>
          <w:sz w:val="24"/>
          <w:szCs w:val="24"/>
          <w:lang w:val="ro-RO"/>
        </w:rPr>
        <w:t>Cod indicator AEM: CSI 03</w:t>
      </w:r>
    </w:p>
    <w:p w:rsidR="008A4998" w:rsidRPr="008535F4" w:rsidRDefault="008A4998" w:rsidP="008A4998">
      <w:pPr>
        <w:jc w:val="both"/>
        <w:rPr>
          <w:rFonts w:ascii="Arial" w:hAnsi="Arial" w:cs="Arial"/>
          <w:b/>
          <w:bCs/>
          <w:sz w:val="24"/>
          <w:szCs w:val="24"/>
          <w:lang w:val="ro-RO"/>
        </w:rPr>
      </w:pPr>
      <w:r w:rsidRPr="008535F4">
        <w:rPr>
          <w:rFonts w:ascii="Arial" w:hAnsi="Arial" w:cs="Arial"/>
          <w:b/>
          <w:bCs/>
          <w:sz w:val="24"/>
          <w:szCs w:val="24"/>
          <w:lang w:val="ro-RO"/>
        </w:rPr>
        <w:t xml:space="preserve">DENUMIRE: </w:t>
      </w:r>
      <w:r w:rsidRPr="008535F4">
        <w:rPr>
          <w:rFonts w:ascii="Arial" w:hAnsi="Arial" w:cs="Arial"/>
          <w:b/>
          <w:bCs/>
          <w:sz w:val="24"/>
          <w:szCs w:val="24"/>
          <w:lang w:val="it-IT"/>
        </w:rPr>
        <w:t>EMISII DE PARTICULE PRIMARE ŞI PRECURSORI SECUNDARI DE PARTICULE</w:t>
      </w:r>
    </w:p>
    <w:p w:rsidR="008A4998" w:rsidRDefault="008A4998" w:rsidP="008A4998">
      <w:pPr>
        <w:rPr>
          <w:rFonts w:ascii="Arial" w:hAnsi="Arial" w:cs="Arial"/>
          <w:sz w:val="24"/>
          <w:szCs w:val="24"/>
          <w:lang w:val="it-IT"/>
        </w:rPr>
      </w:pPr>
      <w:r w:rsidRPr="008535F4">
        <w:rPr>
          <w:rFonts w:ascii="Arial" w:hAnsi="Arial" w:cs="Arial"/>
          <w:bCs/>
          <w:sz w:val="24"/>
          <w:szCs w:val="24"/>
          <w:lang w:val="ro-RO"/>
        </w:rPr>
        <w:t xml:space="preserve">DEFINITIE: </w:t>
      </w:r>
      <w:r w:rsidRPr="008535F4">
        <w:rPr>
          <w:rFonts w:ascii="Arial" w:hAnsi="Arial" w:cs="Arial"/>
          <w:sz w:val="24"/>
          <w:szCs w:val="24"/>
          <w:lang w:val="it-IT"/>
        </w:rPr>
        <w:t xml:space="preserve">Acest indicator prezintă tendinţele emisiilor de particule primare cu diametrul mai mic de 2,5 </w:t>
      </w:r>
      <w:r w:rsidRPr="008535F4">
        <w:rPr>
          <w:rFonts w:ascii="Arial" w:hAnsi="Arial" w:cs="Arial"/>
          <w:sz w:val="24"/>
          <w:szCs w:val="24"/>
        </w:rPr>
        <w:t>μ</w:t>
      </w:r>
      <w:r w:rsidRPr="008535F4">
        <w:rPr>
          <w:rFonts w:ascii="Arial" w:hAnsi="Arial" w:cs="Arial"/>
          <w:sz w:val="24"/>
          <w:szCs w:val="24"/>
          <w:lang w:val="it-IT"/>
        </w:rPr>
        <w:t xml:space="preserve">m (PM2,5) şi respectiv 10 </w:t>
      </w:r>
      <w:r w:rsidRPr="008535F4">
        <w:rPr>
          <w:rFonts w:ascii="Arial" w:hAnsi="Arial" w:cs="Arial"/>
          <w:sz w:val="24"/>
          <w:szCs w:val="24"/>
        </w:rPr>
        <w:t>μ</w:t>
      </w:r>
      <w:r w:rsidRPr="008535F4">
        <w:rPr>
          <w:rFonts w:ascii="Arial" w:hAnsi="Arial" w:cs="Arial"/>
          <w:sz w:val="24"/>
          <w:szCs w:val="24"/>
          <w:lang w:val="it-IT"/>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p>
    <w:p w:rsidR="00C81D2F" w:rsidRPr="008535F4" w:rsidRDefault="00C81D2F" w:rsidP="00C81D2F">
      <w:pPr>
        <w:jc w:val="center"/>
        <w:rPr>
          <w:rFonts w:ascii="Arial" w:hAnsi="Arial" w:cs="Arial"/>
          <w:sz w:val="24"/>
          <w:szCs w:val="24"/>
          <w:lang w:val="it-IT"/>
        </w:rPr>
      </w:pPr>
      <w:r w:rsidRPr="00C81D2F">
        <w:rPr>
          <w:rFonts w:ascii="Arial" w:hAnsi="Arial" w:cs="Arial"/>
          <w:noProof/>
          <w:sz w:val="24"/>
          <w:szCs w:val="24"/>
        </w:rPr>
        <w:drawing>
          <wp:inline distT="0" distB="0" distL="0" distR="0">
            <wp:extent cx="5943600" cy="3086100"/>
            <wp:effectExtent l="19050" t="0" r="1905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D60BD" w:rsidRDefault="008535F4" w:rsidP="000D60BD">
      <w:pPr>
        <w:jc w:val="center"/>
        <w:rPr>
          <w:rFonts w:ascii="Arial" w:hAnsi="Arial" w:cs="Arial"/>
          <w:sz w:val="24"/>
          <w:szCs w:val="24"/>
          <w:lang w:val="ro-RO"/>
        </w:rPr>
      </w:pPr>
      <w:r>
        <w:rPr>
          <w:rFonts w:ascii="Arial" w:hAnsi="Arial" w:cs="Arial"/>
          <w:sz w:val="24"/>
          <w:szCs w:val="24"/>
          <w:lang w:val="ro-RO"/>
        </w:rPr>
        <w:t xml:space="preserve">                                               </w:t>
      </w:r>
      <w:r w:rsidR="00246ADF">
        <w:rPr>
          <w:rFonts w:ascii="Arial" w:hAnsi="Arial" w:cs="Arial"/>
          <w:sz w:val="24"/>
          <w:szCs w:val="24"/>
          <w:lang w:val="ro-RO"/>
        </w:rPr>
        <w:t xml:space="preserve">                                                             </w:t>
      </w:r>
      <w:r w:rsidR="000D60BD">
        <w:rPr>
          <w:rFonts w:ascii="Arial" w:hAnsi="Arial" w:cs="Arial"/>
          <w:sz w:val="24"/>
          <w:szCs w:val="24"/>
          <w:lang w:val="ro-RO"/>
        </w:rPr>
        <w:t xml:space="preserve">   Figura </w:t>
      </w:r>
      <w:r w:rsidR="000D60BD" w:rsidRPr="002A2EFA">
        <w:rPr>
          <w:rFonts w:ascii="Arial" w:hAnsi="Arial" w:cs="Arial"/>
          <w:sz w:val="24"/>
          <w:szCs w:val="24"/>
          <w:lang w:val="ro-RO"/>
        </w:rPr>
        <w:t>I.2.1.3.</w:t>
      </w:r>
      <w:r w:rsidR="000D60BD">
        <w:rPr>
          <w:rFonts w:ascii="Arial" w:hAnsi="Arial" w:cs="Arial"/>
          <w:sz w:val="24"/>
          <w:szCs w:val="24"/>
          <w:lang w:val="ro-RO"/>
        </w:rPr>
        <w:t>5</w:t>
      </w:r>
    </w:p>
    <w:p w:rsidR="000D60BD" w:rsidRDefault="000D60BD" w:rsidP="000D60BD">
      <w:pPr>
        <w:jc w:val="center"/>
        <w:rPr>
          <w:rFonts w:ascii="Arial" w:hAnsi="Arial" w:cs="Arial"/>
          <w:sz w:val="24"/>
          <w:szCs w:val="24"/>
          <w:lang w:val="ro-RO"/>
        </w:rPr>
      </w:pPr>
    </w:p>
    <w:p w:rsidR="008F1393" w:rsidRDefault="008F1393" w:rsidP="000D60BD">
      <w:pPr>
        <w:jc w:val="center"/>
        <w:rPr>
          <w:rFonts w:ascii="Arial" w:hAnsi="Arial" w:cs="Arial"/>
          <w:sz w:val="24"/>
          <w:szCs w:val="24"/>
          <w:lang w:val="ro-RO"/>
        </w:rPr>
      </w:pPr>
    </w:p>
    <w:p w:rsidR="000D60BD" w:rsidRDefault="007566D3" w:rsidP="000D60BD">
      <w:pPr>
        <w:jc w:val="center"/>
        <w:rPr>
          <w:rFonts w:ascii="Arial" w:hAnsi="Arial" w:cs="Arial"/>
          <w:sz w:val="24"/>
          <w:szCs w:val="24"/>
          <w:lang w:val="ro-RO"/>
        </w:rPr>
      </w:pPr>
      <w:r w:rsidRPr="007566D3">
        <w:rPr>
          <w:rFonts w:ascii="Arial" w:hAnsi="Arial" w:cs="Arial"/>
          <w:noProof/>
          <w:sz w:val="24"/>
          <w:szCs w:val="24"/>
        </w:rPr>
        <w:drawing>
          <wp:inline distT="0" distB="0" distL="0" distR="0">
            <wp:extent cx="5943600" cy="2865755"/>
            <wp:effectExtent l="19050" t="0" r="1905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A4998" w:rsidRPr="00D129ED" w:rsidRDefault="008F1393" w:rsidP="00246ADF">
      <w:pPr>
        <w:ind w:left="3600" w:firstLine="720"/>
        <w:jc w:val="center"/>
        <w:rPr>
          <w:rFonts w:ascii="Arial" w:hAnsi="Arial" w:cs="Arial"/>
          <w:i/>
          <w:sz w:val="24"/>
          <w:szCs w:val="24"/>
          <w:lang w:val="it-IT"/>
        </w:rPr>
      </w:pPr>
      <w:r>
        <w:rPr>
          <w:rFonts w:ascii="Arial" w:hAnsi="Arial" w:cs="Arial"/>
          <w:sz w:val="24"/>
          <w:szCs w:val="24"/>
          <w:lang w:val="ro-RO"/>
        </w:rPr>
        <w:t xml:space="preserve">                                              </w:t>
      </w:r>
      <w:r w:rsidR="000D60BD">
        <w:rPr>
          <w:rFonts w:ascii="Arial" w:hAnsi="Arial" w:cs="Arial"/>
          <w:sz w:val="24"/>
          <w:szCs w:val="24"/>
          <w:lang w:val="ro-RO"/>
        </w:rPr>
        <w:t xml:space="preserve">  Figura </w:t>
      </w:r>
      <w:r w:rsidR="000D60BD" w:rsidRPr="002A2EFA">
        <w:rPr>
          <w:rFonts w:ascii="Arial" w:hAnsi="Arial" w:cs="Arial"/>
          <w:sz w:val="24"/>
          <w:szCs w:val="24"/>
          <w:lang w:val="ro-RO"/>
        </w:rPr>
        <w:t>I.2.1.3.</w:t>
      </w:r>
      <w:r w:rsidR="00D7610C">
        <w:rPr>
          <w:rFonts w:ascii="Arial" w:hAnsi="Arial" w:cs="Arial"/>
          <w:sz w:val="24"/>
          <w:szCs w:val="24"/>
          <w:lang w:val="ro-RO"/>
        </w:rPr>
        <w:t>6</w:t>
      </w:r>
    </w:p>
    <w:p w:rsidR="000D60BD" w:rsidRDefault="000D60BD" w:rsidP="008A4998">
      <w:pPr>
        <w:jc w:val="both"/>
        <w:rPr>
          <w:rFonts w:ascii="Arial" w:hAnsi="Arial" w:cs="Arial"/>
          <w:b/>
          <w:bCs/>
          <w:sz w:val="24"/>
          <w:szCs w:val="24"/>
          <w:lang w:val="ro-RO"/>
        </w:rPr>
      </w:pPr>
    </w:p>
    <w:p w:rsidR="008A4998" w:rsidRPr="00D352C7" w:rsidRDefault="008A4998" w:rsidP="008A4998">
      <w:pPr>
        <w:jc w:val="both"/>
        <w:rPr>
          <w:rFonts w:ascii="Arial" w:hAnsi="Arial" w:cs="Arial"/>
          <w:b/>
          <w:bCs/>
          <w:sz w:val="24"/>
          <w:szCs w:val="24"/>
          <w:lang w:val="ro-RO"/>
        </w:rPr>
      </w:pPr>
      <w:r w:rsidRPr="00D352C7">
        <w:rPr>
          <w:rFonts w:ascii="Arial" w:hAnsi="Arial" w:cs="Arial"/>
          <w:b/>
          <w:bCs/>
          <w:sz w:val="24"/>
          <w:szCs w:val="24"/>
          <w:lang w:val="ro-RO"/>
        </w:rPr>
        <w:t xml:space="preserve">Cod indicator </w:t>
      </w:r>
      <w:r>
        <w:rPr>
          <w:rFonts w:ascii="Arial" w:hAnsi="Arial" w:cs="Arial"/>
          <w:b/>
          <w:bCs/>
          <w:sz w:val="24"/>
          <w:szCs w:val="24"/>
          <w:lang w:val="ro-RO"/>
        </w:rPr>
        <w:t>România: RO 38</w:t>
      </w:r>
    </w:p>
    <w:p w:rsidR="008A4998" w:rsidRPr="00D352C7" w:rsidRDefault="008A4998" w:rsidP="008A4998">
      <w:pPr>
        <w:jc w:val="both"/>
        <w:rPr>
          <w:rFonts w:ascii="Arial" w:hAnsi="Arial" w:cs="Arial"/>
          <w:b/>
          <w:bCs/>
          <w:sz w:val="24"/>
          <w:szCs w:val="24"/>
          <w:lang w:val="ro-RO"/>
        </w:rPr>
      </w:pPr>
      <w:r>
        <w:rPr>
          <w:rFonts w:ascii="Arial" w:hAnsi="Arial" w:cs="Arial"/>
          <w:b/>
          <w:bCs/>
          <w:sz w:val="24"/>
          <w:szCs w:val="24"/>
          <w:lang w:val="ro-RO"/>
        </w:rPr>
        <w:t>Cod indicator AEM: APE 05</w:t>
      </w:r>
    </w:p>
    <w:p w:rsidR="008A4998" w:rsidRPr="00D352C7" w:rsidRDefault="008A4998" w:rsidP="008A4998">
      <w:pPr>
        <w:jc w:val="both"/>
        <w:rPr>
          <w:rFonts w:ascii="Arial" w:hAnsi="Arial" w:cs="Arial"/>
          <w:b/>
          <w:bCs/>
          <w:sz w:val="24"/>
          <w:szCs w:val="24"/>
          <w:lang w:val="ro-RO"/>
        </w:rPr>
      </w:pPr>
      <w:r w:rsidRPr="00D352C7">
        <w:rPr>
          <w:rFonts w:ascii="Arial" w:hAnsi="Arial" w:cs="Arial"/>
          <w:b/>
          <w:bCs/>
          <w:sz w:val="24"/>
          <w:szCs w:val="24"/>
          <w:lang w:val="ro-RO"/>
        </w:rPr>
        <w:t xml:space="preserve">DENUMIRE: </w:t>
      </w:r>
      <w:r w:rsidRPr="00D129ED">
        <w:rPr>
          <w:rFonts w:ascii="Arial" w:hAnsi="Arial" w:cs="Arial"/>
          <w:b/>
          <w:bCs/>
          <w:sz w:val="24"/>
          <w:szCs w:val="24"/>
          <w:lang w:val="it-IT"/>
        </w:rPr>
        <w:t>EMISII DE METALE GRELE</w:t>
      </w:r>
    </w:p>
    <w:p w:rsidR="008A4998" w:rsidRPr="00D129ED" w:rsidRDefault="008A4998" w:rsidP="008A4998">
      <w:pPr>
        <w:rPr>
          <w:lang w:val="it-IT"/>
        </w:rPr>
      </w:pPr>
      <w:r w:rsidRPr="008E4B16">
        <w:rPr>
          <w:rFonts w:ascii="Arial" w:hAnsi="Arial" w:cs="Arial"/>
          <w:bCs/>
          <w:sz w:val="24"/>
          <w:szCs w:val="24"/>
          <w:lang w:val="ro-RO"/>
        </w:rPr>
        <w:t xml:space="preserve">DEFINITIE: </w:t>
      </w:r>
      <w:r w:rsidRPr="00D129ED">
        <w:rPr>
          <w:rFonts w:ascii="Arial" w:hAnsi="Arial" w:cs="Arial"/>
          <w:sz w:val="24"/>
          <w:szCs w:val="24"/>
          <w:lang w:val="it-IT"/>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r w:rsidRPr="00D129ED">
        <w:rPr>
          <w:lang w:val="it-IT"/>
        </w:rPr>
        <w:t>.</w:t>
      </w:r>
    </w:p>
    <w:p w:rsidR="00493DE7" w:rsidRPr="00D129ED" w:rsidRDefault="00493DE7" w:rsidP="008A4998">
      <w:pPr>
        <w:rPr>
          <w:lang w:val="it-IT"/>
        </w:rPr>
      </w:pPr>
    </w:p>
    <w:p w:rsidR="00493DE7" w:rsidRPr="00D129ED" w:rsidRDefault="00493DE7" w:rsidP="008A4998">
      <w:pPr>
        <w:rPr>
          <w:rFonts w:ascii="Arial" w:hAnsi="Arial" w:cs="Arial"/>
          <w:i/>
          <w:sz w:val="24"/>
          <w:szCs w:val="24"/>
          <w:lang w:val="it-IT"/>
        </w:rPr>
      </w:pPr>
    </w:p>
    <w:p w:rsidR="008A4998" w:rsidRDefault="00625283" w:rsidP="008A4998">
      <w:pPr>
        <w:jc w:val="center"/>
        <w:rPr>
          <w:rFonts w:ascii="Arial" w:hAnsi="Arial" w:cs="Arial"/>
          <w:i/>
          <w:sz w:val="24"/>
          <w:szCs w:val="24"/>
        </w:rPr>
      </w:pPr>
      <w:r w:rsidRPr="00625283">
        <w:rPr>
          <w:rFonts w:ascii="Arial" w:hAnsi="Arial" w:cs="Arial"/>
          <w:i/>
          <w:noProof/>
          <w:sz w:val="24"/>
          <w:szCs w:val="24"/>
        </w:rPr>
        <w:drawing>
          <wp:inline distT="0" distB="0" distL="0" distR="0">
            <wp:extent cx="5943600" cy="2865755"/>
            <wp:effectExtent l="19050" t="0" r="19050"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2E2E5E">
        <w:rPr>
          <w:rFonts w:ascii="Arial" w:hAnsi="Arial" w:cs="Arial"/>
          <w:i/>
          <w:sz w:val="24"/>
          <w:szCs w:val="24"/>
        </w:rPr>
        <w:t xml:space="preserve"> </w:t>
      </w:r>
    </w:p>
    <w:p w:rsidR="00493DE7" w:rsidRPr="00D129ED" w:rsidRDefault="00493DE7" w:rsidP="00493DE7">
      <w:pPr>
        <w:jc w:val="center"/>
        <w:rPr>
          <w:rFonts w:ascii="Arial" w:hAnsi="Arial" w:cs="Arial"/>
          <w:i/>
          <w:sz w:val="24"/>
          <w:szCs w:val="24"/>
          <w:lang w:val="it-IT"/>
        </w:rPr>
      </w:pPr>
      <w:r>
        <w:rPr>
          <w:rFonts w:ascii="Arial" w:hAnsi="Arial" w:cs="Arial"/>
          <w:sz w:val="24"/>
          <w:szCs w:val="24"/>
          <w:lang w:val="ro-RO"/>
        </w:rPr>
        <w:t xml:space="preserve">                                                             </w:t>
      </w:r>
      <w:r w:rsidR="006C754C">
        <w:rPr>
          <w:rFonts w:ascii="Arial" w:hAnsi="Arial" w:cs="Arial"/>
          <w:sz w:val="24"/>
          <w:szCs w:val="24"/>
          <w:lang w:val="ro-RO"/>
        </w:rPr>
        <w:t xml:space="preserve">                                            </w:t>
      </w:r>
      <w:r>
        <w:rPr>
          <w:rFonts w:ascii="Arial" w:hAnsi="Arial" w:cs="Arial"/>
          <w:sz w:val="24"/>
          <w:szCs w:val="24"/>
          <w:lang w:val="ro-RO"/>
        </w:rPr>
        <w:t xml:space="preserve">        Figura </w:t>
      </w:r>
      <w:r w:rsidRPr="002A2EFA">
        <w:rPr>
          <w:rFonts w:ascii="Arial" w:hAnsi="Arial" w:cs="Arial"/>
          <w:sz w:val="24"/>
          <w:szCs w:val="24"/>
          <w:lang w:val="ro-RO"/>
        </w:rPr>
        <w:t>I.2.1.3.</w:t>
      </w:r>
      <w:r w:rsidR="007565D7">
        <w:rPr>
          <w:rFonts w:ascii="Arial" w:hAnsi="Arial" w:cs="Arial"/>
          <w:sz w:val="24"/>
          <w:szCs w:val="24"/>
          <w:lang w:val="ro-RO"/>
        </w:rPr>
        <w:t>7</w:t>
      </w:r>
    </w:p>
    <w:p w:rsidR="002A2EFA" w:rsidRPr="00C27C29" w:rsidRDefault="002A2EFA" w:rsidP="002A2EFA">
      <w:pPr>
        <w:ind w:left="567"/>
        <w:rPr>
          <w:rFonts w:ascii="Arial" w:hAnsi="Arial" w:cs="Arial"/>
          <w:sz w:val="24"/>
          <w:szCs w:val="24"/>
          <w:lang w:val="ro-RO"/>
        </w:rPr>
      </w:pPr>
    </w:p>
    <w:p w:rsidR="00493DE7" w:rsidRPr="00D129ED" w:rsidRDefault="00493DE7" w:rsidP="00E939BB">
      <w:pPr>
        <w:jc w:val="center"/>
        <w:rPr>
          <w:rFonts w:ascii="Arial" w:hAnsi="Arial" w:cs="Arial"/>
          <w:b/>
          <w:bCs/>
          <w:i/>
          <w:iCs/>
          <w:sz w:val="24"/>
          <w:szCs w:val="24"/>
          <w:lang w:val="it-IT"/>
        </w:rPr>
      </w:pPr>
    </w:p>
    <w:p w:rsidR="003F6A32" w:rsidRDefault="00493DE7" w:rsidP="00E939BB">
      <w:pPr>
        <w:jc w:val="center"/>
        <w:rPr>
          <w:rFonts w:ascii="Arial" w:hAnsi="Arial" w:cs="Arial"/>
          <w:b/>
          <w:bCs/>
          <w:i/>
          <w:iCs/>
          <w:sz w:val="24"/>
          <w:szCs w:val="24"/>
          <w:lang w:val="it-IT"/>
        </w:rPr>
      </w:pPr>
      <w:r w:rsidRPr="00D129ED">
        <w:rPr>
          <w:rFonts w:ascii="Arial" w:hAnsi="Arial" w:cs="Arial"/>
          <w:b/>
          <w:bCs/>
          <w:i/>
          <w:iCs/>
          <w:sz w:val="24"/>
          <w:szCs w:val="24"/>
          <w:lang w:val="it-IT"/>
        </w:rPr>
        <w:t>I.3. Tendinţe şi prognoze privind poluarea aerului înconjurător</w:t>
      </w:r>
    </w:p>
    <w:p w:rsidR="00AC0F0F" w:rsidRPr="00D129ED" w:rsidRDefault="00AC0F0F" w:rsidP="00E939BB">
      <w:pPr>
        <w:jc w:val="center"/>
        <w:rPr>
          <w:rFonts w:ascii="Arial" w:hAnsi="Arial" w:cs="Arial"/>
          <w:b/>
          <w:bCs/>
          <w:i/>
          <w:iCs/>
          <w:sz w:val="24"/>
          <w:szCs w:val="24"/>
          <w:lang w:val="it-IT"/>
        </w:rPr>
      </w:pPr>
    </w:p>
    <w:p w:rsidR="00493DE7" w:rsidRPr="00D129ED" w:rsidRDefault="00493DE7" w:rsidP="00E939BB">
      <w:pPr>
        <w:jc w:val="center"/>
        <w:rPr>
          <w:rFonts w:ascii="Arial" w:hAnsi="Arial" w:cs="Arial"/>
          <w:b/>
          <w:bCs/>
          <w:i/>
          <w:iCs/>
          <w:sz w:val="24"/>
          <w:szCs w:val="24"/>
          <w:lang w:val="it-IT"/>
        </w:rPr>
      </w:pPr>
    </w:p>
    <w:p w:rsidR="00493DE7" w:rsidRPr="00D352C7" w:rsidRDefault="00493DE7" w:rsidP="00493DE7">
      <w:pPr>
        <w:jc w:val="both"/>
        <w:rPr>
          <w:rFonts w:ascii="Arial" w:hAnsi="Arial" w:cs="Arial"/>
          <w:b/>
          <w:bCs/>
          <w:sz w:val="24"/>
          <w:szCs w:val="24"/>
          <w:lang w:val="ro-RO"/>
        </w:rPr>
      </w:pPr>
      <w:r w:rsidRPr="00D352C7">
        <w:rPr>
          <w:rFonts w:ascii="Arial" w:hAnsi="Arial" w:cs="Arial"/>
          <w:b/>
          <w:bCs/>
          <w:sz w:val="24"/>
          <w:szCs w:val="24"/>
          <w:lang w:val="ro-RO"/>
        </w:rPr>
        <w:t>Cod indicator România: RO 01</w:t>
      </w:r>
    </w:p>
    <w:p w:rsidR="00493DE7" w:rsidRPr="00D352C7" w:rsidRDefault="00493DE7" w:rsidP="00493DE7">
      <w:pPr>
        <w:jc w:val="both"/>
        <w:rPr>
          <w:rFonts w:ascii="Arial" w:hAnsi="Arial" w:cs="Arial"/>
          <w:b/>
          <w:bCs/>
          <w:sz w:val="24"/>
          <w:szCs w:val="24"/>
          <w:lang w:val="ro-RO"/>
        </w:rPr>
      </w:pPr>
      <w:r w:rsidRPr="00D352C7">
        <w:rPr>
          <w:rFonts w:ascii="Arial" w:hAnsi="Arial" w:cs="Arial"/>
          <w:b/>
          <w:bCs/>
          <w:sz w:val="24"/>
          <w:szCs w:val="24"/>
          <w:lang w:val="ro-RO"/>
        </w:rPr>
        <w:t xml:space="preserve">Cod indicator AEM: CSI 01 </w:t>
      </w:r>
    </w:p>
    <w:p w:rsidR="00493DE7" w:rsidRPr="00D352C7" w:rsidRDefault="00493DE7" w:rsidP="00493DE7">
      <w:pPr>
        <w:jc w:val="both"/>
        <w:rPr>
          <w:rFonts w:ascii="Arial" w:hAnsi="Arial" w:cs="Arial"/>
          <w:b/>
          <w:bCs/>
          <w:sz w:val="24"/>
          <w:szCs w:val="24"/>
          <w:lang w:val="ro-RO"/>
        </w:rPr>
      </w:pPr>
      <w:r w:rsidRPr="00D352C7">
        <w:rPr>
          <w:rFonts w:ascii="Arial" w:hAnsi="Arial" w:cs="Arial"/>
          <w:b/>
          <w:bCs/>
          <w:sz w:val="24"/>
          <w:szCs w:val="24"/>
          <w:lang w:val="ro-RO"/>
        </w:rPr>
        <w:t xml:space="preserve">DENUMIRE: EMISIILE DE SUBSTANTE ACIDIFIANTE </w:t>
      </w:r>
    </w:p>
    <w:p w:rsidR="00493DE7" w:rsidRDefault="00493DE7" w:rsidP="00493DE7">
      <w:pPr>
        <w:rPr>
          <w:rFonts w:ascii="Arial" w:hAnsi="Arial" w:cs="Arial"/>
          <w:sz w:val="24"/>
          <w:szCs w:val="24"/>
          <w:lang w:val="it-IT"/>
        </w:rPr>
      </w:pPr>
      <w:r w:rsidRPr="00C65BB7">
        <w:rPr>
          <w:rFonts w:ascii="Arial" w:hAnsi="Arial" w:cs="Arial"/>
          <w:bCs/>
          <w:sz w:val="24"/>
          <w:szCs w:val="24"/>
          <w:lang w:val="ro-RO"/>
        </w:rPr>
        <w:t>DEFINITIE:</w:t>
      </w:r>
      <w:r w:rsidRPr="00D129ED">
        <w:rPr>
          <w:rFonts w:ascii="Arial" w:hAnsi="Arial" w:cs="Arial"/>
          <w:sz w:val="24"/>
          <w:szCs w:val="24"/>
          <w:lang w:val="ro-RO"/>
        </w:rPr>
        <w:t xml:space="preserve"> Indicatorul urmăreşte tendinţele emisiilor antropice ale substanţelor acidifiante: oxizi de azot (NOx), amoniac (NH3) şi oxizi de sulf (SOx, SO2), la fiecare dintre acestea ţinânduse cont de potenţialul său acidifiant. </w:t>
      </w:r>
      <w:r w:rsidRPr="00D129ED">
        <w:rPr>
          <w:rFonts w:ascii="Arial" w:hAnsi="Arial" w:cs="Arial"/>
          <w:sz w:val="24"/>
          <w:szCs w:val="24"/>
          <w:lang w:val="it-IT"/>
        </w:rPr>
        <w:t>Indicatorul oferă de asemenea informaţii referitoare la modificările survenite în emisiile provenite de la principalele sectoare sursă:</w:t>
      </w:r>
      <w:r w:rsidRPr="00D129ED">
        <w:rPr>
          <w:lang w:val="it-IT"/>
        </w:rPr>
        <w:t xml:space="preserve"> </w:t>
      </w:r>
      <w:r w:rsidRPr="00D129ED">
        <w:rPr>
          <w:rFonts w:ascii="Arial" w:hAnsi="Arial" w:cs="Arial"/>
          <w:sz w:val="24"/>
          <w:szCs w:val="24"/>
          <w:lang w:val="it-IT"/>
        </w:rPr>
        <w:t>producerea şi distribuţia energiei; utilizarea energiei în industrie; procesele industriale; transport rutier; transport nerutier; sectorul comercial, industrial şi gospodării; folosirea solvenţilor şi a produselor; agricultură; deşeuri; altele.</w:t>
      </w:r>
    </w:p>
    <w:p w:rsidR="00173217" w:rsidRDefault="00173217" w:rsidP="00493DE7">
      <w:pPr>
        <w:rPr>
          <w:rFonts w:ascii="Arial" w:hAnsi="Arial" w:cs="Arial"/>
          <w:sz w:val="24"/>
          <w:szCs w:val="24"/>
          <w:lang w:val="it-IT"/>
        </w:rPr>
      </w:pPr>
    </w:p>
    <w:p w:rsidR="00173217" w:rsidRPr="00D129ED" w:rsidRDefault="00173217" w:rsidP="00493DE7">
      <w:pPr>
        <w:rPr>
          <w:rFonts w:ascii="Arial" w:hAnsi="Arial" w:cs="Arial"/>
          <w:sz w:val="24"/>
          <w:szCs w:val="24"/>
          <w:lang w:val="it-IT"/>
        </w:rPr>
      </w:pPr>
    </w:p>
    <w:p w:rsidR="00E939BB" w:rsidRPr="00D129ED" w:rsidRDefault="00D62692" w:rsidP="00173217">
      <w:pPr>
        <w:jc w:val="center"/>
        <w:rPr>
          <w:rFonts w:ascii="Arial" w:hAnsi="Arial" w:cs="Arial"/>
          <w:sz w:val="24"/>
          <w:szCs w:val="24"/>
          <w:lang w:val="it-IT"/>
        </w:rPr>
      </w:pPr>
      <w:r w:rsidRPr="00D62692">
        <w:rPr>
          <w:rFonts w:ascii="Arial" w:hAnsi="Arial" w:cs="Arial"/>
          <w:noProof/>
          <w:sz w:val="24"/>
          <w:szCs w:val="24"/>
        </w:rPr>
        <w:drawing>
          <wp:inline distT="0" distB="0" distL="0" distR="0">
            <wp:extent cx="5943600" cy="3006090"/>
            <wp:effectExtent l="19050" t="0" r="19050" b="381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854BA" w:rsidRDefault="00D854BA" w:rsidP="00D854BA">
      <w:pPr>
        <w:rPr>
          <w:rFonts w:ascii="Arial" w:hAnsi="Arial" w:cs="Arial"/>
          <w:sz w:val="24"/>
          <w:szCs w:val="24"/>
          <w:lang w:val="ro-RO"/>
        </w:rPr>
      </w:pPr>
      <w:r>
        <w:rPr>
          <w:rFonts w:ascii="Arial" w:hAnsi="Arial" w:cs="Arial"/>
          <w:sz w:val="24"/>
          <w:szCs w:val="24"/>
          <w:lang w:val="ro-RO"/>
        </w:rPr>
        <w:t xml:space="preserve">                                                                                                            </w:t>
      </w:r>
      <w:r w:rsidR="00173217">
        <w:rPr>
          <w:rFonts w:ascii="Arial" w:hAnsi="Arial" w:cs="Arial"/>
          <w:sz w:val="24"/>
          <w:szCs w:val="24"/>
          <w:lang w:val="ro-RO"/>
        </w:rPr>
        <w:t xml:space="preserve">        </w:t>
      </w:r>
      <w:r>
        <w:rPr>
          <w:rFonts w:ascii="Arial" w:hAnsi="Arial" w:cs="Arial"/>
          <w:sz w:val="24"/>
          <w:szCs w:val="24"/>
          <w:lang w:val="ro-RO"/>
        </w:rPr>
        <w:t xml:space="preserve">        Figura I.3.1</w:t>
      </w:r>
      <w:r w:rsidRPr="002A2EFA">
        <w:rPr>
          <w:rFonts w:ascii="Arial" w:hAnsi="Arial" w:cs="Arial"/>
          <w:sz w:val="24"/>
          <w:szCs w:val="24"/>
          <w:lang w:val="ro-RO"/>
        </w:rPr>
        <w:t>.</w:t>
      </w:r>
    </w:p>
    <w:p w:rsidR="0076793E" w:rsidRDefault="0076793E" w:rsidP="00D854BA">
      <w:pPr>
        <w:rPr>
          <w:rFonts w:ascii="Arial" w:hAnsi="Arial" w:cs="Arial"/>
          <w:sz w:val="24"/>
          <w:szCs w:val="24"/>
          <w:lang w:val="ro-RO"/>
        </w:rPr>
      </w:pPr>
    </w:p>
    <w:p w:rsidR="0076793E" w:rsidRDefault="0076793E" w:rsidP="0076793E">
      <w:pPr>
        <w:jc w:val="center"/>
        <w:rPr>
          <w:rFonts w:ascii="Arial" w:hAnsi="Arial" w:cs="Arial"/>
          <w:noProof/>
          <w:sz w:val="24"/>
          <w:szCs w:val="24"/>
        </w:rPr>
      </w:pPr>
    </w:p>
    <w:p w:rsidR="00D854BA" w:rsidRPr="0076793E" w:rsidRDefault="00D854BA" w:rsidP="000300AF">
      <w:pPr>
        <w:jc w:val="right"/>
        <w:rPr>
          <w:rFonts w:ascii="Arial" w:hAnsi="Arial" w:cs="Arial"/>
          <w:noProof/>
          <w:sz w:val="24"/>
          <w:szCs w:val="24"/>
        </w:rPr>
      </w:pPr>
      <w:r w:rsidRPr="0076793E">
        <w:rPr>
          <w:rFonts w:ascii="Arial" w:hAnsi="Arial" w:cs="Arial"/>
          <w:sz w:val="24"/>
          <w:szCs w:val="24"/>
          <w:lang w:val="ro-RO"/>
        </w:rPr>
        <w:t xml:space="preserve">                                                                  </w:t>
      </w:r>
      <w:r w:rsidR="001146E5" w:rsidRPr="001146E5">
        <w:rPr>
          <w:rFonts w:ascii="Arial" w:hAnsi="Arial" w:cs="Arial"/>
          <w:noProof/>
          <w:sz w:val="24"/>
          <w:szCs w:val="24"/>
        </w:rPr>
        <w:drawing>
          <wp:inline distT="0" distB="0" distL="0" distR="0">
            <wp:extent cx="5943600" cy="3863340"/>
            <wp:effectExtent l="19050" t="0" r="19050" b="381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76793E">
        <w:rPr>
          <w:rFonts w:ascii="Arial" w:hAnsi="Arial" w:cs="Arial"/>
          <w:sz w:val="24"/>
          <w:szCs w:val="24"/>
          <w:lang w:val="ro-RO"/>
        </w:rPr>
        <w:t xml:space="preserve">           </w:t>
      </w:r>
      <w:r w:rsidR="0076793E">
        <w:rPr>
          <w:rFonts w:ascii="Arial" w:hAnsi="Arial" w:cs="Arial"/>
          <w:sz w:val="24"/>
          <w:szCs w:val="24"/>
          <w:lang w:val="ro-RO"/>
        </w:rPr>
        <w:t xml:space="preserve">                   </w:t>
      </w:r>
      <w:r w:rsidRPr="0076793E">
        <w:rPr>
          <w:rFonts w:ascii="Arial" w:hAnsi="Arial" w:cs="Arial"/>
          <w:sz w:val="24"/>
          <w:szCs w:val="24"/>
          <w:lang w:val="ro-RO"/>
        </w:rPr>
        <w:t xml:space="preserve">                           Figura I.3.2.</w:t>
      </w:r>
    </w:p>
    <w:p w:rsidR="00064D09" w:rsidRDefault="00064D09" w:rsidP="00E939BB">
      <w:pPr>
        <w:rPr>
          <w:rFonts w:ascii="Arial" w:hAnsi="Arial" w:cs="Arial"/>
          <w:noProof/>
          <w:sz w:val="24"/>
          <w:szCs w:val="24"/>
        </w:rPr>
      </w:pPr>
    </w:p>
    <w:p w:rsidR="00143DD1" w:rsidRDefault="00143DD1" w:rsidP="00E939BB">
      <w:pPr>
        <w:rPr>
          <w:rFonts w:ascii="Arial" w:hAnsi="Arial" w:cs="Arial"/>
          <w:noProof/>
          <w:sz w:val="24"/>
          <w:szCs w:val="24"/>
        </w:rPr>
      </w:pPr>
    </w:p>
    <w:p w:rsidR="00143DD1" w:rsidRPr="0076793E" w:rsidRDefault="00143DD1" w:rsidP="00E939BB">
      <w:pPr>
        <w:rPr>
          <w:rFonts w:ascii="Arial" w:hAnsi="Arial" w:cs="Arial"/>
          <w:noProof/>
          <w:sz w:val="24"/>
          <w:szCs w:val="24"/>
        </w:rPr>
      </w:pPr>
    </w:p>
    <w:p w:rsidR="00064D09" w:rsidRPr="00824C69" w:rsidRDefault="000D60D3" w:rsidP="000D60D3">
      <w:pPr>
        <w:jc w:val="center"/>
        <w:rPr>
          <w:rFonts w:ascii="Arial" w:hAnsi="Arial" w:cs="Arial"/>
          <w:noProof/>
          <w:color w:val="FF0000"/>
          <w:sz w:val="24"/>
          <w:szCs w:val="24"/>
        </w:rPr>
      </w:pPr>
      <w:r w:rsidRPr="000D60D3">
        <w:rPr>
          <w:rFonts w:ascii="Arial" w:hAnsi="Arial" w:cs="Arial"/>
          <w:noProof/>
          <w:color w:val="FF0000"/>
          <w:sz w:val="24"/>
          <w:szCs w:val="24"/>
        </w:rPr>
        <w:drawing>
          <wp:inline distT="0" distB="0" distL="0" distR="0">
            <wp:extent cx="5943600" cy="3161030"/>
            <wp:effectExtent l="19050" t="0" r="19050" b="127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854BA" w:rsidRPr="00C709E9" w:rsidRDefault="00D854BA" w:rsidP="00D854BA">
      <w:pPr>
        <w:rPr>
          <w:rFonts w:ascii="Arial" w:hAnsi="Arial" w:cs="Arial"/>
          <w:noProof/>
          <w:sz w:val="24"/>
          <w:szCs w:val="24"/>
        </w:rPr>
      </w:pPr>
      <w:r w:rsidRPr="00824C69">
        <w:rPr>
          <w:rFonts w:ascii="Arial" w:hAnsi="Arial" w:cs="Arial"/>
          <w:color w:val="FF0000"/>
          <w:sz w:val="24"/>
          <w:szCs w:val="24"/>
          <w:lang w:val="ro-RO"/>
        </w:rPr>
        <w:t xml:space="preserve">                                                                                              </w:t>
      </w:r>
      <w:r w:rsidR="00C709E9">
        <w:rPr>
          <w:rFonts w:ascii="Arial" w:hAnsi="Arial" w:cs="Arial"/>
          <w:color w:val="FF0000"/>
          <w:sz w:val="24"/>
          <w:szCs w:val="24"/>
          <w:lang w:val="ro-RO"/>
        </w:rPr>
        <w:t xml:space="preserve">                        </w:t>
      </w:r>
      <w:r w:rsidRPr="00824C69">
        <w:rPr>
          <w:rFonts w:ascii="Arial" w:hAnsi="Arial" w:cs="Arial"/>
          <w:color w:val="FF0000"/>
          <w:sz w:val="24"/>
          <w:szCs w:val="24"/>
          <w:lang w:val="ro-RO"/>
        </w:rPr>
        <w:t xml:space="preserve">      </w:t>
      </w:r>
      <w:r w:rsidRPr="00C709E9">
        <w:rPr>
          <w:rFonts w:ascii="Arial" w:hAnsi="Arial" w:cs="Arial"/>
          <w:sz w:val="24"/>
          <w:szCs w:val="24"/>
          <w:lang w:val="ro-RO"/>
        </w:rPr>
        <w:t>Figura I.3.3.</w:t>
      </w:r>
    </w:p>
    <w:p w:rsidR="00493DE7" w:rsidRPr="00824C69" w:rsidRDefault="00493DE7" w:rsidP="00493DE7">
      <w:pPr>
        <w:rPr>
          <w:rFonts w:ascii="Arial" w:hAnsi="Arial" w:cs="Arial"/>
          <w:noProof/>
          <w:color w:val="FF0000"/>
          <w:sz w:val="24"/>
          <w:szCs w:val="24"/>
        </w:rPr>
      </w:pPr>
    </w:p>
    <w:p w:rsidR="00064D09" w:rsidRPr="00824C69" w:rsidRDefault="00064D09" w:rsidP="00E939BB">
      <w:pPr>
        <w:rPr>
          <w:rFonts w:ascii="Arial" w:hAnsi="Arial" w:cs="Arial"/>
          <w:noProof/>
          <w:color w:val="FF0000"/>
          <w:sz w:val="24"/>
          <w:szCs w:val="24"/>
        </w:rPr>
      </w:pPr>
    </w:p>
    <w:p w:rsidR="00064D09" w:rsidRPr="00824C69" w:rsidRDefault="00FF1EB4" w:rsidP="007A26BE">
      <w:pPr>
        <w:jc w:val="center"/>
        <w:rPr>
          <w:rFonts w:ascii="Arial" w:hAnsi="Arial" w:cs="Arial"/>
          <w:noProof/>
          <w:color w:val="FF0000"/>
          <w:sz w:val="24"/>
          <w:szCs w:val="24"/>
        </w:rPr>
      </w:pPr>
      <w:r w:rsidRPr="00FF1EB4">
        <w:rPr>
          <w:rFonts w:ascii="Arial" w:hAnsi="Arial" w:cs="Arial"/>
          <w:noProof/>
          <w:color w:val="FF0000"/>
          <w:sz w:val="24"/>
          <w:szCs w:val="24"/>
        </w:rPr>
        <w:drawing>
          <wp:inline distT="0" distB="0" distL="0" distR="0">
            <wp:extent cx="5943600" cy="3161030"/>
            <wp:effectExtent l="19050" t="0" r="19050" b="127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54BA" w:rsidRPr="007A26BE" w:rsidRDefault="00D854BA" w:rsidP="00D854BA">
      <w:pPr>
        <w:rPr>
          <w:rFonts w:ascii="Arial" w:hAnsi="Arial" w:cs="Arial"/>
          <w:noProof/>
          <w:sz w:val="24"/>
          <w:szCs w:val="24"/>
        </w:rPr>
      </w:pPr>
      <w:r w:rsidRPr="007A26BE">
        <w:rPr>
          <w:rFonts w:ascii="Arial" w:hAnsi="Arial" w:cs="Arial"/>
          <w:sz w:val="24"/>
          <w:szCs w:val="24"/>
          <w:lang w:val="ro-RO"/>
        </w:rPr>
        <w:t xml:space="preserve">                                                                                                 </w:t>
      </w:r>
      <w:r w:rsidR="007A26BE" w:rsidRPr="007A26BE">
        <w:rPr>
          <w:rFonts w:ascii="Arial" w:hAnsi="Arial" w:cs="Arial"/>
          <w:sz w:val="24"/>
          <w:szCs w:val="24"/>
          <w:lang w:val="ro-RO"/>
        </w:rPr>
        <w:t xml:space="preserve">                       </w:t>
      </w:r>
      <w:r w:rsidRPr="007A26BE">
        <w:rPr>
          <w:rFonts w:ascii="Arial" w:hAnsi="Arial" w:cs="Arial"/>
          <w:sz w:val="24"/>
          <w:szCs w:val="24"/>
          <w:lang w:val="ro-RO"/>
        </w:rPr>
        <w:t xml:space="preserve">   Figura I.3.4.</w:t>
      </w:r>
    </w:p>
    <w:p w:rsidR="00064D09" w:rsidRPr="00824C69" w:rsidRDefault="00064D09" w:rsidP="00E939BB">
      <w:pPr>
        <w:rPr>
          <w:rFonts w:ascii="Arial" w:hAnsi="Arial" w:cs="Arial"/>
          <w:noProof/>
          <w:color w:val="FF0000"/>
          <w:sz w:val="24"/>
          <w:szCs w:val="24"/>
        </w:rPr>
      </w:pPr>
    </w:p>
    <w:p w:rsidR="00064D09" w:rsidRPr="00824C69" w:rsidRDefault="00064D09" w:rsidP="00E939BB">
      <w:pPr>
        <w:rPr>
          <w:rFonts w:ascii="Arial" w:hAnsi="Arial" w:cs="Arial"/>
          <w:noProof/>
          <w:color w:val="FF0000"/>
          <w:sz w:val="24"/>
          <w:szCs w:val="24"/>
        </w:rPr>
      </w:pPr>
    </w:p>
    <w:p w:rsidR="00064D09" w:rsidRPr="00824C69" w:rsidRDefault="006F6A88" w:rsidP="00FD2124">
      <w:pPr>
        <w:jc w:val="center"/>
        <w:rPr>
          <w:rFonts w:ascii="Arial" w:hAnsi="Arial" w:cs="Arial"/>
          <w:noProof/>
          <w:color w:val="FF0000"/>
          <w:sz w:val="24"/>
          <w:szCs w:val="24"/>
        </w:rPr>
      </w:pPr>
      <w:r w:rsidRPr="006F6A88">
        <w:rPr>
          <w:rFonts w:ascii="Arial" w:hAnsi="Arial" w:cs="Arial"/>
          <w:noProof/>
          <w:color w:val="FF0000"/>
          <w:sz w:val="24"/>
          <w:szCs w:val="24"/>
        </w:rPr>
        <w:drawing>
          <wp:inline distT="0" distB="0" distL="0" distR="0">
            <wp:extent cx="5943600" cy="3161030"/>
            <wp:effectExtent l="19050" t="0" r="19050" b="127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854BA" w:rsidRPr="00FD2124" w:rsidRDefault="00D854BA" w:rsidP="00D854BA">
      <w:pPr>
        <w:rPr>
          <w:rFonts w:ascii="Arial" w:hAnsi="Arial" w:cs="Arial"/>
          <w:noProof/>
          <w:sz w:val="24"/>
          <w:szCs w:val="24"/>
          <w:lang w:val="it-IT"/>
        </w:rPr>
      </w:pPr>
      <w:r w:rsidRPr="00FD2124">
        <w:rPr>
          <w:rFonts w:ascii="Arial" w:hAnsi="Arial" w:cs="Arial"/>
          <w:sz w:val="24"/>
          <w:szCs w:val="24"/>
          <w:lang w:val="ro-RO"/>
        </w:rPr>
        <w:t xml:space="preserve">                                                                                                   </w:t>
      </w:r>
      <w:r w:rsidR="00FD2124" w:rsidRPr="00FD2124">
        <w:rPr>
          <w:rFonts w:ascii="Arial" w:hAnsi="Arial" w:cs="Arial"/>
          <w:sz w:val="24"/>
          <w:szCs w:val="24"/>
          <w:lang w:val="ro-RO"/>
        </w:rPr>
        <w:t xml:space="preserve">                        </w:t>
      </w:r>
      <w:r w:rsidRPr="00FD2124">
        <w:rPr>
          <w:rFonts w:ascii="Arial" w:hAnsi="Arial" w:cs="Arial"/>
          <w:sz w:val="24"/>
          <w:szCs w:val="24"/>
          <w:lang w:val="ro-RO"/>
        </w:rPr>
        <w:t xml:space="preserve"> Figura I.3.5.</w:t>
      </w:r>
    </w:p>
    <w:p w:rsidR="00493DE7" w:rsidRPr="00824C69" w:rsidRDefault="00493DE7" w:rsidP="00493DE7">
      <w:pPr>
        <w:jc w:val="both"/>
        <w:rPr>
          <w:rFonts w:ascii="Arial" w:hAnsi="Arial" w:cs="Arial"/>
          <w:bCs/>
          <w:color w:val="FF0000"/>
          <w:sz w:val="24"/>
          <w:szCs w:val="24"/>
          <w:lang w:val="ro-RO"/>
        </w:rPr>
      </w:pPr>
    </w:p>
    <w:p w:rsidR="00493DE7" w:rsidRPr="00281B0F" w:rsidRDefault="00493DE7" w:rsidP="00493DE7">
      <w:pPr>
        <w:jc w:val="both"/>
        <w:rPr>
          <w:rFonts w:ascii="Arial" w:hAnsi="Arial" w:cs="Arial"/>
          <w:b/>
          <w:bCs/>
          <w:sz w:val="24"/>
          <w:szCs w:val="24"/>
          <w:lang w:val="ro-RO"/>
        </w:rPr>
      </w:pPr>
      <w:r w:rsidRPr="00281B0F">
        <w:rPr>
          <w:rFonts w:ascii="Arial" w:hAnsi="Arial" w:cs="Arial"/>
          <w:b/>
          <w:bCs/>
          <w:sz w:val="24"/>
          <w:szCs w:val="24"/>
          <w:lang w:val="ro-RO"/>
        </w:rPr>
        <w:t>Cod indicator România: RO 02</w:t>
      </w:r>
    </w:p>
    <w:p w:rsidR="00493DE7" w:rsidRPr="00281B0F" w:rsidRDefault="00493DE7" w:rsidP="00493DE7">
      <w:pPr>
        <w:jc w:val="both"/>
        <w:rPr>
          <w:rFonts w:ascii="Arial" w:hAnsi="Arial" w:cs="Arial"/>
          <w:b/>
          <w:bCs/>
          <w:sz w:val="24"/>
          <w:szCs w:val="24"/>
          <w:lang w:val="ro-RO"/>
        </w:rPr>
      </w:pPr>
      <w:r w:rsidRPr="00281B0F">
        <w:rPr>
          <w:rFonts w:ascii="Arial" w:hAnsi="Arial" w:cs="Arial"/>
          <w:b/>
          <w:bCs/>
          <w:sz w:val="24"/>
          <w:szCs w:val="24"/>
          <w:lang w:val="ro-RO"/>
        </w:rPr>
        <w:t xml:space="preserve">Cod indicator AEM: CSI 02 </w:t>
      </w:r>
    </w:p>
    <w:p w:rsidR="00493DE7" w:rsidRPr="00281B0F" w:rsidRDefault="00493DE7" w:rsidP="00493DE7">
      <w:pPr>
        <w:jc w:val="both"/>
        <w:rPr>
          <w:rFonts w:ascii="Arial" w:hAnsi="Arial" w:cs="Arial"/>
          <w:b/>
          <w:bCs/>
          <w:sz w:val="24"/>
          <w:szCs w:val="24"/>
          <w:lang w:val="ro-RO"/>
        </w:rPr>
      </w:pPr>
      <w:r w:rsidRPr="00281B0F">
        <w:rPr>
          <w:rFonts w:ascii="Arial" w:hAnsi="Arial" w:cs="Arial"/>
          <w:b/>
          <w:bCs/>
          <w:sz w:val="24"/>
          <w:szCs w:val="24"/>
          <w:lang w:val="ro-RO"/>
        </w:rPr>
        <w:t xml:space="preserve">DENUMIRE: EMISII DE PRECURSORI AI OZONULUI </w:t>
      </w:r>
    </w:p>
    <w:p w:rsidR="00D854BA" w:rsidRPr="00281B0F" w:rsidRDefault="00493DE7" w:rsidP="00493DE7">
      <w:pPr>
        <w:rPr>
          <w:noProof/>
          <w:lang w:val="it-IT"/>
        </w:rPr>
      </w:pPr>
      <w:r w:rsidRPr="00281B0F">
        <w:rPr>
          <w:rFonts w:ascii="Arial" w:hAnsi="Arial" w:cs="Arial"/>
          <w:bCs/>
          <w:sz w:val="24"/>
          <w:szCs w:val="24"/>
          <w:lang w:val="ro-RO"/>
        </w:rPr>
        <w:t>DEFINITIE:</w:t>
      </w:r>
      <w:r w:rsidRPr="00281B0F">
        <w:rPr>
          <w:rFonts w:ascii="Arial" w:hAnsi="Arial" w:cs="Arial"/>
          <w:sz w:val="24"/>
          <w:szCs w:val="24"/>
          <w:lang w:val="it-IT"/>
        </w:rPr>
        <w:t xml:space="preserve"> Indicatorul urmăreşte tendinţele emisiilor antropice de poluanţi precursori ai ozonului: oxizi de azot (NOx), monoxid de carbon (CO), metan (CH4) şi compuşi organici volatili nemetanici (COVNM) proveniţi din sectoarele: producerea şi distribuţia energiei; utilizarea energiei în industrie; procesele industriale; transport rutier; transport nerutier; sectorul comercial, industrial şi gospodării; folosirea solvenţilor şi a produselor; agricultură; deşeuri; altele.</w:t>
      </w:r>
      <w:r w:rsidR="00D854BA" w:rsidRPr="00281B0F">
        <w:rPr>
          <w:noProof/>
          <w:lang w:val="it-IT"/>
        </w:rPr>
        <w:t xml:space="preserve"> </w:t>
      </w:r>
    </w:p>
    <w:p w:rsidR="002046DF" w:rsidRPr="00824C69" w:rsidRDefault="00D31D4A" w:rsidP="003E4F9B">
      <w:pPr>
        <w:jc w:val="center"/>
        <w:rPr>
          <w:noProof/>
          <w:color w:val="FF0000"/>
        </w:rPr>
      </w:pPr>
      <w:r w:rsidRPr="00D31D4A">
        <w:rPr>
          <w:noProof/>
          <w:color w:val="FF0000"/>
        </w:rPr>
        <w:drawing>
          <wp:inline distT="0" distB="0" distL="0" distR="0">
            <wp:extent cx="5940670" cy="3332773"/>
            <wp:effectExtent l="19050" t="0" r="21980" b="977"/>
            <wp:docPr id="3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854BA" w:rsidRDefault="009D2AEA" w:rsidP="00D854BA">
      <w:pPr>
        <w:ind w:left="6480"/>
        <w:rPr>
          <w:rFonts w:ascii="Arial" w:hAnsi="Arial" w:cs="Arial"/>
          <w:sz w:val="24"/>
          <w:szCs w:val="24"/>
          <w:lang w:val="ro-RO"/>
        </w:rPr>
      </w:pPr>
      <w:r w:rsidRPr="009D2AEA">
        <w:rPr>
          <w:rFonts w:ascii="Arial" w:hAnsi="Arial" w:cs="Arial"/>
          <w:sz w:val="24"/>
          <w:szCs w:val="24"/>
          <w:lang w:val="ro-RO"/>
        </w:rPr>
        <w:t xml:space="preserve">                         </w:t>
      </w:r>
      <w:r w:rsidR="00D854BA" w:rsidRPr="009D2AEA">
        <w:rPr>
          <w:rFonts w:ascii="Arial" w:hAnsi="Arial" w:cs="Arial"/>
          <w:sz w:val="24"/>
          <w:szCs w:val="24"/>
          <w:lang w:val="ro-RO"/>
        </w:rPr>
        <w:t>Figura I.3.6.</w:t>
      </w:r>
    </w:p>
    <w:p w:rsidR="00CF5976" w:rsidRDefault="00CF5976" w:rsidP="00D854BA">
      <w:pPr>
        <w:ind w:left="6480"/>
        <w:rPr>
          <w:rFonts w:ascii="Arial" w:hAnsi="Arial" w:cs="Arial"/>
          <w:sz w:val="24"/>
          <w:szCs w:val="24"/>
          <w:lang w:val="ro-RO"/>
        </w:rPr>
      </w:pPr>
    </w:p>
    <w:p w:rsidR="00CF5976" w:rsidRPr="009D2AEA" w:rsidRDefault="00CF5976" w:rsidP="00D854BA">
      <w:pPr>
        <w:ind w:left="6480"/>
        <w:rPr>
          <w:rFonts w:ascii="Arial" w:hAnsi="Arial" w:cs="Arial"/>
          <w:sz w:val="24"/>
          <w:szCs w:val="24"/>
          <w:lang w:val="ro-RO"/>
        </w:rPr>
      </w:pPr>
    </w:p>
    <w:p w:rsidR="00281B0F" w:rsidRDefault="00281B0F" w:rsidP="00D854BA">
      <w:pPr>
        <w:ind w:left="6480"/>
        <w:rPr>
          <w:rFonts w:ascii="Arial" w:hAnsi="Arial" w:cs="Arial"/>
          <w:color w:val="FF0000"/>
          <w:sz w:val="24"/>
          <w:szCs w:val="24"/>
          <w:lang w:val="ro-RO"/>
        </w:rPr>
      </w:pPr>
    </w:p>
    <w:p w:rsidR="00281B0F" w:rsidRPr="00824C69" w:rsidRDefault="00A3750B" w:rsidP="00A73FDF">
      <w:pPr>
        <w:jc w:val="center"/>
        <w:rPr>
          <w:rFonts w:ascii="Arial" w:hAnsi="Arial" w:cs="Arial"/>
          <w:noProof/>
          <w:color w:val="FF0000"/>
          <w:sz w:val="24"/>
          <w:szCs w:val="24"/>
        </w:rPr>
      </w:pPr>
      <w:r w:rsidRPr="00A3750B">
        <w:rPr>
          <w:rFonts w:ascii="Arial" w:hAnsi="Arial" w:cs="Arial"/>
          <w:noProof/>
          <w:color w:val="FF0000"/>
          <w:sz w:val="24"/>
          <w:szCs w:val="24"/>
        </w:rPr>
        <w:drawing>
          <wp:inline distT="0" distB="0" distL="0" distR="0">
            <wp:extent cx="5900313" cy="2812212"/>
            <wp:effectExtent l="19050" t="0" r="24237" b="7188"/>
            <wp:docPr id="3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854BA" w:rsidRPr="00CF5976" w:rsidRDefault="00CF5976" w:rsidP="00D854BA">
      <w:pPr>
        <w:ind w:left="6480"/>
        <w:rPr>
          <w:rFonts w:ascii="Arial" w:hAnsi="Arial" w:cs="Arial"/>
          <w:noProof/>
          <w:sz w:val="24"/>
          <w:szCs w:val="24"/>
        </w:rPr>
      </w:pPr>
      <w:r w:rsidRPr="00CF5976">
        <w:rPr>
          <w:rFonts w:ascii="Arial" w:hAnsi="Arial" w:cs="Arial"/>
          <w:sz w:val="24"/>
          <w:szCs w:val="24"/>
          <w:lang w:val="ro-RO"/>
        </w:rPr>
        <w:t xml:space="preserve">                           </w:t>
      </w:r>
      <w:r w:rsidR="00D854BA" w:rsidRPr="00CF5976">
        <w:rPr>
          <w:rFonts w:ascii="Arial" w:hAnsi="Arial" w:cs="Arial"/>
          <w:sz w:val="24"/>
          <w:szCs w:val="24"/>
          <w:lang w:val="ro-RO"/>
        </w:rPr>
        <w:t>Figura I.3.7.</w:t>
      </w:r>
    </w:p>
    <w:p w:rsidR="00D854BA" w:rsidRPr="00824C69" w:rsidRDefault="00493DE7" w:rsidP="00D854BA">
      <w:pPr>
        <w:ind w:left="6480"/>
        <w:rPr>
          <w:rFonts w:ascii="Arial" w:hAnsi="Arial" w:cs="Arial"/>
          <w:noProof/>
          <w:color w:val="FF0000"/>
          <w:sz w:val="24"/>
          <w:szCs w:val="24"/>
        </w:rPr>
      </w:pPr>
      <w:r w:rsidRPr="00824C69">
        <w:rPr>
          <w:rFonts w:ascii="Arial" w:hAnsi="Arial" w:cs="Arial"/>
          <w:color w:val="FF0000"/>
          <w:sz w:val="24"/>
          <w:szCs w:val="24"/>
          <w:lang w:val="ro-RO"/>
        </w:rPr>
        <w:t xml:space="preserve">                                                       </w:t>
      </w:r>
      <w:r w:rsidR="00D854BA" w:rsidRPr="00824C69">
        <w:rPr>
          <w:rFonts w:ascii="Arial" w:hAnsi="Arial" w:cs="Arial"/>
          <w:color w:val="FF0000"/>
          <w:sz w:val="24"/>
          <w:szCs w:val="24"/>
          <w:lang w:val="ro-RO"/>
        </w:rPr>
        <w:t xml:space="preserve">                                                                                                                                     </w:t>
      </w:r>
    </w:p>
    <w:p w:rsidR="00551CB8" w:rsidRPr="00824C69" w:rsidRDefault="001921DA" w:rsidP="001921DA">
      <w:pPr>
        <w:jc w:val="center"/>
        <w:rPr>
          <w:rFonts w:ascii="Arial" w:hAnsi="Arial" w:cs="Arial"/>
          <w:noProof/>
          <w:color w:val="FF0000"/>
          <w:sz w:val="24"/>
          <w:szCs w:val="24"/>
        </w:rPr>
      </w:pPr>
      <w:r w:rsidRPr="001921DA">
        <w:rPr>
          <w:rFonts w:ascii="Arial" w:hAnsi="Arial" w:cs="Arial"/>
          <w:noProof/>
          <w:color w:val="FF0000"/>
          <w:sz w:val="24"/>
          <w:szCs w:val="24"/>
        </w:rPr>
        <w:drawing>
          <wp:inline distT="0" distB="0" distL="0" distR="0">
            <wp:extent cx="5943600" cy="3161030"/>
            <wp:effectExtent l="19050" t="0" r="19050" b="1270"/>
            <wp:docPr id="4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92C66" w:rsidRPr="00A21EFB" w:rsidRDefault="00A21EFB" w:rsidP="00892C66">
      <w:pPr>
        <w:rPr>
          <w:rFonts w:ascii="Arial" w:hAnsi="Arial" w:cs="Arial"/>
          <w:noProof/>
          <w:sz w:val="24"/>
          <w:szCs w:val="24"/>
        </w:rPr>
      </w:pPr>
      <w:r w:rsidRPr="00A21EFB">
        <w:rPr>
          <w:rFonts w:ascii="Arial" w:hAnsi="Arial" w:cs="Arial"/>
          <w:sz w:val="24"/>
          <w:szCs w:val="24"/>
          <w:lang w:val="ro-RO"/>
        </w:rPr>
        <w:t xml:space="preserve">                                </w:t>
      </w:r>
      <w:r w:rsidR="00920DCC" w:rsidRPr="00A21EFB">
        <w:rPr>
          <w:rFonts w:ascii="Arial" w:hAnsi="Arial" w:cs="Arial"/>
          <w:sz w:val="24"/>
          <w:szCs w:val="24"/>
          <w:lang w:val="ro-RO"/>
        </w:rPr>
        <w:t xml:space="preserve">                                                                                          </w:t>
      </w:r>
      <w:r w:rsidR="00246ADF" w:rsidRPr="00A21EFB">
        <w:rPr>
          <w:rFonts w:ascii="Arial" w:hAnsi="Arial" w:cs="Arial"/>
          <w:sz w:val="24"/>
          <w:szCs w:val="24"/>
          <w:lang w:val="ro-RO"/>
        </w:rPr>
        <w:t xml:space="preserve"> </w:t>
      </w:r>
      <w:r w:rsidR="00892C66" w:rsidRPr="00A21EFB">
        <w:rPr>
          <w:rFonts w:ascii="Arial" w:hAnsi="Arial" w:cs="Arial"/>
          <w:sz w:val="24"/>
          <w:szCs w:val="24"/>
          <w:lang w:val="ro-RO"/>
        </w:rPr>
        <w:t>Figura I.3.8.</w:t>
      </w:r>
    </w:p>
    <w:p w:rsidR="00551CB8" w:rsidRDefault="00551CB8" w:rsidP="00E939BB">
      <w:pPr>
        <w:rPr>
          <w:rFonts w:ascii="Arial" w:hAnsi="Arial" w:cs="Arial"/>
          <w:noProof/>
          <w:color w:val="FF0000"/>
          <w:sz w:val="24"/>
          <w:szCs w:val="24"/>
        </w:rPr>
      </w:pPr>
    </w:p>
    <w:p w:rsidR="00AC0DE6" w:rsidRDefault="00AC0DE6" w:rsidP="00E939BB">
      <w:pPr>
        <w:rPr>
          <w:rFonts w:ascii="Arial" w:hAnsi="Arial" w:cs="Arial"/>
          <w:noProof/>
          <w:color w:val="FF0000"/>
          <w:sz w:val="24"/>
          <w:szCs w:val="24"/>
        </w:rPr>
      </w:pPr>
    </w:p>
    <w:p w:rsidR="00AC0DE6" w:rsidRDefault="00AC0DE6" w:rsidP="00E939BB">
      <w:pPr>
        <w:rPr>
          <w:rFonts w:ascii="Arial" w:hAnsi="Arial" w:cs="Arial"/>
          <w:noProof/>
          <w:color w:val="FF0000"/>
          <w:sz w:val="24"/>
          <w:szCs w:val="24"/>
        </w:rPr>
      </w:pPr>
    </w:p>
    <w:p w:rsidR="00A21EFB" w:rsidRPr="00824C69" w:rsidRDefault="00A21EFB" w:rsidP="00E939BB">
      <w:pPr>
        <w:rPr>
          <w:rFonts w:ascii="Arial" w:hAnsi="Arial" w:cs="Arial"/>
          <w:noProof/>
          <w:color w:val="FF0000"/>
          <w:sz w:val="24"/>
          <w:szCs w:val="24"/>
        </w:rPr>
      </w:pPr>
    </w:p>
    <w:p w:rsidR="00551CB8" w:rsidRPr="00824C69" w:rsidRDefault="00677A96" w:rsidP="00AC0DE6">
      <w:pPr>
        <w:jc w:val="center"/>
        <w:rPr>
          <w:rFonts w:ascii="Arial" w:hAnsi="Arial" w:cs="Arial"/>
          <w:noProof/>
          <w:color w:val="FF0000"/>
          <w:sz w:val="24"/>
          <w:szCs w:val="24"/>
        </w:rPr>
      </w:pPr>
      <w:r w:rsidRPr="00677A96">
        <w:rPr>
          <w:rFonts w:ascii="Arial" w:hAnsi="Arial" w:cs="Arial"/>
          <w:noProof/>
          <w:color w:val="FF0000"/>
          <w:sz w:val="24"/>
          <w:szCs w:val="24"/>
        </w:rPr>
        <w:drawing>
          <wp:inline distT="0" distB="0" distL="0" distR="0">
            <wp:extent cx="5943600" cy="3161030"/>
            <wp:effectExtent l="19050" t="0" r="19050" b="1270"/>
            <wp:docPr id="5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92C66" w:rsidRPr="00AC0DE6" w:rsidRDefault="00AC0DE6" w:rsidP="00892C66">
      <w:pPr>
        <w:ind w:left="6480"/>
        <w:rPr>
          <w:rFonts w:ascii="Arial" w:hAnsi="Arial" w:cs="Arial"/>
          <w:noProof/>
          <w:sz w:val="24"/>
          <w:szCs w:val="24"/>
        </w:rPr>
      </w:pPr>
      <w:r w:rsidRPr="00AC0DE6">
        <w:rPr>
          <w:rFonts w:ascii="Arial" w:hAnsi="Arial" w:cs="Arial"/>
          <w:sz w:val="24"/>
          <w:szCs w:val="24"/>
          <w:lang w:val="ro-RO"/>
        </w:rPr>
        <w:t xml:space="preserve">                           </w:t>
      </w:r>
      <w:r w:rsidR="00892C66" w:rsidRPr="00AC0DE6">
        <w:rPr>
          <w:rFonts w:ascii="Arial" w:hAnsi="Arial" w:cs="Arial"/>
          <w:sz w:val="24"/>
          <w:szCs w:val="24"/>
          <w:lang w:val="ro-RO"/>
        </w:rPr>
        <w:t>Figura I.3.9.</w:t>
      </w:r>
    </w:p>
    <w:p w:rsidR="00246ADF" w:rsidRPr="00824C69" w:rsidRDefault="00246ADF" w:rsidP="00246ADF">
      <w:pPr>
        <w:rPr>
          <w:rFonts w:ascii="Arial" w:hAnsi="Arial" w:cs="Arial"/>
          <w:color w:val="FF0000"/>
          <w:sz w:val="24"/>
          <w:szCs w:val="24"/>
          <w:lang w:val="ro-RO"/>
        </w:rPr>
      </w:pPr>
    </w:p>
    <w:p w:rsidR="00551CB8" w:rsidRPr="00824C69" w:rsidRDefault="00687FCB" w:rsidP="00687FCB">
      <w:pPr>
        <w:jc w:val="center"/>
        <w:rPr>
          <w:rFonts w:ascii="Arial" w:hAnsi="Arial" w:cs="Arial"/>
          <w:noProof/>
          <w:color w:val="FF0000"/>
          <w:sz w:val="24"/>
          <w:szCs w:val="24"/>
        </w:rPr>
      </w:pPr>
      <w:r w:rsidRPr="00687FCB">
        <w:rPr>
          <w:rFonts w:ascii="Arial" w:hAnsi="Arial" w:cs="Arial"/>
          <w:noProof/>
          <w:color w:val="FF0000"/>
          <w:sz w:val="24"/>
          <w:szCs w:val="24"/>
        </w:rPr>
        <w:drawing>
          <wp:inline distT="0" distB="0" distL="0" distR="0">
            <wp:extent cx="5943600" cy="3161030"/>
            <wp:effectExtent l="19050" t="0" r="19050" b="1270"/>
            <wp:docPr id="5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92C66" w:rsidRPr="006A208D" w:rsidRDefault="006A208D" w:rsidP="00892C66">
      <w:pPr>
        <w:ind w:left="6480"/>
        <w:rPr>
          <w:rFonts w:ascii="Arial" w:hAnsi="Arial" w:cs="Arial"/>
          <w:noProof/>
          <w:sz w:val="24"/>
          <w:szCs w:val="24"/>
          <w:lang w:val="it-IT"/>
        </w:rPr>
      </w:pPr>
      <w:r w:rsidRPr="006A208D">
        <w:rPr>
          <w:rFonts w:ascii="Arial" w:hAnsi="Arial" w:cs="Arial"/>
          <w:sz w:val="24"/>
          <w:szCs w:val="24"/>
          <w:lang w:val="ro-RO"/>
        </w:rPr>
        <w:t xml:space="preserve">                       </w:t>
      </w:r>
      <w:r w:rsidR="00892C66" w:rsidRPr="006A208D">
        <w:rPr>
          <w:rFonts w:ascii="Arial" w:hAnsi="Arial" w:cs="Arial"/>
          <w:sz w:val="24"/>
          <w:szCs w:val="24"/>
          <w:lang w:val="ro-RO"/>
        </w:rPr>
        <w:t>Figura I.3.10.</w:t>
      </w:r>
    </w:p>
    <w:p w:rsidR="00246ADF" w:rsidRPr="00824C69" w:rsidRDefault="00246ADF" w:rsidP="00E939BB">
      <w:pPr>
        <w:rPr>
          <w:rFonts w:ascii="Arial" w:hAnsi="Arial" w:cs="Arial"/>
          <w:noProof/>
          <w:color w:val="FF0000"/>
          <w:sz w:val="24"/>
          <w:szCs w:val="24"/>
          <w:lang w:val="it-IT"/>
        </w:rPr>
      </w:pPr>
    </w:p>
    <w:p w:rsidR="00F05570" w:rsidRPr="00132237" w:rsidRDefault="00F05570" w:rsidP="00F05570">
      <w:pPr>
        <w:jc w:val="both"/>
        <w:rPr>
          <w:rFonts w:ascii="Arial" w:hAnsi="Arial" w:cs="Arial"/>
          <w:b/>
          <w:bCs/>
          <w:sz w:val="24"/>
          <w:szCs w:val="24"/>
          <w:lang w:val="ro-RO"/>
        </w:rPr>
      </w:pPr>
      <w:r w:rsidRPr="00132237">
        <w:rPr>
          <w:rFonts w:ascii="Arial" w:hAnsi="Arial" w:cs="Arial"/>
          <w:b/>
          <w:bCs/>
          <w:sz w:val="24"/>
          <w:szCs w:val="24"/>
          <w:lang w:val="ro-RO"/>
        </w:rPr>
        <w:t>Cod indicator România: RO 03</w:t>
      </w:r>
    </w:p>
    <w:p w:rsidR="00F05570" w:rsidRPr="00132237" w:rsidRDefault="00F05570" w:rsidP="00F05570">
      <w:pPr>
        <w:jc w:val="both"/>
        <w:rPr>
          <w:rFonts w:ascii="Arial" w:hAnsi="Arial" w:cs="Arial"/>
          <w:b/>
          <w:bCs/>
          <w:sz w:val="24"/>
          <w:szCs w:val="24"/>
          <w:lang w:val="ro-RO"/>
        </w:rPr>
      </w:pPr>
      <w:r w:rsidRPr="00132237">
        <w:rPr>
          <w:rFonts w:ascii="Arial" w:hAnsi="Arial" w:cs="Arial"/>
          <w:b/>
          <w:bCs/>
          <w:sz w:val="24"/>
          <w:szCs w:val="24"/>
          <w:lang w:val="ro-RO"/>
        </w:rPr>
        <w:t xml:space="preserve">Cod indicator AEM: CSI 03 </w:t>
      </w:r>
    </w:p>
    <w:p w:rsidR="00F05570" w:rsidRPr="00132237" w:rsidRDefault="00F05570" w:rsidP="00F05570">
      <w:pPr>
        <w:jc w:val="both"/>
        <w:rPr>
          <w:rFonts w:ascii="Arial" w:hAnsi="Arial" w:cs="Arial"/>
          <w:b/>
          <w:bCs/>
          <w:sz w:val="24"/>
          <w:szCs w:val="24"/>
          <w:lang w:val="ro-RO"/>
        </w:rPr>
      </w:pPr>
      <w:r w:rsidRPr="00132237">
        <w:rPr>
          <w:rFonts w:ascii="Arial" w:hAnsi="Arial" w:cs="Arial"/>
          <w:b/>
          <w:bCs/>
          <w:sz w:val="24"/>
          <w:szCs w:val="24"/>
          <w:lang w:val="ro-RO"/>
        </w:rPr>
        <w:t xml:space="preserve">DENUMIRE: </w:t>
      </w:r>
      <w:r w:rsidRPr="00132237">
        <w:rPr>
          <w:rFonts w:ascii="Arial" w:hAnsi="Arial" w:cs="Arial"/>
          <w:b/>
          <w:bCs/>
          <w:sz w:val="24"/>
          <w:szCs w:val="24"/>
          <w:lang w:val="it-IT"/>
        </w:rPr>
        <w:t>EMISII DE PARTICULE PRIMARE ŞI PRECURSORI SECUNDARI DE PARTICULE</w:t>
      </w:r>
      <w:r w:rsidRPr="00132237">
        <w:rPr>
          <w:b/>
          <w:bCs/>
          <w:lang w:val="it-IT"/>
        </w:rPr>
        <w:t xml:space="preserve"> </w:t>
      </w:r>
    </w:p>
    <w:p w:rsidR="00551CB8" w:rsidRPr="00132237" w:rsidRDefault="00F05570" w:rsidP="00F05570">
      <w:pPr>
        <w:rPr>
          <w:lang w:val="it-IT"/>
        </w:rPr>
      </w:pPr>
      <w:r w:rsidRPr="00132237">
        <w:rPr>
          <w:rFonts w:ascii="Arial" w:hAnsi="Arial" w:cs="Arial"/>
          <w:bCs/>
          <w:sz w:val="24"/>
          <w:szCs w:val="24"/>
          <w:lang w:val="ro-RO"/>
        </w:rPr>
        <w:t>DEFINITIE:</w:t>
      </w:r>
      <w:r w:rsidRPr="00132237">
        <w:rPr>
          <w:lang w:val="it-IT"/>
        </w:rPr>
        <w:t xml:space="preserve"> </w:t>
      </w:r>
      <w:r w:rsidRPr="00132237">
        <w:rPr>
          <w:rFonts w:ascii="Arial" w:hAnsi="Arial" w:cs="Arial"/>
          <w:sz w:val="24"/>
          <w:szCs w:val="24"/>
          <w:lang w:val="it-IT"/>
        </w:rPr>
        <w:t xml:space="preserve">Acest indicator prezintă tendinţele emisiilor de particule primare cu diametrul mai mic de 2,5 </w:t>
      </w:r>
      <w:r w:rsidRPr="00132237">
        <w:rPr>
          <w:rFonts w:ascii="Arial" w:hAnsi="Arial" w:cs="Arial"/>
          <w:sz w:val="24"/>
          <w:szCs w:val="24"/>
        </w:rPr>
        <w:t>μ</w:t>
      </w:r>
      <w:r w:rsidRPr="00132237">
        <w:rPr>
          <w:rFonts w:ascii="Arial" w:hAnsi="Arial" w:cs="Arial"/>
          <w:sz w:val="24"/>
          <w:szCs w:val="24"/>
          <w:lang w:val="it-IT"/>
        </w:rPr>
        <w:t xml:space="preserve">m (PM2,5) şi respectiv 10 </w:t>
      </w:r>
      <w:r w:rsidRPr="00132237">
        <w:rPr>
          <w:rFonts w:ascii="Arial" w:hAnsi="Arial" w:cs="Arial"/>
          <w:sz w:val="24"/>
          <w:szCs w:val="24"/>
        </w:rPr>
        <w:t>μ</w:t>
      </w:r>
      <w:r w:rsidRPr="00132237">
        <w:rPr>
          <w:rFonts w:ascii="Arial" w:hAnsi="Arial" w:cs="Arial"/>
          <w:sz w:val="24"/>
          <w:szCs w:val="24"/>
          <w:lang w:val="it-IT"/>
        </w:rPr>
        <w:t>m (PM10) şi de precursori secundari de particule (oxizi de azot (NOx), amoniac (NH3) şi dioxid de sulf (SO2), provenite de la surse antropice, pe sectoare sursă: producerea şi distribuţia energiei; utilizarea energiei în industrie; procese industriale; transportul rutier; transportul nerutier; comercial, instituţional şi rezidenţial; utilizarea solvenţilor şi a altor produse; agricultură; deşeuri; alte surse</w:t>
      </w:r>
      <w:r w:rsidRPr="00132237">
        <w:rPr>
          <w:lang w:val="it-IT"/>
        </w:rPr>
        <w:t>.</w:t>
      </w:r>
    </w:p>
    <w:p w:rsidR="00F05570" w:rsidRPr="00824C69" w:rsidRDefault="00F05570" w:rsidP="00F05570">
      <w:pPr>
        <w:rPr>
          <w:color w:val="FF0000"/>
          <w:lang w:val="it-IT"/>
        </w:rPr>
      </w:pPr>
    </w:p>
    <w:p w:rsidR="00F05570" w:rsidRPr="00824C69" w:rsidRDefault="00CE4D9B" w:rsidP="00CE4D9B">
      <w:pPr>
        <w:jc w:val="center"/>
        <w:rPr>
          <w:rFonts w:ascii="Arial" w:hAnsi="Arial" w:cs="Arial"/>
          <w:noProof/>
          <w:color w:val="FF0000"/>
          <w:sz w:val="24"/>
          <w:szCs w:val="24"/>
        </w:rPr>
      </w:pPr>
      <w:r w:rsidRPr="00CE4D9B">
        <w:rPr>
          <w:rFonts w:ascii="Arial" w:hAnsi="Arial" w:cs="Arial"/>
          <w:noProof/>
          <w:color w:val="FF0000"/>
          <w:sz w:val="24"/>
          <w:szCs w:val="24"/>
        </w:rPr>
        <w:drawing>
          <wp:inline distT="0" distB="0" distL="0" distR="0">
            <wp:extent cx="5943600" cy="3161030"/>
            <wp:effectExtent l="19050" t="0" r="19050" b="1270"/>
            <wp:docPr id="5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2410F" w:rsidRPr="00132237" w:rsidRDefault="0072410F" w:rsidP="0072410F">
      <w:pPr>
        <w:ind w:left="6480"/>
        <w:rPr>
          <w:rFonts w:ascii="Arial" w:hAnsi="Arial" w:cs="Arial"/>
          <w:noProof/>
          <w:sz w:val="24"/>
          <w:szCs w:val="24"/>
        </w:rPr>
      </w:pPr>
      <w:r w:rsidRPr="00132237">
        <w:rPr>
          <w:rFonts w:ascii="Arial" w:hAnsi="Arial" w:cs="Arial"/>
          <w:sz w:val="24"/>
          <w:szCs w:val="24"/>
          <w:lang w:val="ro-RO"/>
        </w:rPr>
        <w:t xml:space="preserve">           </w:t>
      </w:r>
      <w:r w:rsidR="00132237" w:rsidRPr="00132237">
        <w:rPr>
          <w:rFonts w:ascii="Arial" w:hAnsi="Arial" w:cs="Arial"/>
          <w:sz w:val="24"/>
          <w:szCs w:val="24"/>
          <w:lang w:val="ro-RO"/>
        </w:rPr>
        <w:t xml:space="preserve">            </w:t>
      </w:r>
      <w:r w:rsidRPr="00132237">
        <w:rPr>
          <w:rFonts w:ascii="Arial" w:hAnsi="Arial" w:cs="Arial"/>
          <w:sz w:val="24"/>
          <w:szCs w:val="24"/>
          <w:lang w:val="ro-RO"/>
        </w:rPr>
        <w:t>Figura I.3.11.</w:t>
      </w:r>
    </w:p>
    <w:p w:rsidR="0072410F" w:rsidRPr="00824C69" w:rsidRDefault="0072410F" w:rsidP="00F05570">
      <w:pPr>
        <w:rPr>
          <w:rFonts w:ascii="Arial" w:hAnsi="Arial" w:cs="Arial"/>
          <w:noProof/>
          <w:color w:val="FF0000"/>
          <w:sz w:val="24"/>
          <w:szCs w:val="24"/>
        </w:rPr>
      </w:pPr>
    </w:p>
    <w:p w:rsidR="0072410F" w:rsidRPr="00824C69" w:rsidRDefault="00AD3FC2" w:rsidP="001F0BB4">
      <w:pPr>
        <w:jc w:val="center"/>
        <w:rPr>
          <w:rFonts w:ascii="Arial" w:hAnsi="Arial" w:cs="Arial"/>
          <w:noProof/>
          <w:color w:val="FF0000"/>
          <w:sz w:val="24"/>
          <w:szCs w:val="24"/>
        </w:rPr>
      </w:pPr>
      <w:r w:rsidRPr="00AD3FC2">
        <w:rPr>
          <w:rFonts w:ascii="Arial" w:hAnsi="Arial" w:cs="Arial"/>
          <w:noProof/>
          <w:color w:val="FF0000"/>
          <w:sz w:val="24"/>
          <w:szCs w:val="24"/>
        </w:rPr>
        <w:drawing>
          <wp:inline distT="0" distB="0" distL="0" distR="0">
            <wp:extent cx="5943600" cy="3161030"/>
            <wp:effectExtent l="19050" t="0" r="19050" b="1270"/>
            <wp:docPr id="5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2410F" w:rsidRPr="00824C69" w:rsidRDefault="00AF6964" w:rsidP="0072410F">
      <w:pPr>
        <w:ind w:left="6480"/>
        <w:rPr>
          <w:rFonts w:ascii="Arial" w:hAnsi="Arial" w:cs="Arial"/>
          <w:noProof/>
          <w:color w:val="FF0000"/>
          <w:sz w:val="24"/>
          <w:szCs w:val="24"/>
          <w:lang w:val="it-IT"/>
        </w:rPr>
      </w:pPr>
      <w:r w:rsidRPr="00AF6964">
        <w:rPr>
          <w:rFonts w:ascii="Arial" w:hAnsi="Arial" w:cs="Arial"/>
          <w:sz w:val="24"/>
          <w:szCs w:val="24"/>
          <w:lang w:val="ro-RO"/>
        </w:rPr>
        <w:t xml:space="preserve">             </w:t>
      </w:r>
      <w:r w:rsidR="0072410F" w:rsidRPr="00AF6964">
        <w:rPr>
          <w:rFonts w:ascii="Arial" w:hAnsi="Arial" w:cs="Arial"/>
          <w:sz w:val="24"/>
          <w:szCs w:val="24"/>
          <w:lang w:val="ro-RO"/>
        </w:rPr>
        <w:t xml:space="preserve">           Figura I.3.12</w:t>
      </w:r>
      <w:r w:rsidR="0072410F" w:rsidRPr="00824C69">
        <w:rPr>
          <w:rFonts w:ascii="Arial" w:hAnsi="Arial" w:cs="Arial"/>
          <w:color w:val="FF0000"/>
          <w:sz w:val="24"/>
          <w:szCs w:val="24"/>
          <w:lang w:val="ro-RO"/>
        </w:rPr>
        <w:t>.</w:t>
      </w:r>
    </w:p>
    <w:p w:rsidR="0072410F" w:rsidRPr="00824C69" w:rsidRDefault="0072410F" w:rsidP="0072410F">
      <w:pPr>
        <w:jc w:val="both"/>
        <w:rPr>
          <w:rFonts w:ascii="Arial" w:hAnsi="Arial" w:cs="Arial"/>
          <w:b/>
          <w:bCs/>
          <w:color w:val="FF0000"/>
          <w:sz w:val="24"/>
          <w:szCs w:val="24"/>
          <w:lang w:val="ro-RO"/>
        </w:rPr>
      </w:pPr>
    </w:p>
    <w:p w:rsidR="0072410F" w:rsidRPr="00824C69" w:rsidRDefault="0072410F" w:rsidP="0072410F">
      <w:pPr>
        <w:jc w:val="both"/>
        <w:rPr>
          <w:rFonts w:ascii="Arial" w:hAnsi="Arial" w:cs="Arial"/>
          <w:b/>
          <w:bCs/>
          <w:color w:val="FF0000"/>
          <w:sz w:val="24"/>
          <w:szCs w:val="24"/>
          <w:lang w:val="ro-RO"/>
        </w:rPr>
      </w:pPr>
    </w:p>
    <w:p w:rsidR="0072410F" w:rsidRPr="00824C69" w:rsidRDefault="0072410F" w:rsidP="0072410F">
      <w:pPr>
        <w:jc w:val="both"/>
        <w:rPr>
          <w:rFonts w:ascii="Arial" w:hAnsi="Arial" w:cs="Arial"/>
          <w:b/>
          <w:bCs/>
          <w:color w:val="FF0000"/>
          <w:sz w:val="24"/>
          <w:szCs w:val="24"/>
          <w:lang w:val="ro-RO"/>
        </w:rPr>
      </w:pPr>
    </w:p>
    <w:p w:rsidR="0072410F" w:rsidRPr="00FD2A83" w:rsidRDefault="0072410F" w:rsidP="0072410F">
      <w:pPr>
        <w:jc w:val="both"/>
        <w:rPr>
          <w:rFonts w:ascii="Arial" w:hAnsi="Arial" w:cs="Arial"/>
          <w:b/>
          <w:bCs/>
          <w:sz w:val="24"/>
          <w:szCs w:val="24"/>
          <w:lang w:val="ro-RO"/>
        </w:rPr>
      </w:pPr>
      <w:r w:rsidRPr="00FD2A83">
        <w:rPr>
          <w:rFonts w:ascii="Arial" w:hAnsi="Arial" w:cs="Arial"/>
          <w:b/>
          <w:bCs/>
          <w:sz w:val="24"/>
          <w:szCs w:val="24"/>
          <w:lang w:val="ro-RO"/>
        </w:rPr>
        <w:t>Cod indicator România: RO 38</w:t>
      </w:r>
    </w:p>
    <w:p w:rsidR="0072410F" w:rsidRPr="00FD2A83" w:rsidRDefault="0072410F" w:rsidP="0072410F">
      <w:pPr>
        <w:jc w:val="both"/>
        <w:rPr>
          <w:rFonts w:ascii="Arial" w:hAnsi="Arial" w:cs="Arial"/>
          <w:b/>
          <w:bCs/>
          <w:sz w:val="24"/>
          <w:szCs w:val="24"/>
          <w:lang w:val="ro-RO"/>
        </w:rPr>
      </w:pPr>
      <w:r w:rsidRPr="00FD2A83">
        <w:rPr>
          <w:rFonts w:ascii="Arial" w:hAnsi="Arial" w:cs="Arial"/>
          <w:b/>
          <w:bCs/>
          <w:sz w:val="24"/>
          <w:szCs w:val="24"/>
          <w:lang w:val="ro-RO"/>
        </w:rPr>
        <w:t>Cod indicator AEM: APE 05</w:t>
      </w:r>
    </w:p>
    <w:p w:rsidR="0072410F" w:rsidRPr="00FD2A83" w:rsidRDefault="0072410F" w:rsidP="0072410F">
      <w:pPr>
        <w:jc w:val="both"/>
        <w:rPr>
          <w:rFonts w:ascii="Arial" w:hAnsi="Arial" w:cs="Arial"/>
          <w:b/>
          <w:bCs/>
          <w:sz w:val="24"/>
          <w:szCs w:val="24"/>
          <w:lang w:val="ro-RO"/>
        </w:rPr>
      </w:pPr>
      <w:r w:rsidRPr="00FD2A83">
        <w:rPr>
          <w:rFonts w:ascii="Arial" w:hAnsi="Arial" w:cs="Arial"/>
          <w:b/>
          <w:bCs/>
          <w:sz w:val="24"/>
          <w:szCs w:val="24"/>
          <w:lang w:val="ro-RO"/>
        </w:rPr>
        <w:t xml:space="preserve">DENUMIRE: </w:t>
      </w:r>
      <w:r w:rsidRPr="00FD2A83">
        <w:rPr>
          <w:rFonts w:ascii="Arial" w:hAnsi="Arial" w:cs="Arial"/>
          <w:b/>
          <w:bCs/>
          <w:sz w:val="24"/>
          <w:szCs w:val="24"/>
          <w:lang w:val="it-IT"/>
        </w:rPr>
        <w:t>EMISII DE METALE GRELE</w:t>
      </w:r>
    </w:p>
    <w:p w:rsidR="0072410F" w:rsidRDefault="0072410F" w:rsidP="0072410F">
      <w:pPr>
        <w:rPr>
          <w:lang w:val="it-IT"/>
        </w:rPr>
      </w:pPr>
      <w:r w:rsidRPr="00FD2A83">
        <w:rPr>
          <w:rFonts w:ascii="Arial" w:hAnsi="Arial" w:cs="Arial"/>
          <w:bCs/>
          <w:sz w:val="24"/>
          <w:szCs w:val="24"/>
          <w:lang w:val="ro-RO"/>
        </w:rPr>
        <w:t xml:space="preserve">DEFINITIE: </w:t>
      </w:r>
      <w:r w:rsidRPr="00FD2A83">
        <w:rPr>
          <w:rFonts w:ascii="Arial" w:hAnsi="Arial" w:cs="Arial"/>
          <w:sz w:val="24"/>
          <w:szCs w:val="24"/>
          <w:lang w:val="it-IT"/>
        </w:rPr>
        <w:t>Tendinţele emisiilor antropice de metale grele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r w:rsidRPr="00FD2A83">
        <w:rPr>
          <w:lang w:val="it-IT"/>
        </w:rPr>
        <w:t>.</w:t>
      </w:r>
    </w:p>
    <w:p w:rsidR="001B7F4D" w:rsidRDefault="001B7F4D" w:rsidP="0072410F">
      <w:pPr>
        <w:rPr>
          <w:lang w:val="it-IT"/>
        </w:rPr>
      </w:pPr>
    </w:p>
    <w:p w:rsidR="001B7F4D" w:rsidRPr="00FD2A83" w:rsidRDefault="001B7F4D" w:rsidP="0072410F">
      <w:pPr>
        <w:rPr>
          <w:lang w:val="it-IT"/>
        </w:rPr>
      </w:pPr>
    </w:p>
    <w:p w:rsidR="0072410F" w:rsidRPr="00824C69" w:rsidRDefault="00E06A5F" w:rsidP="006D6952">
      <w:pPr>
        <w:jc w:val="center"/>
        <w:rPr>
          <w:rFonts w:ascii="Arial" w:hAnsi="Arial" w:cs="Arial"/>
          <w:noProof/>
          <w:color w:val="FF0000"/>
          <w:sz w:val="24"/>
          <w:szCs w:val="24"/>
          <w:lang w:val="it-IT"/>
        </w:rPr>
      </w:pPr>
      <w:r w:rsidRPr="00E06A5F">
        <w:rPr>
          <w:rFonts w:ascii="Arial" w:hAnsi="Arial" w:cs="Arial"/>
          <w:noProof/>
          <w:color w:val="FF0000"/>
          <w:sz w:val="24"/>
          <w:szCs w:val="24"/>
        </w:rPr>
        <w:drawing>
          <wp:inline distT="0" distB="0" distL="0" distR="0">
            <wp:extent cx="5943600" cy="3161030"/>
            <wp:effectExtent l="19050" t="0" r="19050" b="1270"/>
            <wp:docPr id="5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2410F" w:rsidRPr="001B7F4D" w:rsidRDefault="0072410F" w:rsidP="0072410F">
      <w:pPr>
        <w:ind w:left="6480"/>
        <w:rPr>
          <w:rFonts w:ascii="Arial" w:hAnsi="Arial" w:cs="Arial"/>
          <w:sz w:val="24"/>
          <w:szCs w:val="24"/>
          <w:lang w:val="ro-RO"/>
        </w:rPr>
      </w:pPr>
      <w:r w:rsidRPr="00824C69">
        <w:rPr>
          <w:rFonts w:ascii="Arial" w:hAnsi="Arial" w:cs="Arial"/>
          <w:color w:val="FF0000"/>
          <w:sz w:val="24"/>
          <w:szCs w:val="24"/>
          <w:lang w:val="ro-RO"/>
        </w:rPr>
        <w:t xml:space="preserve">          </w:t>
      </w:r>
      <w:r w:rsidR="001B7F4D">
        <w:rPr>
          <w:rFonts w:ascii="Arial" w:hAnsi="Arial" w:cs="Arial"/>
          <w:color w:val="FF0000"/>
          <w:sz w:val="24"/>
          <w:szCs w:val="24"/>
          <w:lang w:val="ro-RO"/>
        </w:rPr>
        <w:t xml:space="preserve">             </w:t>
      </w:r>
      <w:r w:rsidRPr="00824C69">
        <w:rPr>
          <w:rFonts w:ascii="Arial" w:hAnsi="Arial" w:cs="Arial"/>
          <w:color w:val="FF0000"/>
          <w:sz w:val="24"/>
          <w:szCs w:val="24"/>
          <w:lang w:val="ro-RO"/>
        </w:rPr>
        <w:t xml:space="preserve"> </w:t>
      </w:r>
      <w:r w:rsidRPr="001B7F4D">
        <w:rPr>
          <w:rFonts w:ascii="Arial" w:hAnsi="Arial" w:cs="Arial"/>
          <w:sz w:val="24"/>
          <w:szCs w:val="24"/>
          <w:lang w:val="ro-RO"/>
        </w:rPr>
        <w:t>Figura I.3.13.</w:t>
      </w:r>
    </w:p>
    <w:p w:rsidR="0072410F" w:rsidRPr="00824C69" w:rsidRDefault="0072410F" w:rsidP="0072410F">
      <w:pPr>
        <w:ind w:left="6480"/>
        <w:rPr>
          <w:rFonts w:ascii="Arial" w:hAnsi="Arial" w:cs="Arial"/>
          <w:color w:val="FF0000"/>
          <w:sz w:val="24"/>
          <w:szCs w:val="24"/>
          <w:lang w:val="ro-RO"/>
        </w:rPr>
      </w:pPr>
    </w:p>
    <w:p w:rsidR="0072410F" w:rsidRPr="00824C69" w:rsidRDefault="00D73B22" w:rsidP="00D73B22">
      <w:pPr>
        <w:jc w:val="center"/>
        <w:rPr>
          <w:rFonts w:ascii="Arial" w:hAnsi="Arial" w:cs="Arial"/>
          <w:noProof/>
          <w:color w:val="FF0000"/>
          <w:sz w:val="24"/>
          <w:szCs w:val="24"/>
        </w:rPr>
      </w:pPr>
      <w:r w:rsidRPr="00D73B22">
        <w:rPr>
          <w:rFonts w:ascii="Arial" w:hAnsi="Arial" w:cs="Arial"/>
          <w:noProof/>
          <w:color w:val="FF0000"/>
          <w:sz w:val="24"/>
          <w:szCs w:val="24"/>
        </w:rPr>
        <w:drawing>
          <wp:inline distT="0" distB="0" distL="0" distR="0">
            <wp:extent cx="5943600" cy="3161030"/>
            <wp:effectExtent l="19050" t="0" r="19050" b="1270"/>
            <wp:docPr id="5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2410F" w:rsidRDefault="0072410F" w:rsidP="0072410F">
      <w:pPr>
        <w:ind w:left="6480"/>
        <w:rPr>
          <w:rFonts w:ascii="Arial" w:hAnsi="Arial" w:cs="Arial"/>
          <w:sz w:val="24"/>
          <w:szCs w:val="24"/>
          <w:lang w:val="ro-RO"/>
        </w:rPr>
      </w:pPr>
      <w:r w:rsidRPr="00824C69">
        <w:rPr>
          <w:rFonts w:ascii="Arial" w:hAnsi="Arial" w:cs="Arial"/>
          <w:color w:val="FF0000"/>
          <w:sz w:val="24"/>
          <w:szCs w:val="24"/>
          <w:lang w:val="ro-RO"/>
        </w:rPr>
        <w:t xml:space="preserve">          </w:t>
      </w:r>
      <w:r w:rsidR="000A6692">
        <w:rPr>
          <w:rFonts w:ascii="Arial" w:hAnsi="Arial" w:cs="Arial"/>
          <w:color w:val="FF0000"/>
          <w:sz w:val="24"/>
          <w:szCs w:val="24"/>
          <w:lang w:val="ro-RO"/>
        </w:rPr>
        <w:t xml:space="preserve">              </w:t>
      </w:r>
      <w:r w:rsidRPr="00824C69">
        <w:rPr>
          <w:rFonts w:ascii="Arial" w:hAnsi="Arial" w:cs="Arial"/>
          <w:color w:val="FF0000"/>
          <w:sz w:val="24"/>
          <w:szCs w:val="24"/>
          <w:lang w:val="ro-RO"/>
        </w:rPr>
        <w:t xml:space="preserve"> </w:t>
      </w:r>
      <w:r w:rsidRPr="000A6692">
        <w:rPr>
          <w:rFonts w:ascii="Arial" w:hAnsi="Arial" w:cs="Arial"/>
          <w:sz w:val="24"/>
          <w:szCs w:val="24"/>
          <w:lang w:val="ro-RO"/>
        </w:rPr>
        <w:t>Figura I.3.1</w:t>
      </w:r>
      <w:r w:rsidR="008C72C9" w:rsidRPr="000A6692">
        <w:rPr>
          <w:rFonts w:ascii="Arial" w:hAnsi="Arial" w:cs="Arial"/>
          <w:sz w:val="24"/>
          <w:szCs w:val="24"/>
          <w:lang w:val="ro-RO"/>
        </w:rPr>
        <w:t>4</w:t>
      </w:r>
      <w:r w:rsidRPr="000A6692">
        <w:rPr>
          <w:rFonts w:ascii="Arial" w:hAnsi="Arial" w:cs="Arial"/>
          <w:sz w:val="24"/>
          <w:szCs w:val="24"/>
          <w:lang w:val="ro-RO"/>
        </w:rPr>
        <w:t>.</w:t>
      </w:r>
    </w:p>
    <w:p w:rsidR="006C4A32" w:rsidRDefault="006C4A32" w:rsidP="0072410F">
      <w:pPr>
        <w:ind w:left="6480"/>
        <w:rPr>
          <w:rFonts w:ascii="Arial" w:hAnsi="Arial" w:cs="Arial"/>
          <w:sz w:val="24"/>
          <w:szCs w:val="24"/>
          <w:lang w:val="ro-RO"/>
        </w:rPr>
      </w:pPr>
    </w:p>
    <w:p w:rsidR="006C4A32" w:rsidRPr="000A6692" w:rsidRDefault="006C4A32" w:rsidP="0072410F">
      <w:pPr>
        <w:ind w:left="6480"/>
        <w:rPr>
          <w:rFonts w:ascii="Arial" w:hAnsi="Arial" w:cs="Arial"/>
          <w:sz w:val="24"/>
          <w:szCs w:val="24"/>
          <w:lang w:val="ro-RO"/>
        </w:rPr>
      </w:pPr>
    </w:p>
    <w:p w:rsidR="008C72C9" w:rsidRPr="00824C69" w:rsidRDefault="008C72C9" w:rsidP="0072410F">
      <w:pPr>
        <w:ind w:left="6480"/>
        <w:rPr>
          <w:rFonts w:ascii="Arial" w:hAnsi="Arial" w:cs="Arial"/>
          <w:color w:val="FF0000"/>
          <w:sz w:val="24"/>
          <w:szCs w:val="24"/>
          <w:lang w:val="ro-RO"/>
        </w:rPr>
      </w:pPr>
    </w:p>
    <w:p w:rsidR="008C72C9" w:rsidRPr="00824C69" w:rsidRDefault="009C337D" w:rsidP="009C337D">
      <w:pPr>
        <w:jc w:val="center"/>
        <w:rPr>
          <w:rFonts w:ascii="Arial" w:hAnsi="Arial" w:cs="Arial"/>
          <w:color w:val="FF0000"/>
          <w:sz w:val="24"/>
          <w:szCs w:val="24"/>
          <w:lang w:val="ro-RO"/>
        </w:rPr>
      </w:pPr>
      <w:r w:rsidRPr="009C337D">
        <w:rPr>
          <w:rFonts w:ascii="Arial" w:hAnsi="Arial" w:cs="Arial"/>
          <w:noProof/>
          <w:color w:val="FF0000"/>
          <w:sz w:val="24"/>
          <w:szCs w:val="24"/>
        </w:rPr>
        <w:drawing>
          <wp:inline distT="0" distB="0" distL="0" distR="0">
            <wp:extent cx="5943600" cy="3161030"/>
            <wp:effectExtent l="19050" t="0" r="19050" b="1270"/>
            <wp:docPr id="5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C72C9" w:rsidRPr="006C4A32" w:rsidRDefault="008C72C9" w:rsidP="0072410F">
      <w:pPr>
        <w:jc w:val="center"/>
        <w:rPr>
          <w:rFonts w:ascii="Arial" w:hAnsi="Arial" w:cs="Arial"/>
          <w:sz w:val="24"/>
          <w:szCs w:val="24"/>
          <w:lang w:val="ro-RO"/>
        </w:rPr>
      </w:pPr>
      <w:r w:rsidRPr="006C4A32">
        <w:rPr>
          <w:rFonts w:ascii="Arial" w:hAnsi="Arial" w:cs="Arial"/>
          <w:sz w:val="24"/>
          <w:szCs w:val="24"/>
          <w:lang w:val="ro-RO"/>
        </w:rPr>
        <w:t xml:space="preserve">                                                                     </w:t>
      </w:r>
      <w:r w:rsidR="006C4A32" w:rsidRPr="006C4A32">
        <w:rPr>
          <w:rFonts w:ascii="Arial" w:hAnsi="Arial" w:cs="Arial"/>
          <w:sz w:val="24"/>
          <w:szCs w:val="24"/>
          <w:lang w:val="ro-RO"/>
        </w:rPr>
        <w:t xml:space="preserve">                                          </w:t>
      </w:r>
      <w:r w:rsidRPr="006C4A32">
        <w:rPr>
          <w:rFonts w:ascii="Arial" w:hAnsi="Arial" w:cs="Arial"/>
          <w:sz w:val="24"/>
          <w:szCs w:val="24"/>
          <w:lang w:val="ro-RO"/>
        </w:rPr>
        <w:t xml:space="preserve">    </w:t>
      </w:r>
      <w:r w:rsidR="00B430EE" w:rsidRPr="006C4A32">
        <w:rPr>
          <w:rFonts w:ascii="Arial" w:hAnsi="Arial" w:cs="Arial"/>
          <w:sz w:val="24"/>
          <w:szCs w:val="24"/>
          <w:lang w:val="ro-RO"/>
        </w:rPr>
        <w:t xml:space="preserve"> </w:t>
      </w:r>
      <w:r w:rsidRPr="006C4A32">
        <w:rPr>
          <w:rFonts w:ascii="Arial" w:hAnsi="Arial" w:cs="Arial"/>
          <w:sz w:val="24"/>
          <w:szCs w:val="24"/>
          <w:lang w:val="ro-RO"/>
        </w:rPr>
        <w:t xml:space="preserve"> Figura I.3.15.</w:t>
      </w:r>
    </w:p>
    <w:p w:rsidR="00B430EE" w:rsidRPr="00824C69" w:rsidRDefault="00B430EE" w:rsidP="0072410F">
      <w:pPr>
        <w:jc w:val="center"/>
        <w:rPr>
          <w:rFonts w:ascii="Arial" w:hAnsi="Arial" w:cs="Arial"/>
          <w:color w:val="FF0000"/>
          <w:sz w:val="24"/>
          <w:szCs w:val="24"/>
          <w:lang w:val="ro-RO"/>
        </w:rPr>
      </w:pPr>
    </w:p>
    <w:p w:rsidR="001605DD" w:rsidRDefault="001605DD" w:rsidP="00B430EE">
      <w:pPr>
        <w:jc w:val="both"/>
        <w:rPr>
          <w:rFonts w:ascii="Arial" w:hAnsi="Arial" w:cs="Arial"/>
          <w:b/>
          <w:bCs/>
          <w:sz w:val="24"/>
          <w:szCs w:val="24"/>
          <w:lang w:val="ro-RO"/>
        </w:rPr>
      </w:pPr>
    </w:p>
    <w:p w:rsidR="00B430EE" w:rsidRPr="001605DD" w:rsidRDefault="00B430EE" w:rsidP="00B430EE">
      <w:pPr>
        <w:jc w:val="both"/>
        <w:rPr>
          <w:rFonts w:ascii="Arial" w:hAnsi="Arial" w:cs="Arial"/>
          <w:b/>
          <w:bCs/>
          <w:sz w:val="24"/>
          <w:szCs w:val="24"/>
          <w:lang w:val="ro-RO"/>
        </w:rPr>
      </w:pPr>
      <w:r w:rsidRPr="001605DD">
        <w:rPr>
          <w:rFonts w:ascii="Arial" w:hAnsi="Arial" w:cs="Arial"/>
          <w:b/>
          <w:bCs/>
          <w:sz w:val="24"/>
          <w:szCs w:val="24"/>
          <w:lang w:val="ro-RO"/>
        </w:rPr>
        <w:t>Cod indicator România: RO 39</w:t>
      </w:r>
    </w:p>
    <w:p w:rsidR="00B430EE" w:rsidRPr="001605DD" w:rsidRDefault="00B430EE" w:rsidP="00B430EE">
      <w:pPr>
        <w:jc w:val="both"/>
        <w:rPr>
          <w:rFonts w:ascii="Arial" w:hAnsi="Arial" w:cs="Arial"/>
          <w:b/>
          <w:bCs/>
          <w:sz w:val="24"/>
          <w:szCs w:val="24"/>
          <w:lang w:val="ro-RO"/>
        </w:rPr>
      </w:pPr>
      <w:r w:rsidRPr="001605DD">
        <w:rPr>
          <w:rFonts w:ascii="Arial" w:hAnsi="Arial" w:cs="Arial"/>
          <w:b/>
          <w:bCs/>
          <w:sz w:val="24"/>
          <w:szCs w:val="24"/>
          <w:lang w:val="ro-RO"/>
        </w:rPr>
        <w:t>Cod indicator AEM: APE 06</w:t>
      </w:r>
    </w:p>
    <w:p w:rsidR="00B430EE" w:rsidRPr="001605DD" w:rsidRDefault="00B430EE" w:rsidP="00B430EE">
      <w:pPr>
        <w:jc w:val="both"/>
        <w:rPr>
          <w:rFonts w:ascii="Arial" w:hAnsi="Arial" w:cs="Arial"/>
          <w:b/>
          <w:bCs/>
          <w:sz w:val="24"/>
          <w:szCs w:val="24"/>
          <w:lang w:val="it-IT"/>
        </w:rPr>
      </w:pPr>
      <w:r w:rsidRPr="001605DD">
        <w:rPr>
          <w:rFonts w:ascii="Arial" w:hAnsi="Arial" w:cs="Arial"/>
          <w:b/>
          <w:bCs/>
          <w:sz w:val="24"/>
          <w:szCs w:val="24"/>
          <w:lang w:val="ro-RO"/>
        </w:rPr>
        <w:t xml:space="preserve">DENUMIRE: </w:t>
      </w:r>
      <w:r w:rsidRPr="001605DD">
        <w:rPr>
          <w:rFonts w:ascii="Arial" w:hAnsi="Arial" w:cs="Arial"/>
          <w:b/>
          <w:bCs/>
          <w:sz w:val="24"/>
          <w:szCs w:val="24"/>
          <w:lang w:val="it-IT"/>
        </w:rPr>
        <w:t>EMISII DE POLUANTI ORGANICI PERSISTENTI</w:t>
      </w:r>
    </w:p>
    <w:p w:rsidR="00B430EE" w:rsidRPr="001605DD" w:rsidRDefault="00B430EE" w:rsidP="00B430EE">
      <w:pPr>
        <w:jc w:val="both"/>
        <w:rPr>
          <w:rFonts w:ascii="Arial" w:hAnsi="Arial" w:cs="Arial"/>
          <w:b/>
          <w:bCs/>
          <w:sz w:val="24"/>
          <w:szCs w:val="24"/>
          <w:lang w:val="it-IT"/>
        </w:rPr>
      </w:pPr>
    </w:p>
    <w:p w:rsidR="00B430EE" w:rsidRPr="001605DD" w:rsidRDefault="00B430EE" w:rsidP="00B430EE">
      <w:pPr>
        <w:jc w:val="both"/>
        <w:rPr>
          <w:rFonts w:ascii="Arial" w:hAnsi="Arial" w:cs="Arial"/>
          <w:b/>
          <w:bCs/>
          <w:sz w:val="24"/>
          <w:szCs w:val="24"/>
          <w:lang w:val="ro-RO"/>
        </w:rPr>
      </w:pPr>
      <w:r w:rsidRPr="001605DD">
        <w:rPr>
          <w:rFonts w:ascii="Arial" w:hAnsi="Arial" w:cs="Arial"/>
          <w:bCs/>
          <w:sz w:val="24"/>
          <w:szCs w:val="24"/>
          <w:lang w:val="ro-RO"/>
        </w:rPr>
        <w:t xml:space="preserve">DEFINITIE: </w:t>
      </w:r>
      <w:r w:rsidRPr="001605DD">
        <w:rPr>
          <w:rFonts w:ascii="Arial" w:hAnsi="Arial" w:cs="Arial"/>
          <w:sz w:val="24"/>
          <w:szCs w:val="24"/>
          <w:lang w:val="it-IT"/>
        </w:rPr>
        <w:t>Tendinţele emisiilor antropice de poluanţi organici persistenţi, de hidrocarburi aromatice policiclice (HAP) ,pe sectoare de activitate: producerea şi distribuţia energiei; utilizarea energiei în industrie; procese industriale; transportul rutier; transportul nerutier; comercial, instituţional şi rezidenţial; utilizarea solvenţilor şi a altor produse; agricultură; deşeuri; alte surse.</w:t>
      </w:r>
    </w:p>
    <w:p w:rsidR="00B430EE" w:rsidRPr="00824C69" w:rsidRDefault="00AF6199" w:rsidP="0072410F">
      <w:pPr>
        <w:jc w:val="center"/>
        <w:rPr>
          <w:rFonts w:ascii="Arial" w:hAnsi="Arial" w:cs="Arial"/>
          <w:noProof/>
          <w:color w:val="FF0000"/>
          <w:sz w:val="24"/>
          <w:szCs w:val="24"/>
        </w:rPr>
      </w:pPr>
      <w:r w:rsidRPr="00AF6199">
        <w:rPr>
          <w:rFonts w:ascii="Arial" w:hAnsi="Arial" w:cs="Arial"/>
          <w:noProof/>
          <w:color w:val="FF0000"/>
          <w:sz w:val="24"/>
          <w:szCs w:val="24"/>
        </w:rPr>
        <w:drawing>
          <wp:inline distT="0" distB="0" distL="0" distR="0">
            <wp:extent cx="5943600" cy="3161030"/>
            <wp:effectExtent l="19050" t="0" r="19050" b="127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430EE" w:rsidRPr="00013B12" w:rsidRDefault="00B430EE" w:rsidP="0072410F">
      <w:pPr>
        <w:jc w:val="center"/>
        <w:rPr>
          <w:rFonts w:ascii="Arial" w:hAnsi="Arial" w:cs="Arial"/>
          <w:sz w:val="24"/>
          <w:szCs w:val="24"/>
          <w:lang w:val="ro-RO"/>
        </w:rPr>
      </w:pPr>
      <w:r w:rsidRPr="00013B12">
        <w:rPr>
          <w:rFonts w:ascii="Arial" w:hAnsi="Arial" w:cs="Arial"/>
          <w:sz w:val="24"/>
          <w:szCs w:val="24"/>
          <w:lang w:val="ro-RO"/>
        </w:rPr>
        <w:t xml:space="preserve">                                                                 </w:t>
      </w:r>
      <w:r w:rsidR="00013B12">
        <w:rPr>
          <w:rFonts w:ascii="Arial" w:hAnsi="Arial" w:cs="Arial"/>
          <w:sz w:val="24"/>
          <w:szCs w:val="24"/>
          <w:lang w:val="ro-RO"/>
        </w:rPr>
        <w:t xml:space="preserve">                                               </w:t>
      </w:r>
      <w:r w:rsidRPr="00013B12">
        <w:rPr>
          <w:rFonts w:ascii="Arial" w:hAnsi="Arial" w:cs="Arial"/>
          <w:sz w:val="24"/>
          <w:szCs w:val="24"/>
          <w:lang w:val="ro-RO"/>
        </w:rPr>
        <w:t xml:space="preserve">       Figura I.3.16.</w:t>
      </w:r>
    </w:p>
    <w:p w:rsidR="00B430EE" w:rsidRDefault="00B430EE" w:rsidP="0072410F">
      <w:pPr>
        <w:jc w:val="center"/>
        <w:rPr>
          <w:rFonts w:ascii="Arial" w:hAnsi="Arial" w:cs="Arial"/>
          <w:color w:val="FF0000"/>
          <w:sz w:val="24"/>
          <w:szCs w:val="24"/>
          <w:lang w:val="ro-RO"/>
        </w:rPr>
      </w:pPr>
    </w:p>
    <w:p w:rsidR="00AC0F0F" w:rsidRPr="00906693" w:rsidRDefault="00AC0F0F" w:rsidP="0072410F">
      <w:pPr>
        <w:jc w:val="center"/>
        <w:rPr>
          <w:rFonts w:ascii="Arial" w:hAnsi="Arial" w:cs="Arial"/>
          <w:sz w:val="24"/>
          <w:szCs w:val="24"/>
          <w:lang w:val="ro-RO"/>
        </w:rPr>
      </w:pPr>
      <w:r w:rsidRPr="00906693">
        <w:rPr>
          <w:rFonts w:ascii="Arial" w:hAnsi="Arial" w:cs="Arial"/>
          <w:sz w:val="24"/>
          <w:szCs w:val="24"/>
          <w:lang w:val="ro-RO"/>
        </w:rPr>
        <w:t xml:space="preserve">Datele din acest capitol sunt prezentate pana la nivelul anului 2016 datorita faptului ca aplicatia </w:t>
      </w:r>
      <w:r w:rsidR="00906693" w:rsidRPr="00906693">
        <w:rPr>
          <w:rFonts w:ascii="Arial" w:hAnsi="Arial" w:cs="Arial"/>
          <w:sz w:val="24"/>
          <w:szCs w:val="24"/>
          <w:lang w:val="ro-RO"/>
        </w:rPr>
        <w:t>F2 Inventar emisii nu a fost functionala pentru sesiunea de raportare 2018.</w:t>
      </w:r>
    </w:p>
    <w:p w:rsidR="00AC0F0F" w:rsidRPr="00824C69" w:rsidRDefault="00AC0F0F" w:rsidP="0072410F">
      <w:pPr>
        <w:jc w:val="center"/>
        <w:rPr>
          <w:rFonts w:ascii="Arial" w:hAnsi="Arial" w:cs="Arial"/>
          <w:color w:val="FF0000"/>
          <w:sz w:val="24"/>
          <w:szCs w:val="24"/>
          <w:lang w:val="ro-RO"/>
        </w:rPr>
      </w:pPr>
    </w:p>
    <w:p w:rsidR="00B430EE" w:rsidRPr="00FB6112" w:rsidRDefault="00D129ED" w:rsidP="0072410F">
      <w:pPr>
        <w:jc w:val="center"/>
        <w:rPr>
          <w:rFonts w:ascii="Arial" w:hAnsi="Arial" w:cs="Arial"/>
          <w:b/>
          <w:sz w:val="24"/>
          <w:szCs w:val="24"/>
          <w:lang w:val="ro-RO"/>
        </w:rPr>
      </w:pPr>
      <w:r w:rsidRPr="00FB6112">
        <w:rPr>
          <w:rFonts w:ascii="Arial" w:hAnsi="Arial" w:cs="Arial"/>
          <w:b/>
          <w:sz w:val="24"/>
          <w:szCs w:val="24"/>
          <w:lang w:val="ro-RO"/>
        </w:rPr>
        <w:t>I.4. Politici, acţiuni şi măsuri pentru îmbunătăţirea calităţii aerului înconjurător</w:t>
      </w:r>
    </w:p>
    <w:p w:rsidR="00D129ED" w:rsidRPr="00FB6112" w:rsidRDefault="00D129ED" w:rsidP="0072410F">
      <w:pPr>
        <w:jc w:val="center"/>
        <w:rPr>
          <w:rFonts w:ascii="Arial" w:hAnsi="Arial" w:cs="Arial"/>
          <w:b/>
          <w:sz w:val="24"/>
          <w:szCs w:val="24"/>
          <w:lang w:val="ro-RO"/>
        </w:rPr>
      </w:pPr>
    </w:p>
    <w:p w:rsidR="00FB6112" w:rsidRPr="00FB6112" w:rsidRDefault="00FB6112" w:rsidP="00FB6112">
      <w:pPr>
        <w:rPr>
          <w:rFonts w:ascii="Arial" w:hAnsi="Arial" w:cs="Arial"/>
          <w:sz w:val="24"/>
          <w:szCs w:val="24"/>
          <w:lang w:val="ro-RO"/>
        </w:rPr>
      </w:pPr>
      <w:r w:rsidRPr="00FB6112">
        <w:rPr>
          <w:rFonts w:ascii="Arial" w:hAnsi="Arial" w:cs="Arial"/>
          <w:sz w:val="24"/>
          <w:szCs w:val="24"/>
          <w:lang w:val="ro-RO"/>
        </w:rPr>
        <w:t>Legea 104/2011 privind calitatea aerului înconjurător are ca scop protejarea</w:t>
      </w:r>
    </w:p>
    <w:p w:rsidR="00FB6112" w:rsidRPr="00FB6112" w:rsidRDefault="00FB6112" w:rsidP="00FB6112">
      <w:pPr>
        <w:rPr>
          <w:rFonts w:ascii="Arial" w:hAnsi="Arial" w:cs="Arial"/>
          <w:sz w:val="24"/>
          <w:szCs w:val="24"/>
          <w:lang w:val="ro-RO"/>
        </w:rPr>
      </w:pPr>
      <w:r w:rsidRPr="00FB6112">
        <w:rPr>
          <w:rFonts w:ascii="Arial" w:hAnsi="Arial" w:cs="Arial"/>
          <w:sz w:val="24"/>
          <w:szCs w:val="24"/>
          <w:lang w:val="ro-RO"/>
        </w:rPr>
        <w:t>sănătăţii umane şi a mediului ca întreg prin reglementarea măsurilor destinate</w:t>
      </w:r>
    </w:p>
    <w:p w:rsidR="00FB6112" w:rsidRPr="00FB6112" w:rsidRDefault="00FB6112" w:rsidP="00FB6112">
      <w:pPr>
        <w:rPr>
          <w:rFonts w:ascii="Arial" w:hAnsi="Arial" w:cs="Arial"/>
          <w:sz w:val="24"/>
          <w:szCs w:val="24"/>
          <w:lang w:val="ro-RO"/>
        </w:rPr>
      </w:pPr>
      <w:r w:rsidRPr="00FB6112">
        <w:rPr>
          <w:rFonts w:ascii="Arial" w:hAnsi="Arial" w:cs="Arial"/>
          <w:sz w:val="24"/>
          <w:szCs w:val="24"/>
          <w:lang w:val="ro-RO"/>
        </w:rPr>
        <w:t>menţinerii calităţii aerului înconjurător acolo unde aceasta corespunde obiectivelor</w:t>
      </w:r>
    </w:p>
    <w:p w:rsidR="00FB6112" w:rsidRPr="00FB6112" w:rsidRDefault="00FB6112" w:rsidP="00FB6112">
      <w:pPr>
        <w:rPr>
          <w:rFonts w:ascii="Arial" w:hAnsi="Arial" w:cs="Arial"/>
          <w:sz w:val="24"/>
          <w:szCs w:val="24"/>
          <w:lang w:val="ro-RO"/>
        </w:rPr>
      </w:pPr>
      <w:r w:rsidRPr="00FB6112">
        <w:rPr>
          <w:rFonts w:ascii="Arial" w:hAnsi="Arial" w:cs="Arial"/>
          <w:sz w:val="24"/>
          <w:szCs w:val="24"/>
          <w:lang w:val="ro-RO"/>
        </w:rPr>
        <w:t>pentru calitatea aerului înconjurător stabilite prin prezenta lege şi îmbunătăţirea</w:t>
      </w:r>
    </w:p>
    <w:p w:rsidR="00FB6112" w:rsidRPr="00FB6112" w:rsidRDefault="00FB6112" w:rsidP="00FB6112">
      <w:pPr>
        <w:rPr>
          <w:rFonts w:ascii="Arial" w:hAnsi="Arial" w:cs="Arial"/>
          <w:sz w:val="24"/>
          <w:szCs w:val="24"/>
          <w:lang w:val="ro-RO"/>
        </w:rPr>
      </w:pPr>
      <w:r w:rsidRPr="00FB6112">
        <w:rPr>
          <w:rFonts w:ascii="Arial" w:hAnsi="Arial" w:cs="Arial"/>
          <w:sz w:val="24"/>
          <w:szCs w:val="24"/>
          <w:lang w:val="ro-RO"/>
        </w:rPr>
        <w:t>acesteia în celelalte cazuri.</w:t>
      </w:r>
      <w:r>
        <w:rPr>
          <w:rFonts w:ascii="Arial" w:hAnsi="Arial" w:cs="Arial"/>
          <w:sz w:val="24"/>
          <w:szCs w:val="24"/>
          <w:lang w:val="ro-RO"/>
        </w:rPr>
        <w:t xml:space="preserve"> </w:t>
      </w:r>
      <w:r w:rsidRPr="00FB6112">
        <w:rPr>
          <w:rFonts w:ascii="Arial" w:hAnsi="Arial" w:cs="Arial"/>
          <w:sz w:val="24"/>
          <w:szCs w:val="24"/>
          <w:lang w:val="ro-RO"/>
        </w:rPr>
        <w:t>Legea prevede măsuri privind:</w:t>
      </w:r>
    </w:p>
    <w:p w:rsidR="00FB6112" w:rsidRPr="00FB6112" w:rsidRDefault="00FB6112" w:rsidP="00FB6112">
      <w:pPr>
        <w:pStyle w:val="Listparagraf"/>
        <w:numPr>
          <w:ilvl w:val="0"/>
          <w:numId w:val="18"/>
        </w:numPr>
        <w:rPr>
          <w:rFonts w:ascii="Arial" w:hAnsi="Arial" w:cs="Arial"/>
          <w:sz w:val="24"/>
          <w:szCs w:val="24"/>
          <w:lang w:val="ro-RO"/>
        </w:rPr>
      </w:pPr>
      <w:r w:rsidRPr="00FB6112">
        <w:rPr>
          <w:rFonts w:ascii="Arial" w:hAnsi="Arial" w:cs="Arial"/>
          <w:sz w:val="24"/>
          <w:szCs w:val="24"/>
          <w:lang w:val="ro-RO"/>
        </w:rPr>
        <w:t xml:space="preserve"> definirea şi stabilirea obiectivelor pentru calitatea aerului înconjurător destinate să evite şi să prevină producerea unor evenimente dăunătoare şi să reducă efecteleacestora asupra sănătăţii umane şi a mediului ca întreg;</w:t>
      </w:r>
    </w:p>
    <w:p w:rsidR="00FB6112" w:rsidRPr="00FB6112" w:rsidRDefault="00FB6112" w:rsidP="00FB6112">
      <w:pPr>
        <w:pStyle w:val="Listparagraf"/>
        <w:numPr>
          <w:ilvl w:val="0"/>
          <w:numId w:val="18"/>
        </w:numPr>
        <w:rPr>
          <w:rFonts w:ascii="Arial" w:hAnsi="Arial" w:cs="Arial"/>
          <w:sz w:val="24"/>
          <w:szCs w:val="24"/>
          <w:lang w:val="ro-RO"/>
        </w:rPr>
      </w:pPr>
      <w:r w:rsidRPr="00FB6112">
        <w:rPr>
          <w:rFonts w:ascii="Arial" w:hAnsi="Arial" w:cs="Arial"/>
          <w:sz w:val="24"/>
          <w:szCs w:val="24"/>
          <w:lang w:val="ro-RO"/>
        </w:rPr>
        <w:t>evaluarea calităţii aerului înconjurător pe întreg teritoriul ţării pe baza unor metode</w:t>
      </w:r>
      <w:r>
        <w:rPr>
          <w:rFonts w:ascii="Arial" w:hAnsi="Arial" w:cs="Arial"/>
          <w:sz w:val="24"/>
          <w:szCs w:val="24"/>
          <w:lang w:val="ro-RO"/>
        </w:rPr>
        <w:t xml:space="preserve"> </w:t>
      </w:r>
      <w:r w:rsidRPr="00FB6112">
        <w:rPr>
          <w:rFonts w:ascii="Arial" w:hAnsi="Arial" w:cs="Arial"/>
          <w:sz w:val="24"/>
          <w:szCs w:val="24"/>
          <w:lang w:val="ro-RO"/>
        </w:rPr>
        <w:t>şi criterii comune, stabilite la nivel european;</w:t>
      </w:r>
    </w:p>
    <w:p w:rsidR="00FB6112" w:rsidRPr="00FB6112" w:rsidRDefault="00FB6112" w:rsidP="00FB6112">
      <w:pPr>
        <w:pStyle w:val="Listparagraf"/>
        <w:numPr>
          <w:ilvl w:val="0"/>
          <w:numId w:val="18"/>
        </w:numPr>
        <w:rPr>
          <w:rFonts w:ascii="Arial" w:hAnsi="Arial" w:cs="Arial"/>
          <w:sz w:val="24"/>
          <w:szCs w:val="24"/>
          <w:lang w:val="ro-RO"/>
        </w:rPr>
      </w:pPr>
      <w:r w:rsidRPr="00FB6112">
        <w:rPr>
          <w:rFonts w:ascii="Arial" w:hAnsi="Arial" w:cs="Arial"/>
          <w:sz w:val="24"/>
          <w:szCs w:val="24"/>
          <w:lang w:val="ro-RO"/>
        </w:rPr>
        <w:t xml:space="preserve"> obţinerea informaţiilor privind calitatea aerului înconjurător pentru a sprijini procesulde combatere a poluării aerului şi a disconfortului cauzat de acesta, precum şipentru a monitoriza pe termen lung tendinţele şi îmbunătăţirile rezultate în urmamăsurilor luate la nivel naţional şi European;</w:t>
      </w:r>
    </w:p>
    <w:p w:rsidR="00FB6112" w:rsidRPr="00FB6112" w:rsidRDefault="00FB6112" w:rsidP="00FB6112">
      <w:pPr>
        <w:pStyle w:val="Listparagraf"/>
        <w:numPr>
          <w:ilvl w:val="0"/>
          <w:numId w:val="18"/>
        </w:numPr>
        <w:rPr>
          <w:rFonts w:ascii="Arial" w:hAnsi="Arial" w:cs="Arial"/>
          <w:sz w:val="24"/>
          <w:szCs w:val="24"/>
          <w:lang w:val="ro-RO"/>
        </w:rPr>
      </w:pPr>
      <w:r w:rsidRPr="00FB6112">
        <w:rPr>
          <w:rFonts w:ascii="Arial" w:hAnsi="Arial" w:cs="Arial"/>
          <w:sz w:val="24"/>
          <w:szCs w:val="24"/>
          <w:lang w:val="ro-RO"/>
        </w:rPr>
        <w:t>garantarea faptului ca informaţiile privind calitatea aerului înconjurător sunt puse la</w:t>
      </w:r>
      <w:r>
        <w:rPr>
          <w:rFonts w:ascii="Arial" w:hAnsi="Arial" w:cs="Arial"/>
          <w:sz w:val="24"/>
          <w:szCs w:val="24"/>
          <w:lang w:val="ro-RO"/>
        </w:rPr>
        <w:t xml:space="preserve"> </w:t>
      </w:r>
      <w:r w:rsidRPr="00FB6112">
        <w:rPr>
          <w:rFonts w:ascii="Arial" w:hAnsi="Arial" w:cs="Arial"/>
          <w:sz w:val="24"/>
          <w:szCs w:val="24"/>
          <w:lang w:val="ro-RO"/>
        </w:rPr>
        <w:t>dispoziţia publicului;</w:t>
      </w:r>
    </w:p>
    <w:p w:rsidR="00FB6112" w:rsidRPr="00FB6112" w:rsidRDefault="00FB6112" w:rsidP="00FB6112">
      <w:pPr>
        <w:pStyle w:val="Listparagraf"/>
        <w:numPr>
          <w:ilvl w:val="0"/>
          <w:numId w:val="18"/>
        </w:numPr>
        <w:rPr>
          <w:rFonts w:ascii="Arial" w:hAnsi="Arial" w:cs="Arial"/>
          <w:sz w:val="24"/>
          <w:szCs w:val="24"/>
          <w:lang w:val="ro-RO"/>
        </w:rPr>
      </w:pPr>
      <w:r w:rsidRPr="00FB6112">
        <w:rPr>
          <w:rFonts w:ascii="Arial" w:hAnsi="Arial" w:cs="Arial"/>
          <w:sz w:val="24"/>
          <w:szCs w:val="24"/>
          <w:lang w:val="ro-RO"/>
        </w:rPr>
        <w:t xml:space="preserve"> menţinerea calităţii aerului înconjurător acolo unde aceasta este corespunzatoare</w:t>
      </w:r>
      <w:r>
        <w:rPr>
          <w:rFonts w:ascii="Arial" w:hAnsi="Arial" w:cs="Arial"/>
          <w:sz w:val="24"/>
          <w:szCs w:val="24"/>
          <w:lang w:val="ro-RO"/>
        </w:rPr>
        <w:t xml:space="preserve"> </w:t>
      </w:r>
      <w:r w:rsidRPr="00FB6112">
        <w:rPr>
          <w:rFonts w:ascii="Arial" w:hAnsi="Arial" w:cs="Arial"/>
          <w:sz w:val="24"/>
          <w:szCs w:val="24"/>
          <w:lang w:val="ro-RO"/>
        </w:rPr>
        <w:t>şi/sau îmbunătăţirea acesteia în celelalte cazuri;</w:t>
      </w:r>
    </w:p>
    <w:p w:rsidR="00FB6112" w:rsidRPr="00315C4B" w:rsidRDefault="00FB6112" w:rsidP="00FB6112">
      <w:pPr>
        <w:pStyle w:val="Listparagraf"/>
        <w:numPr>
          <w:ilvl w:val="0"/>
          <w:numId w:val="18"/>
        </w:numPr>
        <w:rPr>
          <w:rFonts w:ascii="Arial" w:hAnsi="Arial" w:cs="Arial"/>
          <w:sz w:val="24"/>
          <w:szCs w:val="24"/>
          <w:lang w:val="ro-RO"/>
        </w:rPr>
      </w:pPr>
      <w:r w:rsidRPr="00315C4B">
        <w:rPr>
          <w:rFonts w:ascii="Arial" w:hAnsi="Arial" w:cs="Arial"/>
          <w:sz w:val="24"/>
          <w:szCs w:val="24"/>
          <w:lang w:val="ro-RO"/>
        </w:rPr>
        <w:t xml:space="preserve"> îndeplinirea obligaţiilor asumate prin acordurile, convenţiile şi tratatele internaţionale</w:t>
      </w:r>
      <w:r w:rsidR="00315C4B">
        <w:rPr>
          <w:rFonts w:ascii="Arial" w:hAnsi="Arial" w:cs="Arial"/>
          <w:sz w:val="24"/>
          <w:szCs w:val="24"/>
          <w:lang w:val="ro-RO"/>
        </w:rPr>
        <w:t xml:space="preserve"> </w:t>
      </w:r>
      <w:r w:rsidRPr="00315C4B">
        <w:rPr>
          <w:rFonts w:ascii="Arial" w:hAnsi="Arial" w:cs="Arial"/>
          <w:sz w:val="24"/>
          <w:szCs w:val="24"/>
          <w:lang w:val="ro-RO"/>
        </w:rPr>
        <w:t>la care Romania este parte.</w:t>
      </w:r>
    </w:p>
    <w:p w:rsidR="00FB6112" w:rsidRPr="00315C4B" w:rsidRDefault="00FB6112" w:rsidP="00FB6112">
      <w:pPr>
        <w:rPr>
          <w:rFonts w:ascii="Arial" w:hAnsi="Arial" w:cs="Arial"/>
          <w:sz w:val="24"/>
          <w:szCs w:val="24"/>
          <w:lang w:val="ro-RO"/>
        </w:rPr>
      </w:pPr>
      <w:r w:rsidRPr="00315C4B">
        <w:rPr>
          <w:rFonts w:ascii="Arial" w:hAnsi="Arial" w:cs="Arial"/>
          <w:sz w:val="24"/>
          <w:szCs w:val="24"/>
          <w:lang w:val="ro-RO"/>
        </w:rPr>
        <w:t>Obligaţiile impuse la nivel local, regional, naţional sau european (de exemplu,</w:t>
      </w:r>
    </w:p>
    <w:p w:rsidR="00FB6112" w:rsidRPr="00315C4B" w:rsidRDefault="00FB6112" w:rsidP="00FB6112">
      <w:pPr>
        <w:rPr>
          <w:rFonts w:ascii="Arial" w:hAnsi="Arial" w:cs="Arial"/>
          <w:sz w:val="24"/>
          <w:szCs w:val="24"/>
          <w:lang w:val="ro-RO"/>
        </w:rPr>
      </w:pPr>
      <w:r w:rsidRPr="00315C4B">
        <w:rPr>
          <w:rFonts w:ascii="Arial" w:hAnsi="Arial" w:cs="Arial"/>
          <w:sz w:val="24"/>
          <w:szCs w:val="24"/>
          <w:lang w:val="ro-RO"/>
        </w:rPr>
        <w:t>utilizarea eficientă a terenului, reducerea zgomotului, creşterea calităţii aerului) pot fi</w:t>
      </w:r>
    </w:p>
    <w:p w:rsidR="00FB6112" w:rsidRPr="00315C4B" w:rsidRDefault="00FB6112" w:rsidP="00FB6112">
      <w:pPr>
        <w:rPr>
          <w:rFonts w:ascii="Arial" w:hAnsi="Arial" w:cs="Arial"/>
          <w:sz w:val="24"/>
          <w:szCs w:val="24"/>
          <w:lang w:val="ro-RO"/>
        </w:rPr>
      </w:pPr>
      <w:r w:rsidRPr="00315C4B">
        <w:rPr>
          <w:rFonts w:ascii="Arial" w:hAnsi="Arial" w:cs="Arial"/>
          <w:sz w:val="24"/>
          <w:szCs w:val="24"/>
          <w:lang w:val="ro-RO"/>
        </w:rPr>
        <w:t>implementate mai eficient la nivel local atunci când sunt integrate într-un cadru local de</w:t>
      </w:r>
    </w:p>
    <w:p w:rsidR="00FB6112" w:rsidRPr="00315C4B" w:rsidRDefault="00FB6112" w:rsidP="00FB6112">
      <w:pPr>
        <w:rPr>
          <w:rFonts w:ascii="Arial" w:hAnsi="Arial" w:cs="Arial"/>
          <w:sz w:val="24"/>
          <w:szCs w:val="24"/>
          <w:lang w:val="ro-RO"/>
        </w:rPr>
      </w:pPr>
      <w:r w:rsidRPr="00315C4B">
        <w:rPr>
          <w:rFonts w:ascii="Arial" w:hAnsi="Arial" w:cs="Arial"/>
          <w:sz w:val="24"/>
          <w:szCs w:val="24"/>
          <w:lang w:val="ro-RO"/>
        </w:rPr>
        <w:t>management strategic. Definirea clară a obiectivelor şi a ţintelor, asumarea</w:t>
      </w:r>
    </w:p>
    <w:p w:rsidR="00FB6112" w:rsidRPr="00315C4B" w:rsidRDefault="00FB6112" w:rsidP="00FB6112">
      <w:pPr>
        <w:rPr>
          <w:rFonts w:ascii="Arial" w:hAnsi="Arial" w:cs="Arial"/>
          <w:sz w:val="24"/>
          <w:szCs w:val="24"/>
          <w:lang w:val="ro-RO"/>
        </w:rPr>
      </w:pPr>
      <w:r w:rsidRPr="00315C4B">
        <w:rPr>
          <w:rFonts w:ascii="Arial" w:hAnsi="Arial" w:cs="Arial"/>
          <w:sz w:val="24"/>
          <w:szCs w:val="24"/>
          <w:lang w:val="ro-RO"/>
        </w:rPr>
        <w:t>responsabilităţilor, a procedurilor de monitorizare a progreselor, consultarea publicului,</w:t>
      </w:r>
    </w:p>
    <w:p w:rsidR="00FB6112" w:rsidRPr="00315C4B" w:rsidRDefault="00FB6112" w:rsidP="00FB6112">
      <w:pPr>
        <w:rPr>
          <w:rFonts w:ascii="Arial" w:hAnsi="Arial" w:cs="Arial"/>
          <w:sz w:val="24"/>
          <w:szCs w:val="24"/>
          <w:lang w:val="ro-RO"/>
        </w:rPr>
      </w:pPr>
      <w:r w:rsidRPr="00315C4B">
        <w:rPr>
          <w:rFonts w:ascii="Arial" w:hAnsi="Arial" w:cs="Arial"/>
          <w:sz w:val="24"/>
          <w:szCs w:val="24"/>
          <w:lang w:val="ro-RO"/>
        </w:rPr>
        <w:t>verificarea rezultatelor, auditul şi raportarea sunt cru</w:t>
      </w:r>
      <w:r w:rsidR="00315C4B">
        <w:rPr>
          <w:rFonts w:ascii="Arial" w:hAnsi="Arial" w:cs="Arial"/>
          <w:sz w:val="24"/>
          <w:szCs w:val="24"/>
          <w:lang w:val="ro-RO"/>
        </w:rPr>
        <w:t>ciale pentru implementare.</w:t>
      </w:r>
    </w:p>
    <w:p w:rsidR="00D129ED" w:rsidRDefault="00D129ED" w:rsidP="00D129ED">
      <w:pPr>
        <w:rPr>
          <w:rFonts w:ascii="Arial" w:hAnsi="Arial" w:cs="Arial"/>
          <w:sz w:val="24"/>
          <w:szCs w:val="24"/>
          <w:lang w:val="ro-RO"/>
        </w:rPr>
      </w:pPr>
      <w:r w:rsidRPr="00315C4B">
        <w:rPr>
          <w:rFonts w:ascii="Arial" w:hAnsi="Arial" w:cs="Arial"/>
          <w:sz w:val="24"/>
          <w:szCs w:val="24"/>
          <w:lang w:val="ro-RO"/>
        </w:rPr>
        <w:t>Prin Hotararea Consiliului Local Constanta nr. 295/2010, a fost aprobat programul integrat de gestionare a calitatii aerului in aglomerarea Constanta si municipiul Medgidia. Pro</w:t>
      </w:r>
      <w:r w:rsidR="001A4B0D" w:rsidRPr="00315C4B">
        <w:rPr>
          <w:rFonts w:ascii="Arial" w:hAnsi="Arial" w:cs="Arial"/>
          <w:sz w:val="24"/>
          <w:szCs w:val="24"/>
          <w:lang w:val="ro-RO"/>
        </w:rPr>
        <w:t>g</w:t>
      </w:r>
      <w:r w:rsidRPr="00315C4B">
        <w:rPr>
          <w:rFonts w:ascii="Arial" w:hAnsi="Arial" w:cs="Arial"/>
          <w:sz w:val="24"/>
          <w:szCs w:val="24"/>
          <w:lang w:val="ro-RO"/>
        </w:rPr>
        <w:t>ramul s-a derulat intre anii 2010-2014 si a cuprins masuri de reducere a emisiilor din surse industriale, surse liniare (trafic) si surse de suprafata. Urmare implementarii acestui program, calitatea aerului s-a imbunatatit incepand cu anul 2013.</w:t>
      </w:r>
    </w:p>
    <w:p w:rsidR="00315C4B" w:rsidRDefault="00D93E3C" w:rsidP="00D129ED">
      <w:pPr>
        <w:rPr>
          <w:rFonts w:ascii="Arial" w:hAnsi="Arial" w:cs="Arial"/>
          <w:sz w:val="24"/>
          <w:szCs w:val="24"/>
          <w:lang w:val="ro-RO"/>
        </w:rPr>
      </w:pPr>
      <w:r>
        <w:rPr>
          <w:rFonts w:ascii="Arial" w:hAnsi="Arial" w:cs="Arial"/>
          <w:sz w:val="24"/>
          <w:szCs w:val="24"/>
          <w:lang w:val="ro-RO"/>
        </w:rPr>
        <w:t xml:space="preserve">Ordinul nr.1206/2015 pentru aprobarea listelor cu unitatile administrativ teritoriale intocmite in urma incadrarii in regimuri de gestionare a ariilor din zonele si aglomerarile prevazute in anexa 2 a Legii 104/2011, incadreaza judetul Constanta si municipiul Constanta </w:t>
      </w:r>
      <w:r w:rsidR="004F1B91">
        <w:rPr>
          <w:rFonts w:ascii="Arial" w:hAnsi="Arial" w:cs="Arial"/>
          <w:sz w:val="24"/>
          <w:szCs w:val="24"/>
          <w:lang w:val="ro-RO"/>
        </w:rPr>
        <w:t xml:space="preserve">in regimul de gestionare II, de aici rezultand </w:t>
      </w:r>
      <w:r w:rsidR="00284662">
        <w:rPr>
          <w:rFonts w:ascii="Arial" w:hAnsi="Arial" w:cs="Arial"/>
          <w:sz w:val="24"/>
          <w:szCs w:val="24"/>
          <w:lang w:val="ro-RO"/>
        </w:rPr>
        <w:t xml:space="preserve">obligativitatea intocmirii planului de mentinere a calitatii aerului pentru oxizi de azot, pulberi in suspensie PM10 si PM2.5, benzen, nichel, dioxid de sulf, monixid de carbon, plumb, arseniu, cadmiu. Planul va contine masuri pentru pastrarea nivelului poluantilor sub valorile limita, respectiv sub valorile tinta.  HG nr 257/2015 aproba metodologia de elaborare a planurilor de calitate a aerului, a planurilor de actiune pe termen scurt si a planurilor de mentinere a calitatii aerului. Metodologia stabileste procedura prin care se asigura cadrul juridic, organizatoric si functional precum si o conceptie unitara de intocmire, de consultare a publicului, de monitorizare si raportare a stadiului si a efectelor realizarii masurilor din planuri catre institutiile nationale si europene. Autoritatea responsabila de elaborarea si punerea in practica a Planului de mentinere a calitatii aerului in judetul Constanta este Consiliul Judetean Constanta. Comisia Tehnica pentru elaborarea Planului de mentinere a calitatii aerului in judetul Constanta a fost constituita </w:t>
      </w:r>
      <w:r w:rsidR="008335DE">
        <w:rPr>
          <w:rFonts w:ascii="Arial" w:hAnsi="Arial" w:cs="Arial"/>
          <w:sz w:val="24"/>
          <w:szCs w:val="24"/>
          <w:lang w:val="ro-RO"/>
        </w:rPr>
        <w:t xml:space="preserve">prin Dispozitia Vicepresedintelui Consiliului Judetean Constanta nr.651/05.10.2015 si completata prin  Dispozitia nr. 249/01.02.2016. </w:t>
      </w:r>
    </w:p>
    <w:p w:rsidR="005449C4" w:rsidRDefault="005449C4" w:rsidP="00D129ED">
      <w:pPr>
        <w:rPr>
          <w:rFonts w:ascii="Arial" w:hAnsi="Arial" w:cs="Arial"/>
          <w:sz w:val="24"/>
          <w:szCs w:val="24"/>
          <w:lang w:val="ro-RO"/>
        </w:rPr>
      </w:pPr>
      <w:r>
        <w:rPr>
          <w:rFonts w:ascii="Arial" w:hAnsi="Arial" w:cs="Arial"/>
          <w:sz w:val="24"/>
          <w:szCs w:val="24"/>
          <w:lang w:val="ro-RO"/>
        </w:rPr>
        <w:t>Planul a fost elaborat, a fost supus dezbaterii publice, a fost analizat in comisia de analiza in vederea avizarii si a fost returnat in vederea modificarii si completarii.</w:t>
      </w: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Default="005449C4" w:rsidP="00D129ED">
      <w:pPr>
        <w:rPr>
          <w:rFonts w:ascii="Arial" w:hAnsi="Arial" w:cs="Arial"/>
          <w:sz w:val="24"/>
          <w:szCs w:val="24"/>
          <w:lang w:val="ro-RO"/>
        </w:rPr>
      </w:pPr>
    </w:p>
    <w:p w:rsidR="005449C4" w:rsidRPr="00315C4B" w:rsidRDefault="005449C4" w:rsidP="00D129ED">
      <w:pPr>
        <w:rPr>
          <w:rFonts w:ascii="Arial" w:hAnsi="Arial" w:cs="Arial"/>
          <w:sz w:val="24"/>
          <w:szCs w:val="24"/>
          <w:lang w:val="ro-RO"/>
        </w:rPr>
      </w:pPr>
    </w:p>
    <w:sectPr w:rsidR="005449C4" w:rsidRPr="00315C4B" w:rsidSect="00F051BB">
      <w:headerReference w:type="even" r:id="rId63"/>
      <w:headerReference w:type="default" r:id="rId64"/>
      <w:footerReference w:type="even" r:id="rId65"/>
      <w:footerReference w:type="default" r:id="rId66"/>
      <w:headerReference w:type="first" r:id="rId67"/>
      <w:footerReference w:type="first" r:id="rId68"/>
      <w:type w:val="continuous"/>
      <w:pgSz w:w="11907" w:h="16839" w:code="9"/>
      <w:pgMar w:top="900" w:right="922" w:bottom="1080" w:left="1411" w:header="706" w:footer="15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272" w:rsidRDefault="00D03272">
      <w:r>
        <w:separator/>
      </w:r>
    </w:p>
    <w:p w:rsidR="00D03272" w:rsidRDefault="00D03272"/>
  </w:endnote>
  <w:endnote w:type="continuationSeparator" w:id="0">
    <w:p w:rsidR="00D03272" w:rsidRDefault="00D03272">
      <w:r>
        <w:continuationSeparator/>
      </w:r>
    </w:p>
    <w:p w:rsidR="00D03272" w:rsidRDefault="00D03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auto"/>
    <w:notTrueType/>
    <w:pitch w:val="variable"/>
    <w:sig w:usb0="00000003" w:usb1="00000000" w:usb2="00000000" w:usb3="00000000" w:csb0="00000001" w:csb1="00000000"/>
  </w:font>
  <w:font w:name="Arial,BoldItalic">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DA" w:rsidRDefault="000464DA" w:rsidP="0079370B">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0464DA" w:rsidRDefault="000464DA" w:rsidP="00553F15">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3171"/>
      <w:docPartObj>
        <w:docPartGallery w:val="Page Numbers (Bottom of Page)"/>
        <w:docPartUnique/>
      </w:docPartObj>
    </w:sdtPr>
    <w:sdtEndPr/>
    <w:sdtContent>
      <w:p w:rsidR="000464DA" w:rsidRDefault="00C56182">
        <w:pPr>
          <w:pStyle w:val="Subsol"/>
          <w:jc w:val="center"/>
        </w:pPr>
        <w:r>
          <w:fldChar w:fldCharType="begin"/>
        </w:r>
        <w:r>
          <w:instrText xml:space="preserve"> PAGE   \* MERGEFORMAT </w:instrText>
        </w:r>
        <w:r>
          <w:fldChar w:fldCharType="separate"/>
        </w:r>
        <w:r w:rsidR="00D03272">
          <w:rPr>
            <w:noProof/>
          </w:rPr>
          <w:t>1</w:t>
        </w:r>
        <w:r>
          <w:rPr>
            <w:noProof/>
          </w:rPr>
          <w:fldChar w:fldCharType="end"/>
        </w:r>
      </w:p>
    </w:sdtContent>
  </w:sdt>
  <w:p w:rsidR="000464DA" w:rsidRPr="00F86BEF" w:rsidRDefault="000464DA" w:rsidP="00373096">
    <w:pPr>
      <w:pStyle w:val="WW-NormalWeb"/>
      <w:tabs>
        <w:tab w:val="center" w:pos="4680"/>
        <w:tab w:val="right" w:pos="9000"/>
      </w:tabs>
      <w:spacing w:before="0" w:after="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09F" w:rsidRDefault="005A209F">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272" w:rsidRDefault="00D03272">
      <w:r>
        <w:separator/>
      </w:r>
    </w:p>
    <w:p w:rsidR="00D03272" w:rsidRDefault="00D03272"/>
  </w:footnote>
  <w:footnote w:type="continuationSeparator" w:id="0">
    <w:p w:rsidR="00D03272" w:rsidRDefault="00D03272">
      <w:r>
        <w:continuationSeparator/>
      </w:r>
    </w:p>
    <w:p w:rsidR="00D03272" w:rsidRDefault="00D032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09F" w:rsidRDefault="005A209F">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09F" w:rsidRPr="00A32826" w:rsidRDefault="005A209F" w:rsidP="005A209F">
    <w:pPr>
      <w:pBdr>
        <w:bottom w:val="single" w:sz="4" w:space="1" w:color="auto"/>
      </w:pBdr>
      <w:jc w:val="right"/>
      <w:rPr>
        <w:rFonts w:ascii="Cambria" w:hAnsi="Cambria" w:cs="Arial"/>
        <w:b/>
        <w:i/>
        <w:color w:val="002060"/>
        <w:sz w:val="22"/>
        <w:szCs w:val="28"/>
        <w:lang w:val="ro-RO"/>
      </w:rPr>
    </w:pPr>
    <w:r w:rsidRPr="00A32826">
      <w:rPr>
        <w:rFonts w:ascii="Cambria" w:hAnsi="Cambria" w:cs="Arial"/>
        <w:b/>
        <w:i/>
        <w:color w:val="002060"/>
        <w:sz w:val="22"/>
        <w:szCs w:val="28"/>
        <w:lang w:val="ro-RO"/>
      </w:rPr>
      <w:t xml:space="preserve">RAPORT </w:t>
    </w:r>
    <w:r>
      <w:rPr>
        <w:rFonts w:ascii="Cambria" w:hAnsi="Cambria" w:cs="Arial"/>
        <w:b/>
        <w:i/>
        <w:color w:val="002060"/>
        <w:sz w:val="22"/>
        <w:szCs w:val="28"/>
        <w:lang w:val="ro-RO"/>
      </w:rPr>
      <w:t xml:space="preserve">JUDETEAN PRIVIND STAREA MEDIULUI, </w:t>
    </w:r>
    <w:r w:rsidRPr="00A32826">
      <w:rPr>
        <w:rFonts w:ascii="Cambria" w:hAnsi="Cambria" w:cs="Arial"/>
        <w:b/>
        <w:i/>
        <w:color w:val="002060"/>
        <w:sz w:val="22"/>
        <w:szCs w:val="28"/>
        <w:lang w:val="ro-RO"/>
      </w:rPr>
      <w:t xml:space="preserve"> ANUL 201</w:t>
    </w:r>
    <w:r>
      <w:rPr>
        <w:rFonts w:ascii="Cambria" w:hAnsi="Cambria" w:cs="Arial"/>
        <w:b/>
        <w:i/>
        <w:color w:val="002060"/>
        <w:sz w:val="22"/>
        <w:szCs w:val="28"/>
        <w:lang w:val="ro-RO"/>
      </w:rPr>
      <w:t>7</w:t>
    </w:r>
  </w:p>
  <w:p w:rsidR="005A209F" w:rsidRDefault="005A209F">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09F" w:rsidRDefault="005A209F">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BD10298_"/>
      </v:shape>
    </w:pict>
  </w:numPicBullet>
  <w:abstractNum w:abstractNumId="0">
    <w:nsid w:val="00000001"/>
    <w:multiLevelType w:val="multilevel"/>
    <w:tmpl w:val="0000000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0000002"/>
    <w:multiLevelType w:val="multilevel"/>
    <w:tmpl w:val="00000002"/>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4"/>
    <w:multiLevelType w:val="singleLevel"/>
    <w:tmpl w:val="00000004"/>
    <w:name w:val="WW8Num28"/>
    <w:lvl w:ilvl="0">
      <w:numFmt w:val="bullet"/>
      <w:lvlText w:val="Þ"/>
      <w:lvlJc w:val="left"/>
      <w:pPr>
        <w:tabs>
          <w:tab w:val="num" w:pos="1800"/>
        </w:tabs>
        <w:ind w:left="1800" w:hanging="360"/>
      </w:pPr>
      <w:rPr>
        <w:rFonts w:ascii="Symbol" w:hAnsi="Symbol"/>
        <w:color w:val="auto"/>
      </w:rPr>
    </w:lvl>
  </w:abstractNum>
  <w:abstractNum w:abstractNumId="3">
    <w:nsid w:val="00000005"/>
    <w:multiLevelType w:val="multilevel"/>
    <w:tmpl w:val="00000005"/>
    <w:name w:val="WW8Num3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A"/>
    <w:multiLevelType w:val="singleLevel"/>
    <w:tmpl w:val="0000000A"/>
    <w:name w:val="WW8Num10"/>
    <w:lvl w:ilvl="0">
      <w:start w:val="1"/>
      <w:numFmt w:val="bullet"/>
      <w:lvlText w:val="¨"/>
      <w:lvlJc w:val="left"/>
      <w:pPr>
        <w:tabs>
          <w:tab w:val="num" w:pos="1080"/>
        </w:tabs>
        <w:ind w:left="1080" w:hanging="360"/>
      </w:pPr>
      <w:rPr>
        <w:rFonts w:ascii="Symbol" w:hAnsi="Symbol"/>
        <w:color w:val="auto"/>
      </w:rPr>
    </w:lvl>
  </w:abstractNum>
  <w:abstractNum w:abstractNumId="5">
    <w:nsid w:val="02843C41"/>
    <w:multiLevelType w:val="hybridMultilevel"/>
    <w:tmpl w:val="B4964DE6"/>
    <w:lvl w:ilvl="0" w:tplc="319C7C82">
      <w:start w:val="2"/>
      <w:numFmt w:val="bullet"/>
      <w:lvlText w:val="-"/>
      <w:lvlJc w:val="left"/>
      <w:pPr>
        <w:tabs>
          <w:tab w:val="num" w:pos="1004"/>
        </w:tabs>
        <w:ind w:left="1004" w:hanging="360"/>
      </w:pPr>
      <w:rPr>
        <w:rFonts w:ascii="Arial" w:eastAsia="Times New Roman"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
    <w:nsid w:val="082B1D23"/>
    <w:multiLevelType w:val="hybridMultilevel"/>
    <w:tmpl w:val="DF68342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8E97962"/>
    <w:multiLevelType w:val="hybridMultilevel"/>
    <w:tmpl w:val="FB3847D2"/>
    <w:lvl w:ilvl="0" w:tplc="8820CAFA">
      <w:start w:val="1"/>
      <w:numFmt w:val="bullet"/>
      <w:lvlText w:val=""/>
      <w:lvlJc w:val="left"/>
      <w:pPr>
        <w:tabs>
          <w:tab w:val="num" w:pos="360"/>
        </w:tabs>
        <w:ind w:left="360" w:hanging="360"/>
      </w:pPr>
      <w:rPr>
        <w:rFonts w:ascii="Symbol" w:hAnsi="Symbol" w:hint="default"/>
        <w:color w:val="auto"/>
        <w:sz w:val="16"/>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09541A75"/>
    <w:multiLevelType w:val="hybridMultilevel"/>
    <w:tmpl w:val="75D0080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4B4484"/>
    <w:multiLevelType w:val="hybridMultilevel"/>
    <w:tmpl w:val="722ED144"/>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0">
    <w:nsid w:val="192E1ED1"/>
    <w:multiLevelType w:val="hybridMultilevel"/>
    <w:tmpl w:val="ECBEF48A"/>
    <w:lvl w:ilvl="0" w:tplc="FD6EFC70">
      <w:start w:val="2"/>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C872B34"/>
    <w:multiLevelType w:val="hybridMultilevel"/>
    <w:tmpl w:val="976A2162"/>
    <w:lvl w:ilvl="0" w:tplc="8A4ADBC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340AAD"/>
    <w:multiLevelType w:val="multilevel"/>
    <w:tmpl w:val="2474DE34"/>
    <w:lvl w:ilvl="0">
      <w:start w:val="1"/>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rPr>
    </w:lvl>
    <w:lvl w:ilvl="1">
      <w:start w:val="1"/>
      <w:numFmt w:val="decimal"/>
      <w:suff w:val="space"/>
      <w:lvlText w:val="%1.%2."/>
      <w:lvlJc w:val="left"/>
      <w:pPr>
        <w:ind w:left="737" w:hanging="624"/>
      </w:pPr>
      <w:rPr>
        <w:rFonts w:hint="default"/>
        <w:sz w:val="22"/>
      </w:rPr>
    </w:lvl>
    <w:lvl w:ilvl="2">
      <w:start w:val="1"/>
      <w:numFmt w:val="decimal"/>
      <w:lvlText w:val="%1.%2.%3."/>
      <w:lvlJc w:val="left"/>
      <w:pPr>
        <w:tabs>
          <w:tab w:val="num" w:pos="0"/>
        </w:tabs>
        <w:ind w:left="56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13">
    <w:nsid w:val="1DB30DCC"/>
    <w:multiLevelType w:val="hybridMultilevel"/>
    <w:tmpl w:val="0B9A69B0"/>
    <w:lvl w:ilvl="0" w:tplc="8A4ADBC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5321857"/>
    <w:multiLevelType w:val="hybridMultilevel"/>
    <w:tmpl w:val="281E69BE"/>
    <w:lvl w:ilvl="0" w:tplc="D91CB390">
      <w:start w:val="1"/>
      <w:numFmt w:val="bullet"/>
      <w:lvlText w:val=""/>
      <w:lvlJc w:val="left"/>
      <w:pPr>
        <w:tabs>
          <w:tab w:val="num" w:pos="360"/>
        </w:tabs>
        <w:ind w:left="360" w:hanging="360"/>
      </w:pPr>
      <w:rPr>
        <w:rFonts w:ascii="Wingdings" w:hAnsi="Wingdings" w:hint="default"/>
      </w:rPr>
    </w:lvl>
    <w:lvl w:ilvl="1" w:tplc="6C78952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E33A09"/>
    <w:multiLevelType w:val="hybridMultilevel"/>
    <w:tmpl w:val="28720DF2"/>
    <w:lvl w:ilvl="0" w:tplc="8A78A7F6">
      <w:numFmt w:val="bullet"/>
      <w:lvlText w:val="-"/>
      <w:lvlJc w:val="left"/>
      <w:pPr>
        <w:tabs>
          <w:tab w:val="num" w:pos="720"/>
        </w:tabs>
        <w:ind w:left="720" w:hanging="360"/>
      </w:pPr>
      <w:rPr>
        <w:rFonts w:ascii="Arial" w:eastAsia="Times New Roman" w:hAnsi="Arial" w:cs="Arial" w:hint="default"/>
      </w:rPr>
    </w:lvl>
    <w:lvl w:ilvl="1" w:tplc="0409000B">
      <w:start w:val="1"/>
      <w:numFmt w:val="bullet"/>
      <w:lvlText w:val=""/>
      <w:lvlJc w:val="left"/>
      <w:pPr>
        <w:tabs>
          <w:tab w:val="num" w:pos="1440"/>
        </w:tabs>
        <w:ind w:left="1440" w:hanging="360"/>
      </w:pPr>
      <w:rPr>
        <w:rFonts w:ascii="Wingdings" w:hAnsi="Wingdings" w:hint="default"/>
      </w:rPr>
    </w:lvl>
    <w:lvl w:ilvl="2" w:tplc="2EAA965E">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037DFC"/>
    <w:multiLevelType w:val="hybridMultilevel"/>
    <w:tmpl w:val="24B6E4AC"/>
    <w:lvl w:ilvl="0" w:tplc="0409000B">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
    <w:nsid w:val="264615B6"/>
    <w:multiLevelType w:val="hybridMultilevel"/>
    <w:tmpl w:val="6C6C0AFA"/>
    <w:lvl w:ilvl="0" w:tplc="0902DE32">
      <w:start w:val="1"/>
      <w:numFmt w:val="decimal"/>
      <w:lvlText w:val="%1."/>
      <w:lvlJc w:val="left"/>
      <w:pPr>
        <w:tabs>
          <w:tab w:val="num" w:pos="929"/>
        </w:tabs>
        <w:ind w:left="929" w:hanging="645"/>
      </w:pPr>
      <w:rPr>
        <w:rFonts w:hint="default"/>
        <w:b/>
      </w:rPr>
    </w:lvl>
    <w:lvl w:ilvl="1" w:tplc="04090001">
      <w:start w:val="1"/>
      <w:numFmt w:val="bullet"/>
      <w:lvlText w:val=""/>
      <w:lvlJc w:val="left"/>
      <w:pPr>
        <w:tabs>
          <w:tab w:val="num" w:pos="1364"/>
        </w:tabs>
        <w:ind w:left="1364" w:hanging="360"/>
      </w:pPr>
      <w:rPr>
        <w:rFonts w:ascii="Symbol" w:hAnsi="Symbol" w:hint="default"/>
        <w:b/>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272B6133"/>
    <w:multiLevelType w:val="hybridMultilevel"/>
    <w:tmpl w:val="03FC4BFA"/>
    <w:lvl w:ilvl="0" w:tplc="48507252">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7D71A9E"/>
    <w:multiLevelType w:val="multilevel"/>
    <w:tmpl w:val="E13A3142"/>
    <w:lvl w:ilvl="0">
      <w:start w:val="2"/>
      <w:numFmt w:val="none"/>
      <w:lvlText w:val="2.1.5"/>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3"/>
      <w:numFmt w:val="decimal"/>
      <w:lvlText w:val="2%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9B70BC8"/>
    <w:multiLevelType w:val="hybridMultilevel"/>
    <w:tmpl w:val="A10CFB70"/>
    <w:lvl w:ilvl="0" w:tplc="C0806046">
      <w:start w:val="1"/>
      <w:numFmt w:val="bullet"/>
      <w:lvlText w:val=""/>
      <w:lvlJc w:val="left"/>
      <w:pPr>
        <w:tabs>
          <w:tab w:val="num" w:pos="720"/>
        </w:tabs>
        <w:ind w:left="720" w:hanging="360"/>
      </w:pPr>
      <w:rPr>
        <w:rFonts w:ascii="Wingdings" w:hAnsi="Wingdings" w:hint="default"/>
      </w:rPr>
    </w:lvl>
    <w:lvl w:ilvl="1" w:tplc="51E882BA">
      <w:start w:val="5"/>
      <w:numFmt w:val="bullet"/>
      <w:lvlText w:val=""/>
      <w:lvlJc w:val="left"/>
      <w:pPr>
        <w:tabs>
          <w:tab w:val="num" w:pos="1437"/>
        </w:tabs>
        <w:ind w:left="1437" w:hanging="357"/>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2B5D53B2"/>
    <w:multiLevelType w:val="hybridMultilevel"/>
    <w:tmpl w:val="E362B568"/>
    <w:lvl w:ilvl="0" w:tplc="B338DF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BD13452"/>
    <w:multiLevelType w:val="hybridMultilevel"/>
    <w:tmpl w:val="D5B89D36"/>
    <w:lvl w:ilvl="0" w:tplc="0409000B">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2CC714AD"/>
    <w:multiLevelType w:val="hybridMultilevel"/>
    <w:tmpl w:val="CD4EA7C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F25DF5"/>
    <w:multiLevelType w:val="hybridMultilevel"/>
    <w:tmpl w:val="E362B568"/>
    <w:lvl w:ilvl="0" w:tplc="B338DF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51C2796"/>
    <w:multiLevelType w:val="hybridMultilevel"/>
    <w:tmpl w:val="93B61E34"/>
    <w:name w:val="WW8Num310"/>
    <w:lvl w:ilvl="0" w:tplc="E12A94BC">
      <w:start w:val="1"/>
      <w:numFmt w:val="bullet"/>
      <w:lvlText w:val="Ø"/>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5F8216C"/>
    <w:multiLevelType w:val="hybridMultilevel"/>
    <w:tmpl w:val="EBB2C95C"/>
    <w:lvl w:ilvl="0" w:tplc="0409000B">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3E64302E"/>
    <w:multiLevelType w:val="hybridMultilevel"/>
    <w:tmpl w:val="A3520AD6"/>
    <w:lvl w:ilvl="0" w:tplc="53A41CD6">
      <w:start w:val="6"/>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1220277"/>
    <w:multiLevelType w:val="hybridMultilevel"/>
    <w:tmpl w:val="8A04427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22552E5"/>
    <w:multiLevelType w:val="hybridMultilevel"/>
    <w:tmpl w:val="818A3368"/>
    <w:lvl w:ilvl="0" w:tplc="16842922">
      <w:start w:val="2"/>
      <w:numFmt w:val="bullet"/>
      <w:lvlText w:val="-"/>
      <w:lvlJc w:val="left"/>
      <w:pPr>
        <w:tabs>
          <w:tab w:val="num" w:pos="945"/>
        </w:tabs>
        <w:ind w:left="945" w:hanging="360"/>
      </w:pPr>
      <w:rPr>
        <w:rFonts w:ascii="Times New Roman" w:eastAsia="Times New Roman" w:hAnsi="Times New Roman" w:cs="Times New Roman" w:hint="default"/>
      </w:rPr>
    </w:lvl>
    <w:lvl w:ilvl="1" w:tplc="04090003" w:tentative="1">
      <w:start w:val="1"/>
      <w:numFmt w:val="bullet"/>
      <w:lvlText w:val="o"/>
      <w:lvlJc w:val="left"/>
      <w:pPr>
        <w:tabs>
          <w:tab w:val="num" w:pos="1665"/>
        </w:tabs>
        <w:ind w:left="1665" w:hanging="360"/>
      </w:pPr>
      <w:rPr>
        <w:rFonts w:ascii="Courier New" w:hAnsi="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30">
    <w:nsid w:val="4231038D"/>
    <w:multiLevelType w:val="multilevel"/>
    <w:tmpl w:val="DB38A97E"/>
    <w:lvl w:ilvl="0">
      <w:start w:val="1"/>
      <w:numFmt w:val="bullet"/>
      <w:pStyle w:val="bul1"/>
      <w:lvlText w:val=""/>
      <w:lvlJc w:val="left"/>
      <w:pPr>
        <w:tabs>
          <w:tab w:val="num" w:pos="680"/>
        </w:tabs>
        <w:ind w:left="680" w:hanging="396"/>
      </w:pPr>
      <w:rPr>
        <w:rFonts w:ascii="Symbol" w:hAnsi="Symbol" w:hint="default"/>
      </w:rPr>
    </w:lvl>
    <w:lvl w:ilvl="1">
      <w:start w:val="1"/>
      <w:numFmt w:val="bullet"/>
      <w:pStyle w:val="bul1"/>
      <w:lvlText w:val="-"/>
      <w:lvlJc w:val="left"/>
      <w:pPr>
        <w:tabs>
          <w:tab w:val="num" w:pos="1440"/>
        </w:tabs>
        <w:ind w:left="1421" w:hanging="341"/>
      </w:pPr>
      <w:rPr>
        <w:rFonts w:hint="default"/>
        <w:b w:val="0"/>
        <w:i w:val="0"/>
        <w:sz w:val="19"/>
      </w:rPr>
    </w:lvl>
    <w:lvl w:ilvl="2">
      <w:start w:val="1"/>
      <w:numFmt w:val="bullet"/>
      <w:lvlText w:val=""/>
      <w:lvlJc w:val="left"/>
      <w:pPr>
        <w:tabs>
          <w:tab w:val="num" w:pos="2160"/>
        </w:tabs>
        <w:ind w:left="2027" w:hanging="22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42877B32"/>
    <w:multiLevelType w:val="hybridMultilevel"/>
    <w:tmpl w:val="F6B89E30"/>
    <w:lvl w:ilvl="0" w:tplc="0409000B">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447"/>
        </w:tabs>
        <w:ind w:left="447" w:hanging="360"/>
      </w:pPr>
      <w:rPr>
        <w:rFonts w:ascii="Courier New" w:hAnsi="Courier New" w:cs="Courier New" w:hint="default"/>
      </w:rPr>
    </w:lvl>
    <w:lvl w:ilvl="2" w:tplc="04180005" w:tentative="1">
      <w:start w:val="1"/>
      <w:numFmt w:val="bullet"/>
      <w:lvlText w:val=""/>
      <w:lvlJc w:val="left"/>
      <w:pPr>
        <w:tabs>
          <w:tab w:val="num" w:pos="1167"/>
        </w:tabs>
        <w:ind w:left="1167" w:hanging="360"/>
      </w:pPr>
      <w:rPr>
        <w:rFonts w:ascii="Wingdings" w:hAnsi="Wingdings" w:hint="default"/>
      </w:rPr>
    </w:lvl>
    <w:lvl w:ilvl="3" w:tplc="04180001" w:tentative="1">
      <w:start w:val="1"/>
      <w:numFmt w:val="bullet"/>
      <w:lvlText w:val=""/>
      <w:lvlJc w:val="left"/>
      <w:pPr>
        <w:tabs>
          <w:tab w:val="num" w:pos="1887"/>
        </w:tabs>
        <w:ind w:left="1887" w:hanging="360"/>
      </w:pPr>
      <w:rPr>
        <w:rFonts w:ascii="Symbol" w:hAnsi="Symbol" w:hint="default"/>
      </w:rPr>
    </w:lvl>
    <w:lvl w:ilvl="4" w:tplc="04180003" w:tentative="1">
      <w:start w:val="1"/>
      <w:numFmt w:val="bullet"/>
      <w:lvlText w:val="o"/>
      <w:lvlJc w:val="left"/>
      <w:pPr>
        <w:tabs>
          <w:tab w:val="num" w:pos="2607"/>
        </w:tabs>
        <w:ind w:left="2607" w:hanging="360"/>
      </w:pPr>
      <w:rPr>
        <w:rFonts w:ascii="Courier New" w:hAnsi="Courier New" w:cs="Courier New" w:hint="default"/>
      </w:rPr>
    </w:lvl>
    <w:lvl w:ilvl="5" w:tplc="04180005" w:tentative="1">
      <w:start w:val="1"/>
      <w:numFmt w:val="bullet"/>
      <w:lvlText w:val=""/>
      <w:lvlJc w:val="left"/>
      <w:pPr>
        <w:tabs>
          <w:tab w:val="num" w:pos="3327"/>
        </w:tabs>
        <w:ind w:left="3327" w:hanging="360"/>
      </w:pPr>
      <w:rPr>
        <w:rFonts w:ascii="Wingdings" w:hAnsi="Wingdings" w:hint="default"/>
      </w:rPr>
    </w:lvl>
    <w:lvl w:ilvl="6" w:tplc="04180001" w:tentative="1">
      <w:start w:val="1"/>
      <w:numFmt w:val="bullet"/>
      <w:lvlText w:val=""/>
      <w:lvlJc w:val="left"/>
      <w:pPr>
        <w:tabs>
          <w:tab w:val="num" w:pos="4047"/>
        </w:tabs>
        <w:ind w:left="4047" w:hanging="360"/>
      </w:pPr>
      <w:rPr>
        <w:rFonts w:ascii="Symbol" w:hAnsi="Symbol" w:hint="default"/>
      </w:rPr>
    </w:lvl>
    <w:lvl w:ilvl="7" w:tplc="04180003" w:tentative="1">
      <w:start w:val="1"/>
      <w:numFmt w:val="bullet"/>
      <w:lvlText w:val="o"/>
      <w:lvlJc w:val="left"/>
      <w:pPr>
        <w:tabs>
          <w:tab w:val="num" w:pos="4767"/>
        </w:tabs>
        <w:ind w:left="4767" w:hanging="360"/>
      </w:pPr>
      <w:rPr>
        <w:rFonts w:ascii="Courier New" w:hAnsi="Courier New" w:cs="Courier New" w:hint="default"/>
      </w:rPr>
    </w:lvl>
    <w:lvl w:ilvl="8" w:tplc="04180005" w:tentative="1">
      <w:start w:val="1"/>
      <w:numFmt w:val="bullet"/>
      <w:lvlText w:val=""/>
      <w:lvlJc w:val="left"/>
      <w:pPr>
        <w:tabs>
          <w:tab w:val="num" w:pos="5487"/>
        </w:tabs>
        <w:ind w:left="5487" w:hanging="360"/>
      </w:pPr>
      <w:rPr>
        <w:rFonts w:ascii="Wingdings" w:hAnsi="Wingdings" w:hint="default"/>
      </w:rPr>
    </w:lvl>
  </w:abstractNum>
  <w:abstractNum w:abstractNumId="32">
    <w:nsid w:val="43183636"/>
    <w:multiLevelType w:val="hybridMultilevel"/>
    <w:tmpl w:val="F43E80FA"/>
    <w:lvl w:ilvl="0" w:tplc="0409000B">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3">
    <w:nsid w:val="47B9522E"/>
    <w:multiLevelType w:val="hybridMultilevel"/>
    <w:tmpl w:val="CFE043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AC13E0"/>
    <w:multiLevelType w:val="hybridMultilevel"/>
    <w:tmpl w:val="11BA7A42"/>
    <w:lvl w:ilvl="0" w:tplc="390C08C0">
      <w:start w:val="6"/>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05F0DE0"/>
    <w:multiLevelType w:val="hybridMultilevel"/>
    <w:tmpl w:val="1E445A2E"/>
    <w:lvl w:ilvl="0" w:tplc="0409000B">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6">
    <w:nsid w:val="52F41AD7"/>
    <w:multiLevelType w:val="hybridMultilevel"/>
    <w:tmpl w:val="9FE241CE"/>
    <w:lvl w:ilvl="0" w:tplc="42B0B26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5376108"/>
    <w:multiLevelType w:val="hybridMultilevel"/>
    <w:tmpl w:val="56BCF24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60C5285"/>
    <w:multiLevelType w:val="hybridMultilevel"/>
    <w:tmpl w:val="C128CFC4"/>
    <w:lvl w:ilvl="0" w:tplc="25AC8C5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nsid w:val="5A58397C"/>
    <w:multiLevelType w:val="hybridMultilevel"/>
    <w:tmpl w:val="C306335C"/>
    <w:name w:val="WW8Num31022"/>
    <w:lvl w:ilvl="0" w:tplc="E12A94B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19A1154"/>
    <w:multiLevelType w:val="hybridMultilevel"/>
    <w:tmpl w:val="D316A83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nsid w:val="62F4636F"/>
    <w:multiLevelType w:val="hybridMultilevel"/>
    <w:tmpl w:val="FFD89498"/>
    <w:lvl w:ilvl="0" w:tplc="322665D4">
      <w:start w:val="6"/>
      <w:numFmt w:val="decimal"/>
      <w:lvlText w:val="%1."/>
      <w:lvlJc w:val="left"/>
      <w:pPr>
        <w:tabs>
          <w:tab w:val="num" w:pos="644"/>
        </w:tabs>
        <w:ind w:left="644" w:hanging="360"/>
      </w:pPr>
      <w:rPr>
        <w:rFonts w:hint="default"/>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2">
    <w:nsid w:val="630A38ED"/>
    <w:multiLevelType w:val="hybridMultilevel"/>
    <w:tmpl w:val="8B5857D4"/>
    <w:lvl w:ilvl="0" w:tplc="719E32B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33E7C9F"/>
    <w:multiLevelType w:val="hybridMultilevel"/>
    <w:tmpl w:val="E4367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815F99"/>
    <w:multiLevelType w:val="hybridMultilevel"/>
    <w:tmpl w:val="60BC6E68"/>
    <w:lvl w:ilvl="0" w:tplc="2D021842">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6F48635B"/>
    <w:multiLevelType w:val="hybridMultilevel"/>
    <w:tmpl w:val="3FC86C1A"/>
    <w:lvl w:ilvl="0" w:tplc="22B2860E">
      <w:start w:val="3"/>
      <w:numFmt w:val="decimal"/>
      <w:lvlText w:val="%1."/>
      <w:lvlJc w:val="left"/>
      <w:pPr>
        <w:tabs>
          <w:tab w:val="num" w:pos="644"/>
        </w:tabs>
        <w:ind w:left="644" w:hanging="360"/>
      </w:pPr>
      <w:rPr>
        <w:rFonts w:hint="default"/>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6">
    <w:nsid w:val="70A23D21"/>
    <w:multiLevelType w:val="hybridMultilevel"/>
    <w:tmpl w:val="2594F460"/>
    <w:lvl w:ilvl="0" w:tplc="04180001">
      <w:start w:val="1"/>
      <w:numFmt w:val="bullet"/>
      <w:lvlText w:val=""/>
      <w:lvlJc w:val="left"/>
      <w:pPr>
        <w:tabs>
          <w:tab w:val="num" w:pos="1428"/>
        </w:tabs>
        <w:ind w:left="1428" w:hanging="360"/>
      </w:pPr>
      <w:rPr>
        <w:rFonts w:ascii="Symbol" w:hAnsi="Symbol" w:hint="default"/>
      </w:rPr>
    </w:lvl>
    <w:lvl w:ilvl="1" w:tplc="E33AB10A">
      <w:numFmt w:val="bullet"/>
      <w:lvlText w:val="-"/>
      <w:lvlJc w:val="left"/>
      <w:pPr>
        <w:tabs>
          <w:tab w:val="num" w:pos="1080"/>
        </w:tabs>
        <w:ind w:left="1080" w:hanging="360"/>
      </w:pPr>
      <w:rPr>
        <w:rFonts w:ascii="Arial" w:eastAsia="Times New Roman" w:hAnsi="Arial" w:cs="Arial" w:hint="default"/>
      </w:rPr>
    </w:lvl>
    <w:lvl w:ilvl="2" w:tplc="04180005">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47">
    <w:nsid w:val="70E9610C"/>
    <w:multiLevelType w:val="hybridMultilevel"/>
    <w:tmpl w:val="A84051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7AD046CA"/>
    <w:multiLevelType w:val="hybridMultilevel"/>
    <w:tmpl w:val="DFF07C1C"/>
    <w:lvl w:ilvl="0" w:tplc="0409000B">
      <w:start w:val="1"/>
      <w:numFmt w:val="bullet"/>
      <w:lvlText w:val=""/>
      <w:lvlJc w:val="left"/>
      <w:pPr>
        <w:tabs>
          <w:tab w:val="num" w:pos="720"/>
        </w:tabs>
        <w:ind w:left="720" w:hanging="360"/>
      </w:pPr>
      <w:rPr>
        <w:rFonts w:ascii="Wingdings" w:hAnsi="Wingdings" w:hint="default"/>
      </w:rPr>
    </w:lvl>
    <w:lvl w:ilvl="1" w:tplc="E33AB10A">
      <w:numFmt w:val="bullet"/>
      <w:lvlText w:val="-"/>
      <w:lvlJc w:val="left"/>
      <w:pPr>
        <w:tabs>
          <w:tab w:val="num" w:pos="1080"/>
        </w:tabs>
        <w:ind w:left="1080" w:hanging="360"/>
      </w:pPr>
      <w:rPr>
        <w:rFonts w:ascii="Arial" w:eastAsia="Times New Roman" w:hAnsi="Arial" w:cs="Arial" w:hint="default"/>
      </w:rPr>
    </w:lvl>
    <w:lvl w:ilvl="2" w:tplc="04180005">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49">
    <w:nsid w:val="7DFD38B6"/>
    <w:multiLevelType w:val="hybridMultilevel"/>
    <w:tmpl w:val="0BD8E0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6"/>
  </w:num>
  <w:num w:numId="3">
    <w:abstractNumId w:val="31"/>
  </w:num>
  <w:num w:numId="4">
    <w:abstractNumId w:val="7"/>
  </w:num>
  <w:num w:numId="5">
    <w:abstractNumId w:val="44"/>
  </w:num>
  <w:num w:numId="6">
    <w:abstractNumId w:val="23"/>
  </w:num>
  <w:num w:numId="7">
    <w:abstractNumId w:val="37"/>
  </w:num>
  <w:num w:numId="8">
    <w:abstractNumId w:val="28"/>
  </w:num>
  <w:num w:numId="9">
    <w:abstractNumId w:val="8"/>
  </w:num>
  <w:num w:numId="10">
    <w:abstractNumId w:val="16"/>
  </w:num>
  <w:num w:numId="11">
    <w:abstractNumId w:val="35"/>
  </w:num>
  <w:num w:numId="12">
    <w:abstractNumId w:val="20"/>
  </w:num>
  <w:num w:numId="13">
    <w:abstractNumId w:val="19"/>
  </w:num>
  <w:num w:numId="14">
    <w:abstractNumId w:val="15"/>
  </w:num>
  <w:num w:numId="15">
    <w:abstractNumId w:val="22"/>
  </w:num>
  <w:num w:numId="16">
    <w:abstractNumId w:val="42"/>
  </w:num>
  <w:num w:numId="17">
    <w:abstractNumId w:val="39"/>
  </w:num>
  <w:num w:numId="18">
    <w:abstractNumId w:val="5"/>
  </w:num>
  <w:num w:numId="19">
    <w:abstractNumId w:val="32"/>
  </w:num>
  <w:num w:numId="20">
    <w:abstractNumId w:val="26"/>
  </w:num>
  <w:num w:numId="21">
    <w:abstractNumId w:val="9"/>
  </w:num>
  <w:num w:numId="22">
    <w:abstractNumId w:val="11"/>
  </w:num>
  <w:num w:numId="23">
    <w:abstractNumId w:val="13"/>
  </w:num>
  <w:num w:numId="24">
    <w:abstractNumId w:val="14"/>
  </w:num>
  <w:num w:numId="25">
    <w:abstractNumId w:val="29"/>
  </w:num>
  <w:num w:numId="26">
    <w:abstractNumId w:val="4"/>
  </w:num>
  <w:num w:numId="27">
    <w:abstractNumId w:val="18"/>
  </w:num>
  <w:num w:numId="28">
    <w:abstractNumId w:val="10"/>
  </w:num>
  <w:num w:numId="29">
    <w:abstractNumId w:val="40"/>
  </w:num>
  <w:num w:numId="30">
    <w:abstractNumId w:val="17"/>
  </w:num>
  <w:num w:numId="31">
    <w:abstractNumId w:val="45"/>
  </w:num>
  <w:num w:numId="32">
    <w:abstractNumId w:val="41"/>
  </w:num>
  <w:num w:numId="33">
    <w:abstractNumId w:val="46"/>
  </w:num>
  <w:num w:numId="34">
    <w:abstractNumId w:val="47"/>
  </w:num>
  <w:num w:numId="35">
    <w:abstractNumId w:val="36"/>
  </w:num>
  <w:num w:numId="36">
    <w:abstractNumId w:val="48"/>
  </w:num>
  <w:num w:numId="37">
    <w:abstractNumId w:val="34"/>
  </w:num>
  <w:num w:numId="38">
    <w:abstractNumId w:val="27"/>
  </w:num>
  <w:num w:numId="39">
    <w:abstractNumId w:val="21"/>
  </w:num>
  <w:num w:numId="40">
    <w:abstractNumId w:val="33"/>
  </w:num>
  <w:num w:numId="41">
    <w:abstractNumId w:val="49"/>
  </w:num>
  <w:num w:numId="42">
    <w:abstractNumId w:val="12"/>
  </w:num>
  <w:num w:numId="43">
    <w:abstractNumId w:val="43"/>
  </w:num>
  <w:num w:numId="44">
    <w:abstractNumId w:val="24"/>
  </w:num>
  <w:num w:numId="45">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553F15"/>
    <w:rsid w:val="00000BC3"/>
    <w:rsid w:val="00003BA3"/>
    <w:rsid w:val="0000486F"/>
    <w:rsid w:val="000048FA"/>
    <w:rsid w:val="00005744"/>
    <w:rsid w:val="00006354"/>
    <w:rsid w:val="00006A5F"/>
    <w:rsid w:val="00007402"/>
    <w:rsid w:val="000109EF"/>
    <w:rsid w:val="00011C13"/>
    <w:rsid w:val="00012329"/>
    <w:rsid w:val="0001394F"/>
    <w:rsid w:val="00013B0F"/>
    <w:rsid w:val="00013B12"/>
    <w:rsid w:val="00013FEA"/>
    <w:rsid w:val="00015F4F"/>
    <w:rsid w:val="0001748C"/>
    <w:rsid w:val="00017CA5"/>
    <w:rsid w:val="00020303"/>
    <w:rsid w:val="0002194D"/>
    <w:rsid w:val="0002227A"/>
    <w:rsid w:val="0002298A"/>
    <w:rsid w:val="00022FB3"/>
    <w:rsid w:val="000243E5"/>
    <w:rsid w:val="00024F7D"/>
    <w:rsid w:val="00024FC5"/>
    <w:rsid w:val="000250E3"/>
    <w:rsid w:val="00026DA8"/>
    <w:rsid w:val="00027FF6"/>
    <w:rsid w:val="000300AF"/>
    <w:rsid w:val="00034019"/>
    <w:rsid w:val="0003407B"/>
    <w:rsid w:val="000356C4"/>
    <w:rsid w:val="00035BFD"/>
    <w:rsid w:val="00037010"/>
    <w:rsid w:val="0003703C"/>
    <w:rsid w:val="000409C6"/>
    <w:rsid w:val="000420C5"/>
    <w:rsid w:val="0004272E"/>
    <w:rsid w:val="0004338C"/>
    <w:rsid w:val="0004395D"/>
    <w:rsid w:val="00043B1D"/>
    <w:rsid w:val="00045BA3"/>
    <w:rsid w:val="00046309"/>
    <w:rsid w:val="000464DA"/>
    <w:rsid w:val="00046C30"/>
    <w:rsid w:val="00047539"/>
    <w:rsid w:val="00047605"/>
    <w:rsid w:val="00047682"/>
    <w:rsid w:val="00047820"/>
    <w:rsid w:val="00047A51"/>
    <w:rsid w:val="00051256"/>
    <w:rsid w:val="0005147D"/>
    <w:rsid w:val="000529EF"/>
    <w:rsid w:val="00053884"/>
    <w:rsid w:val="000543BE"/>
    <w:rsid w:val="00054B21"/>
    <w:rsid w:val="00054E9A"/>
    <w:rsid w:val="00055767"/>
    <w:rsid w:val="00060184"/>
    <w:rsid w:val="00060EBE"/>
    <w:rsid w:val="000614D1"/>
    <w:rsid w:val="00061E09"/>
    <w:rsid w:val="0006447F"/>
    <w:rsid w:val="000649C0"/>
    <w:rsid w:val="00064D09"/>
    <w:rsid w:val="00065678"/>
    <w:rsid w:val="00067DCD"/>
    <w:rsid w:val="00070884"/>
    <w:rsid w:val="000712C2"/>
    <w:rsid w:val="00071448"/>
    <w:rsid w:val="00071E75"/>
    <w:rsid w:val="000726E0"/>
    <w:rsid w:val="00072DBA"/>
    <w:rsid w:val="000762A0"/>
    <w:rsid w:val="00076A34"/>
    <w:rsid w:val="00076D86"/>
    <w:rsid w:val="0007794C"/>
    <w:rsid w:val="00080690"/>
    <w:rsid w:val="00080F33"/>
    <w:rsid w:val="000812AA"/>
    <w:rsid w:val="000817A4"/>
    <w:rsid w:val="00081B60"/>
    <w:rsid w:val="00081DA6"/>
    <w:rsid w:val="00081F9F"/>
    <w:rsid w:val="00082D9C"/>
    <w:rsid w:val="00083153"/>
    <w:rsid w:val="00085DF7"/>
    <w:rsid w:val="00086E0C"/>
    <w:rsid w:val="00087213"/>
    <w:rsid w:val="000876C4"/>
    <w:rsid w:val="0008784E"/>
    <w:rsid w:val="000907AB"/>
    <w:rsid w:val="0009093B"/>
    <w:rsid w:val="00090AA8"/>
    <w:rsid w:val="00091200"/>
    <w:rsid w:val="00093D72"/>
    <w:rsid w:val="00094031"/>
    <w:rsid w:val="00094EBD"/>
    <w:rsid w:val="000958B2"/>
    <w:rsid w:val="00097EF3"/>
    <w:rsid w:val="000A0555"/>
    <w:rsid w:val="000A055A"/>
    <w:rsid w:val="000A49C7"/>
    <w:rsid w:val="000A5310"/>
    <w:rsid w:val="000A6692"/>
    <w:rsid w:val="000A66A2"/>
    <w:rsid w:val="000A6ECD"/>
    <w:rsid w:val="000A7BA1"/>
    <w:rsid w:val="000A7D6B"/>
    <w:rsid w:val="000B1F22"/>
    <w:rsid w:val="000B26B9"/>
    <w:rsid w:val="000B44E8"/>
    <w:rsid w:val="000B49D2"/>
    <w:rsid w:val="000B668E"/>
    <w:rsid w:val="000B7368"/>
    <w:rsid w:val="000B74E8"/>
    <w:rsid w:val="000C06D5"/>
    <w:rsid w:val="000C0A98"/>
    <w:rsid w:val="000C1182"/>
    <w:rsid w:val="000C169E"/>
    <w:rsid w:val="000C2A63"/>
    <w:rsid w:val="000C4114"/>
    <w:rsid w:val="000C7A54"/>
    <w:rsid w:val="000D020A"/>
    <w:rsid w:val="000D3AA4"/>
    <w:rsid w:val="000D4B3E"/>
    <w:rsid w:val="000D5E80"/>
    <w:rsid w:val="000D5FC8"/>
    <w:rsid w:val="000D60BD"/>
    <w:rsid w:val="000D60D3"/>
    <w:rsid w:val="000D6A30"/>
    <w:rsid w:val="000E048A"/>
    <w:rsid w:val="000E104F"/>
    <w:rsid w:val="000E201E"/>
    <w:rsid w:val="000E2BB8"/>
    <w:rsid w:val="000E32D0"/>
    <w:rsid w:val="000E465F"/>
    <w:rsid w:val="000E4FB4"/>
    <w:rsid w:val="000E5AF6"/>
    <w:rsid w:val="000E6155"/>
    <w:rsid w:val="000E6907"/>
    <w:rsid w:val="000E707F"/>
    <w:rsid w:val="000E70FF"/>
    <w:rsid w:val="000E7316"/>
    <w:rsid w:val="000F0E1E"/>
    <w:rsid w:val="000F1179"/>
    <w:rsid w:val="000F293F"/>
    <w:rsid w:val="000F299E"/>
    <w:rsid w:val="000F2DFC"/>
    <w:rsid w:val="000F36FC"/>
    <w:rsid w:val="000F4AED"/>
    <w:rsid w:val="001022C6"/>
    <w:rsid w:val="001037B4"/>
    <w:rsid w:val="00104756"/>
    <w:rsid w:val="00105072"/>
    <w:rsid w:val="0010650D"/>
    <w:rsid w:val="00106560"/>
    <w:rsid w:val="001066DB"/>
    <w:rsid w:val="001079EA"/>
    <w:rsid w:val="00107E39"/>
    <w:rsid w:val="00110B86"/>
    <w:rsid w:val="0011124E"/>
    <w:rsid w:val="0011185C"/>
    <w:rsid w:val="00111F18"/>
    <w:rsid w:val="00112812"/>
    <w:rsid w:val="001146E5"/>
    <w:rsid w:val="001149E5"/>
    <w:rsid w:val="0011512F"/>
    <w:rsid w:val="0011527E"/>
    <w:rsid w:val="00115BA1"/>
    <w:rsid w:val="00120207"/>
    <w:rsid w:val="0012030C"/>
    <w:rsid w:val="00121F17"/>
    <w:rsid w:val="0012249F"/>
    <w:rsid w:val="00122606"/>
    <w:rsid w:val="00125116"/>
    <w:rsid w:val="0012581C"/>
    <w:rsid w:val="00126902"/>
    <w:rsid w:val="001269D9"/>
    <w:rsid w:val="00132237"/>
    <w:rsid w:val="0013334C"/>
    <w:rsid w:val="00134CCA"/>
    <w:rsid w:val="001357C4"/>
    <w:rsid w:val="00136263"/>
    <w:rsid w:val="00140AA9"/>
    <w:rsid w:val="00140C73"/>
    <w:rsid w:val="00140E43"/>
    <w:rsid w:val="00142222"/>
    <w:rsid w:val="00142B12"/>
    <w:rsid w:val="00143DB8"/>
    <w:rsid w:val="00143DD1"/>
    <w:rsid w:val="001446DB"/>
    <w:rsid w:val="001465CF"/>
    <w:rsid w:val="00146B4D"/>
    <w:rsid w:val="0015054F"/>
    <w:rsid w:val="001506F0"/>
    <w:rsid w:val="0015271F"/>
    <w:rsid w:val="001528A0"/>
    <w:rsid w:val="00153333"/>
    <w:rsid w:val="00153517"/>
    <w:rsid w:val="001540F0"/>
    <w:rsid w:val="0015422B"/>
    <w:rsid w:val="00156B5E"/>
    <w:rsid w:val="00156EE2"/>
    <w:rsid w:val="00157108"/>
    <w:rsid w:val="00157A75"/>
    <w:rsid w:val="001605DD"/>
    <w:rsid w:val="001610C4"/>
    <w:rsid w:val="001621B5"/>
    <w:rsid w:val="00164A78"/>
    <w:rsid w:val="001660BF"/>
    <w:rsid w:val="00166DFA"/>
    <w:rsid w:val="00167905"/>
    <w:rsid w:val="0017021A"/>
    <w:rsid w:val="00170D65"/>
    <w:rsid w:val="001713A5"/>
    <w:rsid w:val="00173217"/>
    <w:rsid w:val="001735C6"/>
    <w:rsid w:val="001738AC"/>
    <w:rsid w:val="00175D98"/>
    <w:rsid w:val="0017696D"/>
    <w:rsid w:val="001800C7"/>
    <w:rsid w:val="001819F2"/>
    <w:rsid w:val="00181BF4"/>
    <w:rsid w:val="00181DB8"/>
    <w:rsid w:val="00182AF6"/>
    <w:rsid w:val="00183DB3"/>
    <w:rsid w:val="00185113"/>
    <w:rsid w:val="00186901"/>
    <w:rsid w:val="00187E1B"/>
    <w:rsid w:val="00187E34"/>
    <w:rsid w:val="00190418"/>
    <w:rsid w:val="00190DDF"/>
    <w:rsid w:val="00191469"/>
    <w:rsid w:val="001918DB"/>
    <w:rsid w:val="001921DA"/>
    <w:rsid w:val="0019354C"/>
    <w:rsid w:val="00193901"/>
    <w:rsid w:val="00193A62"/>
    <w:rsid w:val="00193BD0"/>
    <w:rsid w:val="00194898"/>
    <w:rsid w:val="001948F9"/>
    <w:rsid w:val="00194A84"/>
    <w:rsid w:val="00194F29"/>
    <w:rsid w:val="001957C4"/>
    <w:rsid w:val="00196461"/>
    <w:rsid w:val="001964C0"/>
    <w:rsid w:val="001966A0"/>
    <w:rsid w:val="001A0E81"/>
    <w:rsid w:val="001A1598"/>
    <w:rsid w:val="001A27B9"/>
    <w:rsid w:val="001A2AD0"/>
    <w:rsid w:val="001A4B0D"/>
    <w:rsid w:val="001A511E"/>
    <w:rsid w:val="001A5259"/>
    <w:rsid w:val="001A75BD"/>
    <w:rsid w:val="001A7B13"/>
    <w:rsid w:val="001B00AF"/>
    <w:rsid w:val="001B06B9"/>
    <w:rsid w:val="001B090A"/>
    <w:rsid w:val="001B18A4"/>
    <w:rsid w:val="001B1B6F"/>
    <w:rsid w:val="001B1D6C"/>
    <w:rsid w:val="001B236F"/>
    <w:rsid w:val="001B2CA2"/>
    <w:rsid w:val="001B4141"/>
    <w:rsid w:val="001B48AA"/>
    <w:rsid w:val="001B4B68"/>
    <w:rsid w:val="001B4D3E"/>
    <w:rsid w:val="001B579F"/>
    <w:rsid w:val="001B591D"/>
    <w:rsid w:val="001B5A85"/>
    <w:rsid w:val="001B5EDB"/>
    <w:rsid w:val="001B7F4D"/>
    <w:rsid w:val="001C0128"/>
    <w:rsid w:val="001C23F3"/>
    <w:rsid w:val="001C273D"/>
    <w:rsid w:val="001C2783"/>
    <w:rsid w:val="001C3FC2"/>
    <w:rsid w:val="001C48BF"/>
    <w:rsid w:val="001C6072"/>
    <w:rsid w:val="001C6361"/>
    <w:rsid w:val="001C7725"/>
    <w:rsid w:val="001C791E"/>
    <w:rsid w:val="001D0540"/>
    <w:rsid w:val="001D2453"/>
    <w:rsid w:val="001D2464"/>
    <w:rsid w:val="001D37B3"/>
    <w:rsid w:val="001D3CC2"/>
    <w:rsid w:val="001D3D30"/>
    <w:rsid w:val="001D5202"/>
    <w:rsid w:val="001D5784"/>
    <w:rsid w:val="001D5A80"/>
    <w:rsid w:val="001D5EC1"/>
    <w:rsid w:val="001D7361"/>
    <w:rsid w:val="001E07C5"/>
    <w:rsid w:val="001E0D5B"/>
    <w:rsid w:val="001E1974"/>
    <w:rsid w:val="001E1EC6"/>
    <w:rsid w:val="001E213C"/>
    <w:rsid w:val="001E2D83"/>
    <w:rsid w:val="001E5B32"/>
    <w:rsid w:val="001E5BB0"/>
    <w:rsid w:val="001E5F7D"/>
    <w:rsid w:val="001E6185"/>
    <w:rsid w:val="001F06E2"/>
    <w:rsid w:val="001F0BB4"/>
    <w:rsid w:val="001F0F47"/>
    <w:rsid w:val="001F1006"/>
    <w:rsid w:val="001F20A0"/>
    <w:rsid w:val="001F5764"/>
    <w:rsid w:val="001F6BC0"/>
    <w:rsid w:val="001F71A6"/>
    <w:rsid w:val="001F761D"/>
    <w:rsid w:val="002006D9"/>
    <w:rsid w:val="002007DC"/>
    <w:rsid w:val="0020092B"/>
    <w:rsid w:val="0020094B"/>
    <w:rsid w:val="0020117A"/>
    <w:rsid w:val="002013E2"/>
    <w:rsid w:val="00203955"/>
    <w:rsid w:val="00203AB3"/>
    <w:rsid w:val="00203E70"/>
    <w:rsid w:val="002046BC"/>
    <w:rsid w:val="002046DF"/>
    <w:rsid w:val="002050A9"/>
    <w:rsid w:val="0020575C"/>
    <w:rsid w:val="0020686A"/>
    <w:rsid w:val="0021071A"/>
    <w:rsid w:val="0021073D"/>
    <w:rsid w:val="00211E14"/>
    <w:rsid w:val="002159B0"/>
    <w:rsid w:val="00215A21"/>
    <w:rsid w:val="00217B90"/>
    <w:rsid w:val="00217F76"/>
    <w:rsid w:val="00221618"/>
    <w:rsid w:val="0022167F"/>
    <w:rsid w:val="00222729"/>
    <w:rsid w:val="002227A9"/>
    <w:rsid w:val="0022287B"/>
    <w:rsid w:val="00222F62"/>
    <w:rsid w:val="00223B7A"/>
    <w:rsid w:val="002251CE"/>
    <w:rsid w:val="00225D3B"/>
    <w:rsid w:val="002300CB"/>
    <w:rsid w:val="0023074A"/>
    <w:rsid w:val="002309E4"/>
    <w:rsid w:val="00234BCF"/>
    <w:rsid w:val="00235381"/>
    <w:rsid w:val="00236889"/>
    <w:rsid w:val="002369BF"/>
    <w:rsid w:val="00237872"/>
    <w:rsid w:val="00237E86"/>
    <w:rsid w:val="0024013D"/>
    <w:rsid w:val="00243419"/>
    <w:rsid w:val="00243B4B"/>
    <w:rsid w:val="00245B58"/>
    <w:rsid w:val="0024604C"/>
    <w:rsid w:val="00246AB8"/>
    <w:rsid w:val="00246ADF"/>
    <w:rsid w:val="00247C10"/>
    <w:rsid w:val="00250476"/>
    <w:rsid w:val="00250B5A"/>
    <w:rsid w:val="00250FB9"/>
    <w:rsid w:val="0025263E"/>
    <w:rsid w:val="00252B7A"/>
    <w:rsid w:val="00253954"/>
    <w:rsid w:val="0025430E"/>
    <w:rsid w:val="002567F0"/>
    <w:rsid w:val="00256CEE"/>
    <w:rsid w:val="00261130"/>
    <w:rsid w:val="00261389"/>
    <w:rsid w:val="00263552"/>
    <w:rsid w:val="00263DDD"/>
    <w:rsid w:val="002646A4"/>
    <w:rsid w:val="00264DE7"/>
    <w:rsid w:val="002668BA"/>
    <w:rsid w:val="00271596"/>
    <w:rsid w:val="00272123"/>
    <w:rsid w:val="0027253D"/>
    <w:rsid w:val="00272597"/>
    <w:rsid w:val="00273F2E"/>
    <w:rsid w:val="002742F8"/>
    <w:rsid w:val="00274F27"/>
    <w:rsid w:val="00280B4E"/>
    <w:rsid w:val="0028136F"/>
    <w:rsid w:val="0028166E"/>
    <w:rsid w:val="002818DD"/>
    <w:rsid w:val="00281B0F"/>
    <w:rsid w:val="00282DEF"/>
    <w:rsid w:val="00284662"/>
    <w:rsid w:val="00285C8C"/>
    <w:rsid w:val="002866F0"/>
    <w:rsid w:val="00286D8A"/>
    <w:rsid w:val="002870D4"/>
    <w:rsid w:val="002907EE"/>
    <w:rsid w:val="00290B4B"/>
    <w:rsid w:val="00291AC2"/>
    <w:rsid w:val="002926DE"/>
    <w:rsid w:val="002940A6"/>
    <w:rsid w:val="00294207"/>
    <w:rsid w:val="00294571"/>
    <w:rsid w:val="00297AFD"/>
    <w:rsid w:val="00297BD6"/>
    <w:rsid w:val="002A058F"/>
    <w:rsid w:val="002A0DDA"/>
    <w:rsid w:val="002A0FE0"/>
    <w:rsid w:val="002A12B0"/>
    <w:rsid w:val="002A1999"/>
    <w:rsid w:val="002A1B90"/>
    <w:rsid w:val="002A24C1"/>
    <w:rsid w:val="002A2569"/>
    <w:rsid w:val="002A2EFA"/>
    <w:rsid w:val="002A300F"/>
    <w:rsid w:val="002A3943"/>
    <w:rsid w:val="002A41BB"/>
    <w:rsid w:val="002A4EBB"/>
    <w:rsid w:val="002A4F88"/>
    <w:rsid w:val="002A5E6A"/>
    <w:rsid w:val="002A5E8D"/>
    <w:rsid w:val="002A6904"/>
    <w:rsid w:val="002A7131"/>
    <w:rsid w:val="002A7EEE"/>
    <w:rsid w:val="002B0347"/>
    <w:rsid w:val="002B24BE"/>
    <w:rsid w:val="002B6176"/>
    <w:rsid w:val="002B63AB"/>
    <w:rsid w:val="002B6445"/>
    <w:rsid w:val="002B7078"/>
    <w:rsid w:val="002C02B0"/>
    <w:rsid w:val="002C0A98"/>
    <w:rsid w:val="002C19AA"/>
    <w:rsid w:val="002C1C96"/>
    <w:rsid w:val="002C3095"/>
    <w:rsid w:val="002C480E"/>
    <w:rsid w:val="002C5507"/>
    <w:rsid w:val="002C56E8"/>
    <w:rsid w:val="002C5987"/>
    <w:rsid w:val="002C7404"/>
    <w:rsid w:val="002D13A5"/>
    <w:rsid w:val="002D2174"/>
    <w:rsid w:val="002D24F0"/>
    <w:rsid w:val="002D272A"/>
    <w:rsid w:val="002D27F5"/>
    <w:rsid w:val="002D47BB"/>
    <w:rsid w:val="002D593F"/>
    <w:rsid w:val="002D5CF6"/>
    <w:rsid w:val="002D67A6"/>
    <w:rsid w:val="002D76CF"/>
    <w:rsid w:val="002E0A1B"/>
    <w:rsid w:val="002E12D6"/>
    <w:rsid w:val="002E2E5E"/>
    <w:rsid w:val="002E3FF3"/>
    <w:rsid w:val="002E4310"/>
    <w:rsid w:val="002E56AF"/>
    <w:rsid w:val="002E5F8D"/>
    <w:rsid w:val="002E6AA9"/>
    <w:rsid w:val="002E6B47"/>
    <w:rsid w:val="002E715D"/>
    <w:rsid w:val="002E7969"/>
    <w:rsid w:val="002F017D"/>
    <w:rsid w:val="002F0505"/>
    <w:rsid w:val="002F08D8"/>
    <w:rsid w:val="002F406E"/>
    <w:rsid w:val="002F4488"/>
    <w:rsid w:val="002F4BA6"/>
    <w:rsid w:val="002F5E34"/>
    <w:rsid w:val="002F6020"/>
    <w:rsid w:val="002F6171"/>
    <w:rsid w:val="002F6ED3"/>
    <w:rsid w:val="00300E14"/>
    <w:rsid w:val="003017DE"/>
    <w:rsid w:val="003029BD"/>
    <w:rsid w:val="00303008"/>
    <w:rsid w:val="00304085"/>
    <w:rsid w:val="00304313"/>
    <w:rsid w:val="00304382"/>
    <w:rsid w:val="00304FFA"/>
    <w:rsid w:val="00305590"/>
    <w:rsid w:val="00305A2E"/>
    <w:rsid w:val="00305D71"/>
    <w:rsid w:val="00305E94"/>
    <w:rsid w:val="00305EF7"/>
    <w:rsid w:val="00306870"/>
    <w:rsid w:val="00310AA9"/>
    <w:rsid w:val="0031173A"/>
    <w:rsid w:val="003130E6"/>
    <w:rsid w:val="003137FE"/>
    <w:rsid w:val="00313A99"/>
    <w:rsid w:val="0031449D"/>
    <w:rsid w:val="00315344"/>
    <w:rsid w:val="00315C4B"/>
    <w:rsid w:val="00324815"/>
    <w:rsid w:val="003252AB"/>
    <w:rsid w:val="003271DD"/>
    <w:rsid w:val="00330077"/>
    <w:rsid w:val="0033019E"/>
    <w:rsid w:val="003301B7"/>
    <w:rsid w:val="00331302"/>
    <w:rsid w:val="00332922"/>
    <w:rsid w:val="00335039"/>
    <w:rsid w:val="003360FE"/>
    <w:rsid w:val="0034314D"/>
    <w:rsid w:val="0034344D"/>
    <w:rsid w:val="00344254"/>
    <w:rsid w:val="00344FAB"/>
    <w:rsid w:val="00345C7A"/>
    <w:rsid w:val="00346E1D"/>
    <w:rsid w:val="00346FF3"/>
    <w:rsid w:val="003479B8"/>
    <w:rsid w:val="00351121"/>
    <w:rsid w:val="00351DBE"/>
    <w:rsid w:val="00352896"/>
    <w:rsid w:val="0035367B"/>
    <w:rsid w:val="0035426D"/>
    <w:rsid w:val="00355BE1"/>
    <w:rsid w:val="00356284"/>
    <w:rsid w:val="003567F7"/>
    <w:rsid w:val="0036053A"/>
    <w:rsid w:val="00360E62"/>
    <w:rsid w:val="00361F09"/>
    <w:rsid w:val="00362937"/>
    <w:rsid w:val="00362B5B"/>
    <w:rsid w:val="00363F0A"/>
    <w:rsid w:val="003654FF"/>
    <w:rsid w:val="00365EDC"/>
    <w:rsid w:val="00365F1E"/>
    <w:rsid w:val="00366344"/>
    <w:rsid w:val="00366908"/>
    <w:rsid w:val="00367B8C"/>
    <w:rsid w:val="0037109A"/>
    <w:rsid w:val="00372D6E"/>
    <w:rsid w:val="00373096"/>
    <w:rsid w:val="003738F4"/>
    <w:rsid w:val="0037402F"/>
    <w:rsid w:val="00376D6B"/>
    <w:rsid w:val="0037788C"/>
    <w:rsid w:val="00382EC4"/>
    <w:rsid w:val="00385D27"/>
    <w:rsid w:val="00386240"/>
    <w:rsid w:val="003866F8"/>
    <w:rsid w:val="0038701D"/>
    <w:rsid w:val="00387713"/>
    <w:rsid w:val="00387E32"/>
    <w:rsid w:val="00393892"/>
    <w:rsid w:val="003938B0"/>
    <w:rsid w:val="00394F33"/>
    <w:rsid w:val="0039578C"/>
    <w:rsid w:val="003965A3"/>
    <w:rsid w:val="00397F4D"/>
    <w:rsid w:val="003A2663"/>
    <w:rsid w:val="003A2E16"/>
    <w:rsid w:val="003A352E"/>
    <w:rsid w:val="003A3816"/>
    <w:rsid w:val="003A5257"/>
    <w:rsid w:val="003A5E14"/>
    <w:rsid w:val="003A6CE4"/>
    <w:rsid w:val="003A73A4"/>
    <w:rsid w:val="003B10B9"/>
    <w:rsid w:val="003B1F4B"/>
    <w:rsid w:val="003B3CBA"/>
    <w:rsid w:val="003B3E5C"/>
    <w:rsid w:val="003B49A6"/>
    <w:rsid w:val="003B4FA9"/>
    <w:rsid w:val="003B5455"/>
    <w:rsid w:val="003B6874"/>
    <w:rsid w:val="003B70BF"/>
    <w:rsid w:val="003C00BF"/>
    <w:rsid w:val="003C07AD"/>
    <w:rsid w:val="003C100A"/>
    <w:rsid w:val="003C1B15"/>
    <w:rsid w:val="003C4AC8"/>
    <w:rsid w:val="003C52F8"/>
    <w:rsid w:val="003C6360"/>
    <w:rsid w:val="003C695A"/>
    <w:rsid w:val="003C6CBC"/>
    <w:rsid w:val="003C721F"/>
    <w:rsid w:val="003C7764"/>
    <w:rsid w:val="003C7DDF"/>
    <w:rsid w:val="003D01C5"/>
    <w:rsid w:val="003D059C"/>
    <w:rsid w:val="003D1843"/>
    <w:rsid w:val="003D248A"/>
    <w:rsid w:val="003D2ED5"/>
    <w:rsid w:val="003D417C"/>
    <w:rsid w:val="003D4A99"/>
    <w:rsid w:val="003D6D5D"/>
    <w:rsid w:val="003D7647"/>
    <w:rsid w:val="003E0411"/>
    <w:rsid w:val="003E16C2"/>
    <w:rsid w:val="003E24B8"/>
    <w:rsid w:val="003E2BF3"/>
    <w:rsid w:val="003E3E9A"/>
    <w:rsid w:val="003E48BD"/>
    <w:rsid w:val="003E4F9B"/>
    <w:rsid w:val="003E6F19"/>
    <w:rsid w:val="003E7447"/>
    <w:rsid w:val="003E7A92"/>
    <w:rsid w:val="003F0F7A"/>
    <w:rsid w:val="003F190E"/>
    <w:rsid w:val="003F1B6C"/>
    <w:rsid w:val="003F28EB"/>
    <w:rsid w:val="003F372C"/>
    <w:rsid w:val="003F5A3C"/>
    <w:rsid w:val="003F6A32"/>
    <w:rsid w:val="003F7992"/>
    <w:rsid w:val="0040162D"/>
    <w:rsid w:val="0040202E"/>
    <w:rsid w:val="00402C82"/>
    <w:rsid w:val="00403352"/>
    <w:rsid w:val="00403C8B"/>
    <w:rsid w:val="00405BA8"/>
    <w:rsid w:val="00406DCE"/>
    <w:rsid w:val="0040736F"/>
    <w:rsid w:val="00410A65"/>
    <w:rsid w:val="00410B10"/>
    <w:rsid w:val="004126C7"/>
    <w:rsid w:val="0041306F"/>
    <w:rsid w:val="00413673"/>
    <w:rsid w:val="004137F3"/>
    <w:rsid w:val="00413E40"/>
    <w:rsid w:val="004143C6"/>
    <w:rsid w:val="0041521E"/>
    <w:rsid w:val="0041782B"/>
    <w:rsid w:val="00420036"/>
    <w:rsid w:val="004223A7"/>
    <w:rsid w:val="00422551"/>
    <w:rsid w:val="0042472A"/>
    <w:rsid w:val="00427D71"/>
    <w:rsid w:val="004312ED"/>
    <w:rsid w:val="00431709"/>
    <w:rsid w:val="00431B73"/>
    <w:rsid w:val="00432107"/>
    <w:rsid w:val="00433929"/>
    <w:rsid w:val="00434423"/>
    <w:rsid w:val="00434526"/>
    <w:rsid w:val="00435459"/>
    <w:rsid w:val="00435918"/>
    <w:rsid w:val="004379E8"/>
    <w:rsid w:val="004420C5"/>
    <w:rsid w:val="00442F84"/>
    <w:rsid w:val="00443183"/>
    <w:rsid w:val="0044372B"/>
    <w:rsid w:val="00445832"/>
    <w:rsid w:val="0044626A"/>
    <w:rsid w:val="0044712D"/>
    <w:rsid w:val="00447478"/>
    <w:rsid w:val="00451206"/>
    <w:rsid w:val="00451D57"/>
    <w:rsid w:val="00451E66"/>
    <w:rsid w:val="00452187"/>
    <w:rsid w:val="00452B74"/>
    <w:rsid w:val="00452C4C"/>
    <w:rsid w:val="0045457D"/>
    <w:rsid w:val="004558BA"/>
    <w:rsid w:val="00456A46"/>
    <w:rsid w:val="0045742F"/>
    <w:rsid w:val="004579FF"/>
    <w:rsid w:val="00457E78"/>
    <w:rsid w:val="004615C9"/>
    <w:rsid w:val="0046198F"/>
    <w:rsid w:val="00463307"/>
    <w:rsid w:val="00463F90"/>
    <w:rsid w:val="00464138"/>
    <w:rsid w:val="00464C7C"/>
    <w:rsid w:val="00466A54"/>
    <w:rsid w:val="00466C5B"/>
    <w:rsid w:val="004711BB"/>
    <w:rsid w:val="00471260"/>
    <w:rsid w:val="00471CD1"/>
    <w:rsid w:val="004739F9"/>
    <w:rsid w:val="004744C6"/>
    <w:rsid w:val="00474D4A"/>
    <w:rsid w:val="004760C6"/>
    <w:rsid w:val="004762C5"/>
    <w:rsid w:val="00476505"/>
    <w:rsid w:val="00476901"/>
    <w:rsid w:val="0047725F"/>
    <w:rsid w:val="004802F4"/>
    <w:rsid w:val="004803EC"/>
    <w:rsid w:val="004815E2"/>
    <w:rsid w:val="004816C2"/>
    <w:rsid w:val="0048271C"/>
    <w:rsid w:val="00482BF4"/>
    <w:rsid w:val="00482DD8"/>
    <w:rsid w:val="00484A21"/>
    <w:rsid w:val="00485353"/>
    <w:rsid w:val="00485A2A"/>
    <w:rsid w:val="00486299"/>
    <w:rsid w:val="0048710C"/>
    <w:rsid w:val="00490145"/>
    <w:rsid w:val="00490576"/>
    <w:rsid w:val="00490E86"/>
    <w:rsid w:val="00491501"/>
    <w:rsid w:val="0049188B"/>
    <w:rsid w:val="00491962"/>
    <w:rsid w:val="00491A9D"/>
    <w:rsid w:val="004933B6"/>
    <w:rsid w:val="00493724"/>
    <w:rsid w:val="00493DE7"/>
    <w:rsid w:val="004946D5"/>
    <w:rsid w:val="00494D3B"/>
    <w:rsid w:val="00495139"/>
    <w:rsid w:val="0049669D"/>
    <w:rsid w:val="00496E6B"/>
    <w:rsid w:val="0049797C"/>
    <w:rsid w:val="004979B7"/>
    <w:rsid w:val="00497CE6"/>
    <w:rsid w:val="004A50E2"/>
    <w:rsid w:val="004A7A74"/>
    <w:rsid w:val="004A7E7A"/>
    <w:rsid w:val="004B422F"/>
    <w:rsid w:val="004B4A77"/>
    <w:rsid w:val="004B55DA"/>
    <w:rsid w:val="004B7C86"/>
    <w:rsid w:val="004C1FA6"/>
    <w:rsid w:val="004C35CC"/>
    <w:rsid w:val="004C3631"/>
    <w:rsid w:val="004C3BB2"/>
    <w:rsid w:val="004C52D5"/>
    <w:rsid w:val="004C5404"/>
    <w:rsid w:val="004C556E"/>
    <w:rsid w:val="004C5B07"/>
    <w:rsid w:val="004C606E"/>
    <w:rsid w:val="004C687B"/>
    <w:rsid w:val="004C68D9"/>
    <w:rsid w:val="004C735B"/>
    <w:rsid w:val="004D337E"/>
    <w:rsid w:val="004D3BC1"/>
    <w:rsid w:val="004D49C7"/>
    <w:rsid w:val="004D5101"/>
    <w:rsid w:val="004D52EA"/>
    <w:rsid w:val="004D62B8"/>
    <w:rsid w:val="004D7D8B"/>
    <w:rsid w:val="004E1A2D"/>
    <w:rsid w:val="004E21EF"/>
    <w:rsid w:val="004E2753"/>
    <w:rsid w:val="004E3864"/>
    <w:rsid w:val="004E4F69"/>
    <w:rsid w:val="004E56DB"/>
    <w:rsid w:val="004E5951"/>
    <w:rsid w:val="004E613B"/>
    <w:rsid w:val="004E662C"/>
    <w:rsid w:val="004E7D78"/>
    <w:rsid w:val="004F0E40"/>
    <w:rsid w:val="004F164B"/>
    <w:rsid w:val="004F1B91"/>
    <w:rsid w:val="004F1ECF"/>
    <w:rsid w:val="004F35B9"/>
    <w:rsid w:val="004F3714"/>
    <w:rsid w:val="004F3F16"/>
    <w:rsid w:val="004F4E28"/>
    <w:rsid w:val="004F5DCC"/>
    <w:rsid w:val="004F7E1A"/>
    <w:rsid w:val="00500065"/>
    <w:rsid w:val="00500302"/>
    <w:rsid w:val="005011D2"/>
    <w:rsid w:val="00501B06"/>
    <w:rsid w:val="00501C79"/>
    <w:rsid w:val="00501EED"/>
    <w:rsid w:val="005045A3"/>
    <w:rsid w:val="00505275"/>
    <w:rsid w:val="0050548C"/>
    <w:rsid w:val="0050669C"/>
    <w:rsid w:val="0050670D"/>
    <w:rsid w:val="005071BC"/>
    <w:rsid w:val="0050774A"/>
    <w:rsid w:val="0050775A"/>
    <w:rsid w:val="0051333A"/>
    <w:rsid w:val="005142E4"/>
    <w:rsid w:val="00514CC6"/>
    <w:rsid w:val="005152D5"/>
    <w:rsid w:val="00515D84"/>
    <w:rsid w:val="005169D9"/>
    <w:rsid w:val="00516C37"/>
    <w:rsid w:val="00520613"/>
    <w:rsid w:val="005212E6"/>
    <w:rsid w:val="0052217E"/>
    <w:rsid w:val="00522184"/>
    <w:rsid w:val="00523234"/>
    <w:rsid w:val="00523318"/>
    <w:rsid w:val="00523C6C"/>
    <w:rsid w:val="00524E81"/>
    <w:rsid w:val="005251C4"/>
    <w:rsid w:val="0052577A"/>
    <w:rsid w:val="00525B3C"/>
    <w:rsid w:val="00527522"/>
    <w:rsid w:val="005278B8"/>
    <w:rsid w:val="00531FAF"/>
    <w:rsid w:val="00533269"/>
    <w:rsid w:val="005336AC"/>
    <w:rsid w:val="00536632"/>
    <w:rsid w:val="005370D5"/>
    <w:rsid w:val="00540FC1"/>
    <w:rsid w:val="00544026"/>
    <w:rsid w:val="0054415C"/>
    <w:rsid w:val="005449C4"/>
    <w:rsid w:val="00544B17"/>
    <w:rsid w:val="00544B1E"/>
    <w:rsid w:val="00546619"/>
    <w:rsid w:val="005469BF"/>
    <w:rsid w:val="00546AF8"/>
    <w:rsid w:val="00547CCA"/>
    <w:rsid w:val="00547D98"/>
    <w:rsid w:val="005505D5"/>
    <w:rsid w:val="005514DD"/>
    <w:rsid w:val="005514ED"/>
    <w:rsid w:val="005518B7"/>
    <w:rsid w:val="00551B05"/>
    <w:rsid w:val="00551CB8"/>
    <w:rsid w:val="005522EC"/>
    <w:rsid w:val="00552D4E"/>
    <w:rsid w:val="00553714"/>
    <w:rsid w:val="00553DB6"/>
    <w:rsid w:val="00553F15"/>
    <w:rsid w:val="00556002"/>
    <w:rsid w:val="0055752A"/>
    <w:rsid w:val="00557A81"/>
    <w:rsid w:val="005623F2"/>
    <w:rsid w:val="00563BC2"/>
    <w:rsid w:val="00567339"/>
    <w:rsid w:val="0056746E"/>
    <w:rsid w:val="005678DC"/>
    <w:rsid w:val="00570522"/>
    <w:rsid w:val="00571FD8"/>
    <w:rsid w:val="00572184"/>
    <w:rsid w:val="005722EC"/>
    <w:rsid w:val="00575930"/>
    <w:rsid w:val="005763EE"/>
    <w:rsid w:val="00577A77"/>
    <w:rsid w:val="00580156"/>
    <w:rsid w:val="00580296"/>
    <w:rsid w:val="00582178"/>
    <w:rsid w:val="00582BCE"/>
    <w:rsid w:val="00583295"/>
    <w:rsid w:val="00585294"/>
    <w:rsid w:val="00586BC5"/>
    <w:rsid w:val="00586DD7"/>
    <w:rsid w:val="0059037B"/>
    <w:rsid w:val="00590CB8"/>
    <w:rsid w:val="00591144"/>
    <w:rsid w:val="005925F8"/>
    <w:rsid w:val="00593CE1"/>
    <w:rsid w:val="00594021"/>
    <w:rsid w:val="00594D64"/>
    <w:rsid w:val="005953D7"/>
    <w:rsid w:val="00596567"/>
    <w:rsid w:val="00597382"/>
    <w:rsid w:val="005A1126"/>
    <w:rsid w:val="005A1306"/>
    <w:rsid w:val="005A209F"/>
    <w:rsid w:val="005A39FE"/>
    <w:rsid w:val="005A4931"/>
    <w:rsid w:val="005A601B"/>
    <w:rsid w:val="005A7BF9"/>
    <w:rsid w:val="005B41B8"/>
    <w:rsid w:val="005B44A3"/>
    <w:rsid w:val="005B4FD3"/>
    <w:rsid w:val="005B536B"/>
    <w:rsid w:val="005B5B12"/>
    <w:rsid w:val="005B5F25"/>
    <w:rsid w:val="005B783E"/>
    <w:rsid w:val="005B7A83"/>
    <w:rsid w:val="005C0147"/>
    <w:rsid w:val="005C0621"/>
    <w:rsid w:val="005C225B"/>
    <w:rsid w:val="005C32FD"/>
    <w:rsid w:val="005C37BE"/>
    <w:rsid w:val="005C446A"/>
    <w:rsid w:val="005C52F0"/>
    <w:rsid w:val="005C628A"/>
    <w:rsid w:val="005C6BEE"/>
    <w:rsid w:val="005C7F5A"/>
    <w:rsid w:val="005D02B0"/>
    <w:rsid w:val="005D045E"/>
    <w:rsid w:val="005D2942"/>
    <w:rsid w:val="005D35B0"/>
    <w:rsid w:val="005D4499"/>
    <w:rsid w:val="005D4B13"/>
    <w:rsid w:val="005D4EFE"/>
    <w:rsid w:val="005D6B66"/>
    <w:rsid w:val="005D7B93"/>
    <w:rsid w:val="005E1BC3"/>
    <w:rsid w:val="005E1BD6"/>
    <w:rsid w:val="005E1E57"/>
    <w:rsid w:val="005E229C"/>
    <w:rsid w:val="005E2A0A"/>
    <w:rsid w:val="005E3A17"/>
    <w:rsid w:val="005E4206"/>
    <w:rsid w:val="005E5A90"/>
    <w:rsid w:val="005F0194"/>
    <w:rsid w:val="005F0FA7"/>
    <w:rsid w:val="005F1326"/>
    <w:rsid w:val="005F280D"/>
    <w:rsid w:val="005F2A49"/>
    <w:rsid w:val="005F2A7F"/>
    <w:rsid w:val="005F3529"/>
    <w:rsid w:val="005F375C"/>
    <w:rsid w:val="005F3D6D"/>
    <w:rsid w:val="005F52FE"/>
    <w:rsid w:val="00600281"/>
    <w:rsid w:val="0060270A"/>
    <w:rsid w:val="006030AB"/>
    <w:rsid w:val="00603944"/>
    <w:rsid w:val="0060432F"/>
    <w:rsid w:val="006047D5"/>
    <w:rsid w:val="00604C55"/>
    <w:rsid w:val="006053A9"/>
    <w:rsid w:val="00607C99"/>
    <w:rsid w:val="00614261"/>
    <w:rsid w:val="00614A1D"/>
    <w:rsid w:val="006166A3"/>
    <w:rsid w:val="006173F6"/>
    <w:rsid w:val="00620117"/>
    <w:rsid w:val="006208A1"/>
    <w:rsid w:val="006223BE"/>
    <w:rsid w:val="00623546"/>
    <w:rsid w:val="0062421A"/>
    <w:rsid w:val="00625112"/>
    <w:rsid w:val="00625283"/>
    <w:rsid w:val="00626798"/>
    <w:rsid w:val="006275D6"/>
    <w:rsid w:val="006277B2"/>
    <w:rsid w:val="006277D6"/>
    <w:rsid w:val="006301D5"/>
    <w:rsid w:val="0063151D"/>
    <w:rsid w:val="006315F8"/>
    <w:rsid w:val="0063230D"/>
    <w:rsid w:val="006325A2"/>
    <w:rsid w:val="0063265F"/>
    <w:rsid w:val="00632993"/>
    <w:rsid w:val="006336D1"/>
    <w:rsid w:val="00633745"/>
    <w:rsid w:val="00634A2D"/>
    <w:rsid w:val="006367C1"/>
    <w:rsid w:val="00637DD0"/>
    <w:rsid w:val="00641EF4"/>
    <w:rsid w:val="006439DE"/>
    <w:rsid w:val="006453B2"/>
    <w:rsid w:val="006460BF"/>
    <w:rsid w:val="006474C4"/>
    <w:rsid w:val="00651B8E"/>
    <w:rsid w:val="00652AF0"/>
    <w:rsid w:val="00652D69"/>
    <w:rsid w:val="0065409F"/>
    <w:rsid w:val="006540B5"/>
    <w:rsid w:val="00654558"/>
    <w:rsid w:val="00655FDE"/>
    <w:rsid w:val="00660157"/>
    <w:rsid w:val="00660446"/>
    <w:rsid w:val="00661B84"/>
    <w:rsid w:val="0066247B"/>
    <w:rsid w:val="0066446F"/>
    <w:rsid w:val="00664C5F"/>
    <w:rsid w:val="00665171"/>
    <w:rsid w:val="00665CF3"/>
    <w:rsid w:val="0066673C"/>
    <w:rsid w:val="00666804"/>
    <w:rsid w:val="00666FD4"/>
    <w:rsid w:val="00670A72"/>
    <w:rsid w:val="00670ED8"/>
    <w:rsid w:val="00671685"/>
    <w:rsid w:val="00672679"/>
    <w:rsid w:val="006726C6"/>
    <w:rsid w:val="00672AC4"/>
    <w:rsid w:val="006738C1"/>
    <w:rsid w:val="0067439F"/>
    <w:rsid w:val="00674C69"/>
    <w:rsid w:val="006754B0"/>
    <w:rsid w:val="00676672"/>
    <w:rsid w:val="00676CDC"/>
    <w:rsid w:val="00676EBB"/>
    <w:rsid w:val="006777AB"/>
    <w:rsid w:val="00677A96"/>
    <w:rsid w:val="00677BAD"/>
    <w:rsid w:val="006808F8"/>
    <w:rsid w:val="00682393"/>
    <w:rsid w:val="006837E2"/>
    <w:rsid w:val="00684100"/>
    <w:rsid w:val="0068442D"/>
    <w:rsid w:val="00684DBB"/>
    <w:rsid w:val="00686230"/>
    <w:rsid w:val="00687FCB"/>
    <w:rsid w:val="006915B2"/>
    <w:rsid w:val="00691E78"/>
    <w:rsid w:val="00693623"/>
    <w:rsid w:val="00693FFD"/>
    <w:rsid w:val="0069632E"/>
    <w:rsid w:val="006A0F61"/>
    <w:rsid w:val="006A1313"/>
    <w:rsid w:val="006A15A5"/>
    <w:rsid w:val="006A208D"/>
    <w:rsid w:val="006A41FF"/>
    <w:rsid w:val="006A51A0"/>
    <w:rsid w:val="006A5F94"/>
    <w:rsid w:val="006A6D9C"/>
    <w:rsid w:val="006B2D0F"/>
    <w:rsid w:val="006B30D4"/>
    <w:rsid w:val="006B3DC6"/>
    <w:rsid w:val="006B4829"/>
    <w:rsid w:val="006B540A"/>
    <w:rsid w:val="006B66F0"/>
    <w:rsid w:val="006B751B"/>
    <w:rsid w:val="006C0C4A"/>
    <w:rsid w:val="006C2482"/>
    <w:rsid w:val="006C2B5A"/>
    <w:rsid w:val="006C2B80"/>
    <w:rsid w:val="006C3C5A"/>
    <w:rsid w:val="006C4337"/>
    <w:rsid w:val="006C4A32"/>
    <w:rsid w:val="006C5768"/>
    <w:rsid w:val="006C5951"/>
    <w:rsid w:val="006C5C3B"/>
    <w:rsid w:val="006C5CB9"/>
    <w:rsid w:val="006C5EA4"/>
    <w:rsid w:val="006C6BA6"/>
    <w:rsid w:val="006C754C"/>
    <w:rsid w:val="006D1194"/>
    <w:rsid w:val="006D1210"/>
    <w:rsid w:val="006D12E0"/>
    <w:rsid w:val="006D43B1"/>
    <w:rsid w:val="006D44D0"/>
    <w:rsid w:val="006D47F4"/>
    <w:rsid w:val="006D4F0F"/>
    <w:rsid w:val="006D6952"/>
    <w:rsid w:val="006E0200"/>
    <w:rsid w:val="006E22EC"/>
    <w:rsid w:val="006E275A"/>
    <w:rsid w:val="006E2794"/>
    <w:rsid w:val="006E2F85"/>
    <w:rsid w:val="006E3946"/>
    <w:rsid w:val="006E3B56"/>
    <w:rsid w:val="006E488E"/>
    <w:rsid w:val="006E51DC"/>
    <w:rsid w:val="006E52C6"/>
    <w:rsid w:val="006E7C9D"/>
    <w:rsid w:val="006F0729"/>
    <w:rsid w:val="006F12A0"/>
    <w:rsid w:val="006F1F04"/>
    <w:rsid w:val="006F2B6D"/>
    <w:rsid w:val="006F3C42"/>
    <w:rsid w:val="006F41AA"/>
    <w:rsid w:val="006F52E4"/>
    <w:rsid w:val="006F62C5"/>
    <w:rsid w:val="006F690E"/>
    <w:rsid w:val="006F6A06"/>
    <w:rsid w:val="006F6A88"/>
    <w:rsid w:val="006F798A"/>
    <w:rsid w:val="006F79D0"/>
    <w:rsid w:val="00701038"/>
    <w:rsid w:val="00703D28"/>
    <w:rsid w:val="007100B5"/>
    <w:rsid w:val="007129EF"/>
    <w:rsid w:val="00714FFC"/>
    <w:rsid w:val="00715C21"/>
    <w:rsid w:val="00716D0E"/>
    <w:rsid w:val="007173BF"/>
    <w:rsid w:val="00721954"/>
    <w:rsid w:val="007237CD"/>
    <w:rsid w:val="0072410F"/>
    <w:rsid w:val="00725864"/>
    <w:rsid w:val="0073040A"/>
    <w:rsid w:val="00731AEA"/>
    <w:rsid w:val="007330FB"/>
    <w:rsid w:val="007336B8"/>
    <w:rsid w:val="007369A4"/>
    <w:rsid w:val="00737A30"/>
    <w:rsid w:val="0074078D"/>
    <w:rsid w:val="007414BA"/>
    <w:rsid w:val="007434B3"/>
    <w:rsid w:val="0074549A"/>
    <w:rsid w:val="00745FF4"/>
    <w:rsid w:val="00746317"/>
    <w:rsid w:val="007479C1"/>
    <w:rsid w:val="00747E3C"/>
    <w:rsid w:val="00751C23"/>
    <w:rsid w:val="00752C3E"/>
    <w:rsid w:val="00753AEF"/>
    <w:rsid w:val="0075430C"/>
    <w:rsid w:val="007545A6"/>
    <w:rsid w:val="007565D7"/>
    <w:rsid w:val="007566D3"/>
    <w:rsid w:val="00757158"/>
    <w:rsid w:val="007604ED"/>
    <w:rsid w:val="00762349"/>
    <w:rsid w:val="00762613"/>
    <w:rsid w:val="007629E6"/>
    <w:rsid w:val="00763080"/>
    <w:rsid w:val="00763567"/>
    <w:rsid w:val="00764999"/>
    <w:rsid w:val="0076793E"/>
    <w:rsid w:val="00770DD8"/>
    <w:rsid w:val="00770E7B"/>
    <w:rsid w:val="00773467"/>
    <w:rsid w:val="007746A5"/>
    <w:rsid w:val="00774B82"/>
    <w:rsid w:val="007759C9"/>
    <w:rsid w:val="00775E2C"/>
    <w:rsid w:val="007778B9"/>
    <w:rsid w:val="00777B97"/>
    <w:rsid w:val="00781942"/>
    <w:rsid w:val="00781C8B"/>
    <w:rsid w:val="00782435"/>
    <w:rsid w:val="00782C9F"/>
    <w:rsid w:val="00785316"/>
    <w:rsid w:val="00786FF7"/>
    <w:rsid w:val="0078794D"/>
    <w:rsid w:val="00790659"/>
    <w:rsid w:val="007906E9"/>
    <w:rsid w:val="00790AC1"/>
    <w:rsid w:val="00790C54"/>
    <w:rsid w:val="007913DE"/>
    <w:rsid w:val="0079328D"/>
    <w:rsid w:val="0079370B"/>
    <w:rsid w:val="00793748"/>
    <w:rsid w:val="00793895"/>
    <w:rsid w:val="007947CC"/>
    <w:rsid w:val="00794C16"/>
    <w:rsid w:val="0079528F"/>
    <w:rsid w:val="007961F0"/>
    <w:rsid w:val="00796236"/>
    <w:rsid w:val="00797580"/>
    <w:rsid w:val="007A14DC"/>
    <w:rsid w:val="007A26BE"/>
    <w:rsid w:val="007A26C2"/>
    <w:rsid w:val="007A2B79"/>
    <w:rsid w:val="007A3195"/>
    <w:rsid w:val="007A3BC5"/>
    <w:rsid w:val="007A3E44"/>
    <w:rsid w:val="007A4AC8"/>
    <w:rsid w:val="007A51E5"/>
    <w:rsid w:val="007A574C"/>
    <w:rsid w:val="007A691D"/>
    <w:rsid w:val="007A72EF"/>
    <w:rsid w:val="007A7394"/>
    <w:rsid w:val="007B0879"/>
    <w:rsid w:val="007B1E10"/>
    <w:rsid w:val="007B1F17"/>
    <w:rsid w:val="007B2390"/>
    <w:rsid w:val="007B26A7"/>
    <w:rsid w:val="007B5806"/>
    <w:rsid w:val="007B5968"/>
    <w:rsid w:val="007B5D47"/>
    <w:rsid w:val="007B7052"/>
    <w:rsid w:val="007B7729"/>
    <w:rsid w:val="007B7830"/>
    <w:rsid w:val="007B7AA0"/>
    <w:rsid w:val="007C074F"/>
    <w:rsid w:val="007C129E"/>
    <w:rsid w:val="007C2FA6"/>
    <w:rsid w:val="007C31F0"/>
    <w:rsid w:val="007C3256"/>
    <w:rsid w:val="007C5602"/>
    <w:rsid w:val="007C63F8"/>
    <w:rsid w:val="007C6681"/>
    <w:rsid w:val="007C6D59"/>
    <w:rsid w:val="007C77F4"/>
    <w:rsid w:val="007D0C90"/>
    <w:rsid w:val="007D27E3"/>
    <w:rsid w:val="007D28AC"/>
    <w:rsid w:val="007D31AA"/>
    <w:rsid w:val="007D34DA"/>
    <w:rsid w:val="007D3C59"/>
    <w:rsid w:val="007D4620"/>
    <w:rsid w:val="007D66E7"/>
    <w:rsid w:val="007D6FD1"/>
    <w:rsid w:val="007D7C01"/>
    <w:rsid w:val="007D7ED5"/>
    <w:rsid w:val="007E15D1"/>
    <w:rsid w:val="007E1E99"/>
    <w:rsid w:val="007E20C8"/>
    <w:rsid w:val="007E2BC2"/>
    <w:rsid w:val="007E40F4"/>
    <w:rsid w:val="007E4F8E"/>
    <w:rsid w:val="007E529D"/>
    <w:rsid w:val="007E544D"/>
    <w:rsid w:val="007E60F7"/>
    <w:rsid w:val="007F2607"/>
    <w:rsid w:val="007F35E3"/>
    <w:rsid w:val="007F4C3B"/>
    <w:rsid w:val="007F4DF5"/>
    <w:rsid w:val="007F55C1"/>
    <w:rsid w:val="007F6871"/>
    <w:rsid w:val="007F6905"/>
    <w:rsid w:val="007F7301"/>
    <w:rsid w:val="007F7F31"/>
    <w:rsid w:val="00801024"/>
    <w:rsid w:val="0080211B"/>
    <w:rsid w:val="00802AA5"/>
    <w:rsid w:val="008053F6"/>
    <w:rsid w:val="00810573"/>
    <w:rsid w:val="00810E10"/>
    <w:rsid w:val="008139E6"/>
    <w:rsid w:val="00814CF6"/>
    <w:rsid w:val="008150F5"/>
    <w:rsid w:val="0081598A"/>
    <w:rsid w:val="00817C1C"/>
    <w:rsid w:val="008213D8"/>
    <w:rsid w:val="008213DD"/>
    <w:rsid w:val="00821914"/>
    <w:rsid w:val="008224BF"/>
    <w:rsid w:val="00823053"/>
    <w:rsid w:val="008232B3"/>
    <w:rsid w:val="008235CE"/>
    <w:rsid w:val="00823B60"/>
    <w:rsid w:val="00824402"/>
    <w:rsid w:val="008248C6"/>
    <w:rsid w:val="00824C69"/>
    <w:rsid w:val="0082540B"/>
    <w:rsid w:val="008267CC"/>
    <w:rsid w:val="008269E6"/>
    <w:rsid w:val="008273E3"/>
    <w:rsid w:val="00827DA3"/>
    <w:rsid w:val="00831002"/>
    <w:rsid w:val="00832CA0"/>
    <w:rsid w:val="00832F27"/>
    <w:rsid w:val="008335DE"/>
    <w:rsid w:val="00834425"/>
    <w:rsid w:val="00834DF2"/>
    <w:rsid w:val="008376BE"/>
    <w:rsid w:val="00840916"/>
    <w:rsid w:val="00841227"/>
    <w:rsid w:val="00842FAC"/>
    <w:rsid w:val="0084603F"/>
    <w:rsid w:val="00846D3B"/>
    <w:rsid w:val="00847541"/>
    <w:rsid w:val="00850CE8"/>
    <w:rsid w:val="008518B2"/>
    <w:rsid w:val="008533FC"/>
    <w:rsid w:val="008535F4"/>
    <w:rsid w:val="00855108"/>
    <w:rsid w:val="00855425"/>
    <w:rsid w:val="00855632"/>
    <w:rsid w:val="00856300"/>
    <w:rsid w:val="00856708"/>
    <w:rsid w:val="0085799B"/>
    <w:rsid w:val="00860372"/>
    <w:rsid w:val="00862557"/>
    <w:rsid w:val="00862577"/>
    <w:rsid w:val="00862EA0"/>
    <w:rsid w:val="0086429A"/>
    <w:rsid w:val="008644F7"/>
    <w:rsid w:val="0086505D"/>
    <w:rsid w:val="008669EE"/>
    <w:rsid w:val="00866B14"/>
    <w:rsid w:val="00867252"/>
    <w:rsid w:val="00867948"/>
    <w:rsid w:val="00867972"/>
    <w:rsid w:val="00871364"/>
    <w:rsid w:val="00872647"/>
    <w:rsid w:val="00873490"/>
    <w:rsid w:val="00873AF0"/>
    <w:rsid w:val="00874442"/>
    <w:rsid w:val="0087485D"/>
    <w:rsid w:val="0087534A"/>
    <w:rsid w:val="00875909"/>
    <w:rsid w:val="00876080"/>
    <w:rsid w:val="00880CB1"/>
    <w:rsid w:val="008824EE"/>
    <w:rsid w:val="008825B5"/>
    <w:rsid w:val="00884F28"/>
    <w:rsid w:val="00885A59"/>
    <w:rsid w:val="00885C4A"/>
    <w:rsid w:val="00887A78"/>
    <w:rsid w:val="00891509"/>
    <w:rsid w:val="00891F58"/>
    <w:rsid w:val="00892C66"/>
    <w:rsid w:val="00892E24"/>
    <w:rsid w:val="00895181"/>
    <w:rsid w:val="00895625"/>
    <w:rsid w:val="00895E07"/>
    <w:rsid w:val="008973BF"/>
    <w:rsid w:val="008A0857"/>
    <w:rsid w:val="008A16B5"/>
    <w:rsid w:val="008A306D"/>
    <w:rsid w:val="008A3C21"/>
    <w:rsid w:val="008A4998"/>
    <w:rsid w:val="008A69CB"/>
    <w:rsid w:val="008B0091"/>
    <w:rsid w:val="008B0ADE"/>
    <w:rsid w:val="008B1650"/>
    <w:rsid w:val="008B21ED"/>
    <w:rsid w:val="008B2811"/>
    <w:rsid w:val="008B472A"/>
    <w:rsid w:val="008B4835"/>
    <w:rsid w:val="008B4DAD"/>
    <w:rsid w:val="008B5EE3"/>
    <w:rsid w:val="008B66FE"/>
    <w:rsid w:val="008B6C1B"/>
    <w:rsid w:val="008C0899"/>
    <w:rsid w:val="008C0A75"/>
    <w:rsid w:val="008C0E5B"/>
    <w:rsid w:val="008C0F2E"/>
    <w:rsid w:val="008C258A"/>
    <w:rsid w:val="008C3E98"/>
    <w:rsid w:val="008C42D1"/>
    <w:rsid w:val="008C5203"/>
    <w:rsid w:val="008C5254"/>
    <w:rsid w:val="008C571B"/>
    <w:rsid w:val="008C6CA1"/>
    <w:rsid w:val="008C70B5"/>
    <w:rsid w:val="008C72C9"/>
    <w:rsid w:val="008D12A3"/>
    <w:rsid w:val="008D2EB5"/>
    <w:rsid w:val="008D30CE"/>
    <w:rsid w:val="008D31DB"/>
    <w:rsid w:val="008D3862"/>
    <w:rsid w:val="008D4511"/>
    <w:rsid w:val="008D58BF"/>
    <w:rsid w:val="008E08BE"/>
    <w:rsid w:val="008E182C"/>
    <w:rsid w:val="008E2B1D"/>
    <w:rsid w:val="008E4B16"/>
    <w:rsid w:val="008E5964"/>
    <w:rsid w:val="008F0035"/>
    <w:rsid w:val="008F0DBF"/>
    <w:rsid w:val="008F0F72"/>
    <w:rsid w:val="008F1135"/>
    <w:rsid w:val="008F133A"/>
    <w:rsid w:val="008F1393"/>
    <w:rsid w:val="008F3AEF"/>
    <w:rsid w:val="008F3B4C"/>
    <w:rsid w:val="008F4686"/>
    <w:rsid w:val="008F5720"/>
    <w:rsid w:val="008F5AEC"/>
    <w:rsid w:val="008F5FF2"/>
    <w:rsid w:val="008F6EDE"/>
    <w:rsid w:val="008F74D1"/>
    <w:rsid w:val="008F7E8D"/>
    <w:rsid w:val="00900385"/>
    <w:rsid w:val="0090099B"/>
    <w:rsid w:val="00900A40"/>
    <w:rsid w:val="00900B95"/>
    <w:rsid w:val="00901480"/>
    <w:rsid w:val="009022A3"/>
    <w:rsid w:val="009023AA"/>
    <w:rsid w:val="00902423"/>
    <w:rsid w:val="00902F15"/>
    <w:rsid w:val="0090508C"/>
    <w:rsid w:val="00905A1C"/>
    <w:rsid w:val="00905CDE"/>
    <w:rsid w:val="00906693"/>
    <w:rsid w:val="00906EA7"/>
    <w:rsid w:val="009115EB"/>
    <w:rsid w:val="009121B0"/>
    <w:rsid w:val="009134E7"/>
    <w:rsid w:val="0091451D"/>
    <w:rsid w:val="00914D84"/>
    <w:rsid w:val="0091601B"/>
    <w:rsid w:val="009173D7"/>
    <w:rsid w:val="009209BC"/>
    <w:rsid w:val="00920DCC"/>
    <w:rsid w:val="00921467"/>
    <w:rsid w:val="00921A91"/>
    <w:rsid w:val="00921F84"/>
    <w:rsid w:val="0092224C"/>
    <w:rsid w:val="009237A2"/>
    <w:rsid w:val="00923D62"/>
    <w:rsid w:val="00925AFF"/>
    <w:rsid w:val="00927006"/>
    <w:rsid w:val="0092700F"/>
    <w:rsid w:val="009271AE"/>
    <w:rsid w:val="009271BF"/>
    <w:rsid w:val="00927E64"/>
    <w:rsid w:val="00927FC8"/>
    <w:rsid w:val="00930407"/>
    <w:rsid w:val="00930842"/>
    <w:rsid w:val="00930B2C"/>
    <w:rsid w:val="00932911"/>
    <w:rsid w:val="009346FF"/>
    <w:rsid w:val="00934A62"/>
    <w:rsid w:val="0093639A"/>
    <w:rsid w:val="00936E86"/>
    <w:rsid w:val="0093744C"/>
    <w:rsid w:val="00940A28"/>
    <w:rsid w:val="00945576"/>
    <w:rsid w:val="00947888"/>
    <w:rsid w:val="00947C28"/>
    <w:rsid w:val="0095003B"/>
    <w:rsid w:val="00950BE8"/>
    <w:rsid w:val="00952145"/>
    <w:rsid w:val="009536A6"/>
    <w:rsid w:val="009557EA"/>
    <w:rsid w:val="00955D19"/>
    <w:rsid w:val="009577E2"/>
    <w:rsid w:val="0096028D"/>
    <w:rsid w:val="00961292"/>
    <w:rsid w:val="009621A1"/>
    <w:rsid w:val="0096248F"/>
    <w:rsid w:val="00962F8A"/>
    <w:rsid w:val="009643CA"/>
    <w:rsid w:val="00965178"/>
    <w:rsid w:val="00965BC0"/>
    <w:rsid w:val="009665E8"/>
    <w:rsid w:val="00966BE2"/>
    <w:rsid w:val="0097012B"/>
    <w:rsid w:val="0097155C"/>
    <w:rsid w:val="00972075"/>
    <w:rsid w:val="00972836"/>
    <w:rsid w:val="00972F78"/>
    <w:rsid w:val="00973373"/>
    <w:rsid w:val="00973EC0"/>
    <w:rsid w:val="00974311"/>
    <w:rsid w:val="00974CE9"/>
    <w:rsid w:val="00974D5A"/>
    <w:rsid w:val="00974D8D"/>
    <w:rsid w:val="009776CE"/>
    <w:rsid w:val="0097791E"/>
    <w:rsid w:val="00981EF9"/>
    <w:rsid w:val="00982B17"/>
    <w:rsid w:val="009834AF"/>
    <w:rsid w:val="00985385"/>
    <w:rsid w:val="00986548"/>
    <w:rsid w:val="00993E33"/>
    <w:rsid w:val="0099444E"/>
    <w:rsid w:val="00994B0D"/>
    <w:rsid w:val="009953D6"/>
    <w:rsid w:val="00997132"/>
    <w:rsid w:val="00997795"/>
    <w:rsid w:val="00997E47"/>
    <w:rsid w:val="009A02B0"/>
    <w:rsid w:val="009A1BA5"/>
    <w:rsid w:val="009A1C97"/>
    <w:rsid w:val="009A202B"/>
    <w:rsid w:val="009A2B10"/>
    <w:rsid w:val="009A36AB"/>
    <w:rsid w:val="009A450F"/>
    <w:rsid w:val="009A5757"/>
    <w:rsid w:val="009A68C6"/>
    <w:rsid w:val="009A77D9"/>
    <w:rsid w:val="009B0322"/>
    <w:rsid w:val="009B052B"/>
    <w:rsid w:val="009B068E"/>
    <w:rsid w:val="009B0A59"/>
    <w:rsid w:val="009B0B19"/>
    <w:rsid w:val="009B0D3B"/>
    <w:rsid w:val="009B1081"/>
    <w:rsid w:val="009B230B"/>
    <w:rsid w:val="009B2AB8"/>
    <w:rsid w:val="009B4978"/>
    <w:rsid w:val="009B513F"/>
    <w:rsid w:val="009B6CE2"/>
    <w:rsid w:val="009B6FAF"/>
    <w:rsid w:val="009B7199"/>
    <w:rsid w:val="009B78FE"/>
    <w:rsid w:val="009B7967"/>
    <w:rsid w:val="009B7F45"/>
    <w:rsid w:val="009C0072"/>
    <w:rsid w:val="009C024B"/>
    <w:rsid w:val="009C0D08"/>
    <w:rsid w:val="009C0F24"/>
    <w:rsid w:val="009C1F16"/>
    <w:rsid w:val="009C337D"/>
    <w:rsid w:val="009C37AA"/>
    <w:rsid w:val="009C42B4"/>
    <w:rsid w:val="009C4847"/>
    <w:rsid w:val="009C60AE"/>
    <w:rsid w:val="009C7C7C"/>
    <w:rsid w:val="009C7D6B"/>
    <w:rsid w:val="009D19AC"/>
    <w:rsid w:val="009D1B53"/>
    <w:rsid w:val="009D2AEA"/>
    <w:rsid w:val="009D2EFF"/>
    <w:rsid w:val="009D3E66"/>
    <w:rsid w:val="009D478E"/>
    <w:rsid w:val="009D61C6"/>
    <w:rsid w:val="009D64F8"/>
    <w:rsid w:val="009D7675"/>
    <w:rsid w:val="009D7CC3"/>
    <w:rsid w:val="009E0235"/>
    <w:rsid w:val="009E05E0"/>
    <w:rsid w:val="009E20F8"/>
    <w:rsid w:val="009E4A1D"/>
    <w:rsid w:val="009E4E7A"/>
    <w:rsid w:val="009E52FB"/>
    <w:rsid w:val="009E5C45"/>
    <w:rsid w:val="009E6811"/>
    <w:rsid w:val="009E6FA0"/>
    <w:rsid w:val="009E72EA"/>
    <w:rsid w:val="009F0C68"/>
    <w:rsid w:val="009F13F7"/>
    <w:rsid w:val="009F1A23"/>
    <w:rsid w:val="009F1EE8"/>
    <w:rsid w:val="009F2561"/>
    <w:rsid w:val="009F7FD4"/>
    <w:rsid w:val="00A00234"/>
    <w:rsid w:val="00A01D1A"/>
    <w:rsid w:val="00A05865"/>
    <w:rsid w:val="00A060EA"/>
    <w:rsid w:val="00A06620"/>
    <w:rsid w:val="00A06638"/>
    <w:rsid w:val="00A07118"/>
    <w:rsid w:val="00A10165"/>
    <w:rsid w:val="00A1206B"/>
    <w:rsid w:val="00A12364"/>
    <w:rsid w:val="00A13B8B"/>
    <w:rsid w:val="00A1455A"/>
    <w:rsid w:val="00A1459C"/>
    <w:rsid w:val="00A14E05"/>
    <w:rsid w:val="00A2085F"/>
    <w:rsid w:val="00A20E9D"/>
    <w:rsid w:val="00A21136"/>
    <w:rsid w:val="00A21EFB"/>
    <w:rsid w:val="00A22C6E"/>
    <w:rsid w:val="00A23A92"/>
    <w:rsid w:val="00A24B04"/>
    <w:rsid w:val="00A276B7"/>
    <w:rsid w:val="00A30C2C"/>
    <w:rsid w:val="00A31125"/>
    <w:rsid w:val="00A3123B"/>
    <w:rsid w:val="00A32875"/>
    <w:rsid w:val="00A32CD2"/>
    <w:rsid w:val="00A333F3"/>
    <w:rsid w:val="00A33B74"/>
    <w:rsid w:val="00A34578"/>
    <w:rsid w:val="00A36B85"/>
    <w:rsid w:val="00A370B7"/>
    <w:rsid w:val="00A3750B"/>
    <w:rsid w:val="00A378D5"/>
    <w:rsid w:val="00A403A8"/>
    <w:rsid w:val="00A427AF"/>
    <w:rsid w:val="00A42919"/>
    <w:rsid w:val="00A438EF"/>
    <w:rsid w:val="00A43A70"/>
    <w:rsid w:val="00A43D61"/>
    <w:rsid w:val="00A44D88"/>
    <w:rsid w:val="00A44FC6"/>
    <w:rsid w:val="00A45E3C"/>
    <w:rsid w:val="00A4653F"/>
    <w:rsid w:val="00A46A64"/>
    <w:rsid w:val="00A475A5"/>
    <w:rsid w:val="00A47780"/>
    <w:rsid w:val="00A477DA"/>
    <w:rsid w:val="00A47D6B"/>
    <w:rsid w:val="00A52134"/>
    <w:rsid w:val="00A5305D"/>
    <w:rsid w:val="00A53CA8"/>
    <w:rsid w:val="00A54214"/>
    <w:rsid w:val="00A54814"/>
    <w:rsid w:val="00A60512"/>
    <w:rsid w:val="00A6096E"/>
    <w:rsid w:val="00A61847"/>
    <w:rsid w:val="00A627A5"/>
    <w:rsid w:val="00A62965"/>
    <w:rsid w:val="00A63D2C"/>
    <w:rsid w:val="00A63D97"/>
    <w:rsid w:val="00A6423A"/>
    <w:rsid w:val="00A64272"/>
    <w:rsid w:val="00A64D7F"/>
    <w:rsid w:val="00A65047"/>
    <w:rsid w:val="00A65E56"/>
    <w:rsid w:val="00A6704F"/>
    <w:rsid w:val="00A70C81"/>
    <w:rsid w:val="00A71AB5"/>
    <w:rsid w:val="00A73A25"/>
    <w:rsid w:val="00A73E64"/>
    <w:rsid w:val="00A73FDF"/>
    <w:rsid w:val="00A751A4"/>
    <w:rsid w:val="00A76E2F"/>
    <w:rsid w:val="00A77E6E"/>
    <w:rsid w:val="00A83C5B"/>
    <w:rsid w:val="00A83CD4"/>
    <w:rsid w:val="00A84C65"/>
    <w:rsid w:val="00A878CB"/>
    <w:rsid w:val="00A90F3A"/>
    <w:rsid w:val="00A91D00"/>
    <w:rsid w:val="00A93B36"/>
    <w:rsid w:val="00A953A8"/>
    <w:rsid w:val="00A957E1"/>
    <w:rsid w:val="00A96866"/>
    <w:rsid w:val="00AA03F2"/>
    <w:rsid w:val="00AA0B8F"/>
    <w:rsid w:val="00AA0FEF"/>
    <w:rsid w:val="00AA13CB"/>
    <w:rsid w:val="00AA1CC9"/>
    <w:rsid w:val="00AA20A0"/>
    <w:rsid w:val="00AA281D"/>
    <w:rsid w:val="00AA6183"/>
    <w:rsid w:val="00AA66DF"/>
    <w:rsid w:val="00AA684D"/>
    <w:rsid w:val="00AB0FE7"/>
    <w:rsid w:val="00AB1398"/>
    <w:rsid w:val="00AB1EC8"/>
    <w:rsid w:val="00AB1ED5"/>
    <w:rsid w:val="00AB2367"/>
    <w:rsid w:val="00AB24C5"/>
    <w:rsid w:val="00AB30E3"/>
    <w:rsid w:val="00AB494A"/>
    <w:rsid w:val="00AB53E9"/>
    <w:rsid w:val="00AB70BD"/>
    <w:rsid w:val="00AC00D5"/>
    <w:rsid w:val="00AC0DE6"/>
    <w:rsid w:val="00AC0F0F"/>
    <w:rsid w:val="00AC114C"/>
    <w:rsid w:val="00AC1EAB"/>
    <w:rsid w:val="00AC5197"/>
    <w:rsid w:val="00AC5263"/>
    <w:rsid w:val="00AC5C3A"/>
    <w:rsid w:val="00AC6401"/>
    <w:rsid w:val="00AC6650"/>
    <w:rsid w:val="00AC7D51"/>
    <w:rsid w:val="00AD0C4F"/>
    <w:rsid w:val="00AD12CE"/>
    <w:rsid w:val="00AD1314"/>
    <w:rsid w:val="00AD17BE"/>
    <w:rsid w:val="00AD28D0"/>
    <w:rsid w:val="00AD3D31"/>
    <w:rsid w:val="00AD3FC2"/>
    <w:rsid w:val="00AD4526"/>
    <w:rsid w:val="00AD6322"/>
    <w:rsid w:val="00AD654E"/>
    <w:rsid w:val="00AD6E19"/>
    <w:rsid w:val="00AD7558"/>
    <w:rsid w:val="00AD7D68"/>
    <w:rsid w:val="00AE0E91"/>
    <w:rsid w:val="00AE11F1"/>
    <w:rsid w:val="00AE33BE"/>
    <w:rsid w:val="00AE35C1"/>
    <w:rsid w:val="00AE4636"/>
    <w:rsid w:val="00AE558A"/>
    <w:rsid w:val="00AE5D5B"/>
    <w:rsid w:val="00AE609A"/>
    <w:rsid w:val="00AE7045"/>
    <w:rsid w:val="00AE706D"/>
    <w:rsid w:val="00AE782A"/>
    <w:rsid w:val="00AF01B0"/>
    <w:rsid w:val="00AF3361"/>
    <w:rsid w:val="00AF3757"/>
    <w:rsid w:val="00AF378D"/>
    <w:rsid w:val="00AF3B3A"/>
    <w:rsid w:val="00AF428E"/>
    <w:rsid w:val="00AF481B"/>
    <w:rsid w:val="00AF51D3"/>
    <w:rsid w:val="00AF6199"/>
    <w:rsid w:val="00AF6964"/>
    <w:rsid w:val="00AF7F48"/>
    <w:rsid w:val="00B00EA7"/>
    <w:rsid w:val="00B03DCE"/>
    <w:rsid w:val="00B0459B"/>
    <w:rsid w:val="00B04605"/>
    <w:rsid w:val="00B04741"/>
    <w:rsid w:val="00B04F71"/>
    <w:rsid w:val="00B05141"/>
    <w:rsid w:val="00B108F4"/>
    <w:rsid w:val="00B11A6A"/>
    <w:rsid w:val="00B13FA6"/>
    <w:rsid w:val="00B15B97"/>
    <w:rsid w:val="00B15CCF"/>
    <w:rsid w:val="00B16704"/>
    <w:rsid w:val="00B20441"/>
    <w:rsid w:val="00B205C9"/>
    <w:rsid w:val="00B2065C"/>
    <w:rsid w:val="00B20748"/>
    <w:rsid w:val="00B21167"/>
    <w:rsid w:val="00B218F4"/>
    <w:rsid w:val="00B22EF4"/>
    <w:rsid w:val="00B232F6"/>
    <w:rsid w:val="00B2347A"/>
    <w:rsid w:val="00B23BB3"/>
    <w:rsid w:val="00B2499F"/>
    <w:rsid w:val="00B24C43"/>
    <w:rsid w:val="00B24CAC"/>
    <w:rsid w:val="00B26BE2"/>
    <w:rsid w:val="00B273D2"/>
    <w:rsid w:val="00B27F73"/>
    <w:rsid w:val="00B30B12"/>
    <w:rsid w:val="00B31E21"/>
    <w:rsid w:val="00B34260"/>
    <w:rsid w:val="00B353C8"/>
    <w:rsid w:val="00B361FB"/>
    <w:rsid w:val="00B36CC6"/>
    <w:rsid w:val="00B37E86"/>
    <w:rsid w:val="00B4038F"/>
    <w:rsid w:val="00B416CF"/>
    <w:rsid w:val="00B430EE"/>
    <w:rsid w:val="00B44CD7"/>
    <w:rsid w:val="00B44E43"/>
    <w:rsid w:val="00B4513B"/>
    <w:rsid w:val="00B46DBC"/>
    <w:rsid w:val="00B51E3E"/>
    <w:rsid w:val="00B528FF"/>
    <w:rsid w:val="00B546C7"/>
    <w:rsid w:val="00B56293"/>
    <w:rsid w:val="00B56620"/>
    <w:rsid w:val="00B56A43"/>
    <w:rsid w:val="00B56D66"/>
    <w:rsid w:val="00B56FA8"/>
    <w:rsid w:val="00B5706B"/>
    <w:rsid w:val="00B60169"/>
    <w:rsid w:val="00B601E6"/>
    <w:rsid w:val="00B60D11"/>
    <w:rsid w:val="00B6129B"/>
    <w:rsid w:val="00B617CA"/>
    <w:rsid w:val="00B62E3D"/>
    <w:rsid w:val="00B64781"/>
    <w:rsid w:val="00B65333"/>
    <w:rsid w:val="00B659EB"/>
    <w:rsid w:val="00B66417"/>
    <w:rsid w:val="00B668A8"/>
    <w:rsid w:val="00B674C0"/>
    <w:rsid w:val="00B705AD"/>
    <w:rsid w:val="00B716B8"/>
    <w:rsid w:val="00B71A34"/>
    <w:rsid w:val="00B71CA2"/>
    <w:rsid w:val="00B74445"/>
    <w:rsid w:val="00B7471F"/>
    <w:rsid w:val="00B75F35"/>
    <w:rsid w:val="00B80170"/>
    <w:rsid w:val="00B8076D"/>
    <w:rsid w:val="00B822A8"/>
    <w:rsid w:val="00B84321"/>
    <w:rsid w:val="00B86DAD"/>
    <w:rsid w:val="00B86FCA"/>
    <w:rsid w:val="00B90F0C"/>
    <w:rsid w:val="00B91375"/>
    <w:rsid w:val="00B958D3"/>
    <w:rsid w:val="00B95EFE"/>
    <w:rsid w:val="00B972E0"/>
    <w:rsid w:val="00B976AB"/>
    <w:rsid w:val="00B977F6"/>
    <w:rsid w:val="00BA1291"/>
    <w:rsid w:val="00BA17DE"/>
    <w:rsid w:val="00BA1B4F"/>
    <w:rsid w:val="00BA2C2C"/>
    <w:rsid w:val="00BA2DD0"/>
    <w:rsid w:val="00BA3294"/>
    <w:rsid w:val="00BA65AD"/>
    <w:rsid w:val="00BB000B"/>
    <w:rsid w:val="00BB0319"/>
    <w:rsid w:val="00BB104A"/>
    <w:rsid w:val="00BB10B2"/>
    <w:rsid w:val="00BB1303"/>
    <w:rsid w:val="00BB2847"/>
    <w:rsid w:val="00BB3533"/>
    <w:rsid w:val="00BB3A4F"/>
    <w:rsid w:val="00BB410E"/>
    <w:rsid w:val="00BB6C5C"/>
    <w:rsid w:val="00BB7C11"/>
    <w:rsid w:val="00BC11C3"/>
    <w:rsid w:val="00BC128F"/>
    <w:rsid w:val="00BC192E"/>
    <w:rsid w:val="00BC28AB"/>
    <w:rsid w:val="00BC343E"/>
    <w:rsid w:val="00BC3B6E"/>
    <w:rsid w:val="00BC4027"/>
    <w:rsid w:val="00BC51EB"/>
    <w:rsid w:val="00BC699F"/>
    <w:rsid w:val="00BD01D1"/>
    <w:rsid w:val="00BD02B9"/>
    <w:rsid w:val="00BD0421"/>
    <w:rsid w:val="00BD0D13"/>
    <w:rsid w:val="00BD0F14"/>
    <w:rsid w:val="00BD1B0C"/>
    <w:rsid w:val="00BD22FF"/>
    <w:rsid w:val="00BD3832"/>
    <w:rsid w:val="00BD5918"/>
    <w:rsid w:val="00BD748F"/>
    <w:rsid w:val="00BE373C"/>
    <w:rsid w:val="00BE3BB2"/>
    <w:rsid w:val="00BE492D"/>
    <w:rsid w:val="00BE51B4"/>
    <w:rsid w:val="00BE7035"/>
    <w:rsid w:val="00BE7E75"/>
    <w:rsid w:val="00BF026D"/>
    <w:rsid w:val="00BF152E"/>
    <w:rsid w:val="00BF180A"/>
    <w:rsid w:val="00BF1B46"/>
    <w:rsid w:val="00BF262D"/>
    <w:rsid w:val="00BF26BA"/>
    <w:rsid w:val="00BF2924"/>
    <w:rsid w:val="00BF4421"/>
    <w:rsid w:val="00BF67D7"/>
    <w:rsid w:val="00BF6FE9"/>
    <w:rsid w:val="00BF7132"/>
    <w:rsid w:val="00C0012B"/>
    <w:rsid w:val="00C01C10"/>
    <w:rsid w:val="00C02E9D"/>
    <w:rsid w:val="00C03290"/>
    <w:rsid w:val="00C03BFA"/>
    <w:rsid w:val="00C042F5"/>
    <w:rsid w:val="00C042FD"/>
    <w:rsid w:val="00C04CA1"/>
    <w:rsid w:val="00C04FD5"/>
    <w:rsid w:val="00C05D5E"/>
    <w:rsid w:val="00C06790"/>
    <w:rsid w:val="00C06BB1"/>
    <w:rsid w:val="00C06C7D"/>
    <w:rsid w:val="00C07171"/>
    <w:rsid w:val="00C07551"/>
    <w:rsid w:val="00C07E0E"/>
    <w:rsid w:val="00C1135D"/>
    <w:rsid w:val="00C134E6"/>
    <w:rsid w:val="00C15ABB"/>
    <w:rsid w:val="00C16EEE"/>
    <w:rsid w:val="00C17292"/>
    <w:rsid w:val="00C17750"/>
    <w:rsid w:val="00C20C2F"/>
    <w:rsid w:val="00C21CCF"/>
    <w:rsid w:val="00C2263E"/>
    <w:rsid w:val="00C25D64"/>
    <w:rsid w:val="00C27C29"/>
    <w:rsid w:val="00C34820"/>
    <w:rsid w:val="00C3604B"/>
    <w:rsid w:val="00C37E21"/>
    <w:rsid w:val="00C37EE2"/>
    <w:rsid w:val="00C404E9"/>
    <w:rsid w:val="00C410A1"/>
    <w:rsid w:val="00C416E2"/>
    <w:rsid w:val="00C432E0"/>
    <w:rsid w:val="00C439CE"/>
    <w:rsid w:val="00C442E2"/>
    <w:rsid w:val="00C44716"/>
    <w:rsid w:val="00C45DB7"/>
    <w:rsid w:val="00C45F76"/>
    <w:rsid w:val="00C5017E"/>
    <w:rsid w:val="00C50BE0"/>
    <w:rsid w:val="00C5209A"/>
    <w:rsid w:val="00C5365E"/>
    <w:rsid w:val="00C53879"/>
    <w:rsid w:val="00C56182"/>
    <w:rsid w:val="00C5770C"/>
    <w:rsid w:val="00C60A9C"/>
    <w:rsid w:val="00C61B3C"/>
    <w:rsid w:val="00C61BD2"/>
    <w:rsid w:val="00C62FD7"/>
    <w:rsid w:val="00C6308D"/>
    <w:rsid w:val="00C63785"/>
    <w:rsid w:val="00C65BB7"/>
    <w:rsid w:val="00C65F28"/>
    <w:rsid w:val="00C66C55"/>
    <w:rsid w:val="00C709E9"/>
    <w:rsid w:val="00C7252A"/>
    <w:rsid w:val="00C7385E"/>
    <w:rsid w:val="00C74631"/>
    <w:rsid w:val="00C74D03"/>
    <w:rsid w:val="00C80751"/>
    <w:rsid w:val="00C81D2F"/>
    <w:rsid w:val="00C828A0"/>
    <w:rsid w:val="00C82AEF"/>
    <w:rsid w:val="00C83800"/>
    <w:rsid w:val="00C84AAA"/>
    <w:rsid w:val="00C8638B"/>
    <w:rsid w:val="00C87210"/>
    <w:rsid w:val="00C8721E"/>
    <w:rsid w:val="00C87B43"/>
    <w:rsid w:val="00C90240"/>
    <w:rsid w:val="00C918C8"/>
    <w:rsid w:val="00C92387"/>
    <w:rsid w:val="00C93DE5"/>
    <w:rsid w:val="00C95768"/>
    <w:rsid w:val="00C9632C"/>
    <w:rsid w:val="00C9666F"/>
    <w:rsid w:val="00C96B4E"/>
    <w:rsid w:val="00C97AFE"/>
    <w:rsid w:val="00CA0EFA"/>
    <w:rsid w:val="00CA11B7"/>
    <w:rsid w:val="00CA1E21"/>
    <w:rsid w:val="00CA2357"/>
    <w:rsid w:val="00CA2FE4"/>
    <w:rsid w:val="00CA38E4"/>
    <w:rsid w:val="00CA43D0"/>
    <w:rsid w:val="00CA51FD"/>
    <w:rsid w:val="00CA746A"/>
    <w:rsid w:val="00CB23B1"/>
    <w:rsid w:val="00CB2F28"/>
    <w:rsid w:val="00CB410C"/>
    <w:rsid w:val="00CB493E"/>
    <w:rsid w:val="00CB60EA"/>
    <w:rsid w:val="00CB6C74"/>
    <w:rsid w:val="00CB72B5"/>
    <w:rsid w:val="00CC2502"/>
    <w:rsid w:val="00CC3E6A"/>
    <w:rsid w:val="00CC504A"/>
    <w:rsid w:val="00CC5BCF"/>
    <w:rsid w:val="00CC60EF"/>
    <w:rsid w:val="00CC6629"/>
    <w:rsid w:val="00CC746D"/>
    <w:rsid w:val="00CD1811"/>
    <w:rsid w:val="00CD2A53"/>
    <w:rsid w:val="00CD2C95"/>
    <w:rsid w:val="00CD31F6"/>
    <w:rsid w:val="00CD580F"/>
    <w:rsid w:val="00CD61E8"/>
    <w:rsid w:val="00CE0BB3"/>
    <w:rsid w:val="00CE0FB8"/>
    <w:rsid w:val="00CE14D1"/>
    <w:rsid w:val="00CE229C"/>
    <w:rsid w:val="00CE368A"/>
    <w:rsid w:val="00CE39C6"/>
    <w:rsid w:val="00CE4B56"/>
    <w:rsid w:val="00CE4D9B"/>
    <w:rsid w:val="00CE5500"/>
    <w:rsid w:val="00CE6F8A"/>
    <w:rsid w:val="00CF0B8E"/>
    <w:rsid w:val="00CF2E63"/>
    <w:rsid w:val="00CF4078"/>
    <w:rsid w:val="00CF491B"/>
    <w:rsid w:val="00CF5641"/>
    <w:rsid w:val="00CF5976"/>
    <w:rsid w:val="00CF606D"/>
    <w:rsid w:val="00CF65A6"/>
    <w:rsid w:val="00CF732C"/>
    <w:rsid w:val="00D0093A"/>
    <w:rsid w:val="00D00B34"/>
    <w:rsid w:val="00D01972"/>
    <w:rsid w:val="00D023C3"/>
    <w:rsid w:val="00D03272"/>
    <w:rsid w:val="00D03B2B"/>
    <w:rsid w:val="00D03C2F"/>
    <w:rsid w:val="00D03C41"/>
    <w:rsid w:val="00D03FB2"/>
    <w:rsid w:val="00D04F8C"/>
    <w:rsid w:val="00D052C2"/>
    <w:rsid w:val="00D05451"/>
    <w:rsid w:val="00D056F4"/>
    <w:rsid w:val="00D05FB3"/>
    <w:rsid w:val="00D06513"/>
    <w:rsid w:val="00D06F4F"/>
    <w:rsid w:val="00D07AEA"/>
    <w:rsid w:val="00D11C4B"/>
    <w:rsid w:val="00D129ED"/>
    <w:rsid w:val="00D12BE5"/>
    <w:rsid w:val="00D13010"/>
    <w:rsid w:val="00D1379F"/>
    <w:rsid w:val="00D13F77"/>
    <w:rsid w:val="00D144A5"/>
    <w:rsid w:val="00D148A8"/>
    <w:rsid w:val="00D15645"/>
    <w:rsid w:val="00D1792F"/>
    <w:rsid w:val="00D17BCD"/>
    <w:rsid w:val="00D200A9"/>
    <w:rsid w:val="00D20539"/>
    <w:rsid w:val="00D231F8"/>
    <w:rsid w:val="00D23222"/>
    <w:rsid w:val="00D24ED7"/>
    <w:rsid w:val="00D26202"/>
    <w:rsid w:val="00D27074"/>
    <w:rsid w:val="00D27F72"/>
    <w:rsid w:val="00D31056"/>
    <w:rsid w:val="00D31371"/>
    <w:rsid w:val="00D3196C"/>
    <w:rsid w:val="00D31D4A"/>
    <w:rsid w:val="00D32F61"/>
    <w:rsid w:val="00D33DB8"/>
    <w:rsid w:val="00D352C7"/>
    <w:rsid w:val="00D35569"/>
    <w:rsid w:val="00D362F8"/>
    <w:rsid w:val="00D370A9"/>
    <w:rsid w:val="00D405B9"/>
    <w:rsid w:val="00D42602"/>
    <w:rsid w:val="00D447D8"/>
    <w:rsid w:val="00D45F85"/>
    <w:rsid w:val="00D46B7C"/>
    <w:rsid w:val="00D46E24"/>
    <w:rsid w:val="00D50A1D"/>
    <w:rsid w:val="00D51017"/>
    <w:rsid w:val="00D51B59"/>
    <w:rsid w:val="00D5389F"/>
    <w:rsid w:val="00D5444F"/>
    <w:rsid w:val="00D546AC"/>
    <w:rsid w:val="00D55AA7"/>
    <w:rsid w:val="00D55BAA"/>
    <w:rsid w:val="00D55E35"/>
    <w:rsid w:val="00D55EFD"/>
    <w:rsid w:val="00D56917"/>
    <w:rsid w:val="00D56EA8"/>
    <w:rsid w:val="00D572F6"/>
    <w:rsid w:val="00D575D1"/>
    <w:rsid w:val="00D57D2A"/>
    <w:rsid w:val="00D57F46"/>
    <w:rsid w:val="00D60CE8"/>
    <w:rsid w:val="00D60F2A"/>
    <w:rsid w:val="00D60F2E"/>
    <w:rsid w:val="00D61137"/>
    <w:rsid w:val="00D61B69"/>
    <w:rsid w:val="00D62692"/>
    <w:rsid w:val="00D62B16"/>
    <w:rsid w:val="00D632BB"/>
    <w:rsid w:val="00D67E0C"/>
    <w:rsid w:val="00D723A4"/>
    <w:rsid w:val="00D73899"/>
    <w:rsid w:val="00D73B22"/>
    <w:rsid w:val="00D75B6C"/>
    <w:rsid w:val="00D7610C"/>
    <w:rsid w:val="00D779E0"/>
    <w:rsid w:val="00D77F9B"/>
    <w:rsid w:val="00D82E05"/>
    <w:rsid w:val="00D83C85"/>
    <w:rsid w:val="00D84CDC"/>
    <w:rsid w:val="00D854BA"/>
    <w:rsid w:val="00D86748"/>
    <w:rsid w:val="00D86C35"/>
    <w:rsid w:val="00D86F15"/>
    <w:rsid w:val="00D903CC"/>
    <w:rsid w:val="00D9181E"/>
    <w:rsid w:val="00D91E4A"/>
    <w:rsid w:val="00D93E3C"/>
    <w:rsid w:val="00D943FA"/>
    <w:rsid w:val="00D95350"/>
    <w:rsid w:val="00D96C09"/>
    <w:rsid w:val="00D96F45"/>
    <w:rsid w:val="00D978BF"/>
    <w:rsid w:val="00D97F8B"/>
    <w:rsid w:val="00DA0F5C"/>
    <w:rsid w:val="00DA18B9"/>
    <w:rsid w:val="00DA3703"/>
    <w:rsid w:val="00DA3C2E"/>
    <w:rsid w:val="00DA4010"/>
    <w:rsid w:val="00DA44FA"/>
    <w:rsid w:val="00DA5899"/>
    <w:rsid w:val="00DA652A"/>
    <w:rsid w:val="00DA6C45"/>
    <w:rsid w:val="00DA7123"/>
    <w:rsid w:val="00DB206F"/>
    <w:rsid w:val="00DB3CCE"/>
    <w:rsid w:val="00DB554D"/>
    <w:rsid w:val="00DB6569"/>
    <w:rsid w:val="00DC16BF"/>
    <w:rsid w:val="00DC17B4"/>
    <w:rsid w:val="00DC1B09"/>
    <w:rsid w:val="00DC3614"/>
    <w:rsid w:val="00DC4892"/>
    <w:rsid w:val="00DC5E2F"/>
    <w:rsid w:val="00DC7397"/>
    <w:rsid w:val="00DD06C7"/>
    <w:rsid w:val="00DD0A2F"/>
    <w:rsid w:val="00DD1307"/>
    <w:rsid w:val="00DD1577"/>
    <w:rsid w:val="00DD1A52"/>
    <w:rsid w:val="00DD1EE7"/>
    <w:rsid w:val="00DD371A"/>
    <w:rsid w:val="00DD3E29"/>
    <w:rsid w:val="00DD6A13"/>
    <w:rsid w:val="00DD6C58"/>
    <w:rsid w:val="00DD6D13"/>
    <w:rsid w:val="00DD763A"/>
    <w:rsid w:val="00DE2D88"/>
    <w:rsid w:val="00DE42E1"/>
    <w:rsid w:val="00DE4E01"/>
    <w:rsid w:val="00DE4EC9"/>
    <w:rsid w:val="00DE5B5E"/>
    <w:rsid w:val="00DE62E8"/>
    <w:rsid w:val="00DE658D"/>
    <w:rsid w:val="00DE79F5"/>
    <w:rsid w:val="00DF0915"/>
    <w:rsid w:val="00DF0AD0"/>
    <w:rsid w:val="00DF1E74"/>
    <w:rsid w:val="00DF22A9"/>
    <w:rsid w:val="00DF230E"/>
    <w:rsid w:val="00DF2481"/>
    <w:rsid w:val="00DF2BC7"/>
    <w:rsid w:val="00DF3FD3"/>
    <w:rsid w:val="00DF569C"/>
    <w:rsid w:val="00DF63A6"/>
    <w:rsid w:val="00DF6B87"/>
    <w:rsid w:val="00DF7545"/>
    <w:rsid w:val="00DF7982"/>
    <w:rsid w:val="00DF7E35"/>
    <w:rsid w:val="00E013F4"/>
    <w:rsid w:val="00E016FB"/>
    <w:rsid w:val="00E04144"/>
    <w:rsid w:val="00E045C9"/>
    <w:rsid w:val="00E06482"/>
    <w:rsid w:val="00E06A5F"/>
    <w:rsid w:val="00E06BF0"/>
    <w:rsid w:val="00E075CB"/>
    <w:rsid w:val="00E075CF"/>
    <w:rsid w:val="00E07CD0"/>
    <w:rsid w:val="00E12B71"/>
    <w:rsid w:val="00E13157"/>
    <w:rsid w:val="00E14454"/>
    <w:rsid w:val="00E15AE8"/>
    <w:rsid w:val="00E16422"/>
    <w:rsid w:val="00E16E49"/>
    <w:rsid w:val="00E17C2F"/>
    <w:rsid w:val="00E17F0D"/>
    <w:rsid w:val="00E200A2"/>
    <w:rsid w:val="00E210EE"/>
    <w:rsid w:val="00E21F7D"/>
    <w:rsid w:val="00E25061"/>
    <w:rsid w:val="00E25B47"/>
    <w:rsid w:val="00E27D80"/>
    <w:rsid w:val="00E32469"/>
    <w:rsid w:val="00E34476"/>
    <w:rsid w:val="00E34745"/>
    <w:rsid w:val="00E34AA7"/>
    <w:rsid w:val="00E359D4"/>
    <w:rsid w:val="00E3608C"/>
    <w:rsid w:val="00E36BCF"/>
    <w:rsid w:val="00E370FE"/>
    <w:rsid w:val="00E423DD"/>
    <w:rsid w:val="00E433C9"/>
    <w:rsid w:val="00E450DF"/>
    <w:rsid w:val="00E45325"/>
    <w:rsid w:val="00E45E08"/>
    <w:rsid w:val="00E4620F"/>
    <w:rsid w:val="00E468E2"/>
    <w:rsid w:val="00E4698C"/>
    <w:rsid w:val="00E47731"/>
    <w:rsid w:val="00E50127"/>
    <w:rsid w:val="00E50C68"/>
    <w:rsid w:val="00E517A5"/>
    <w:rsid w:val="00E51B8E"/>
    <w:rsid w:val="00E53089"/>
    <w:rsid w:val="00E54755"/>
    <w:rsid w:val="00E54C4D"/>
    <w:rsid w:val="00E55E32"/>
    <w:rsid w:val="00E6025A"/>
    <w:rsid w:val="00E606D1"/>
    <w:rsid w:val="00E607EF"/>
    <w:rsid w:val="00E621DA"/>
    <w:rsid w:val="00E623D6"/>
    <w:rsid w:val="00E63498"/>
    <w:rsid w:val="00E634B1"/>
    <w:rsid w:val="00E636A7"/>
    <w:rsid w:val="00E64988"/>
    <w:rsid w:val="00E65047"/>
    <w:rsid w:val="00E65F6C"/>
    <w:rsid w:val="00E66B39"/>
    <w:rsid w:val="00E671B1"/>
    <w:rsid w:val="00E679FF"/>
    <w:rsid w:val="00E703F1"/>
    <w:rsid w:val="00E70F0B"/>
    <w:rsid w:val="00E71ED7"/>
    <w:rsid w:val="00E7209C"/>
    <w:rsid w:val="00E72235"/>
    <w:rsid w:val="00E72C09"/>
    <w:rsid w:val="00E7361D"/>
    <w:rsid w:val="00E73797"/>
    <w:rsid w:val="00E737C6"/>
    <w:rsid w:val="00E739E6"/>
    <w:rsid w:val="00E73B8D"/>
    <w:rsid w:val="00E74679"/>
    <w:rsid w:val="00E76EAE"/>
    <w:rsid w:val="00E77B50"/>
    <w:rsid w:val="00E80652"/>
    <w:rsid w:val="00E80A1B"/>
    <w:rsid w:val="00E80ED4"/>
    <w:rsid w:val="00E80F6E"/>
    <w:rsid w:val="00E822F4"/>
    <w:rsid w:val="00E82F47"/>
    <w:rsid w:val="00E83197"/>
    <w:rsid w:val="00E8370A"/>
    <w:rsid w:val="00E83E90"/>
    <w:rsid w:val="00E84274"/>
    <w:rsid w:val="00E84F24"/>
    <w:rsid w:val="00E85040"/>
    <w:rsid w:val="00E85658"/>
    <w:rsid w:val="00E85AD4"/>
    <w:rsid w:val="00E85DEF"/>
    <w:rsid w:val="00E868D4"/>
    <w:rsid w:val="00E87000"/>
    <w:rsid w:val="00E90B39"/>
    <w:rsid w:val="00E9157F"/>
    <w:rsid w:val="00E91777"/>
    <w:rsid w:val="00E931CC"/>
    <w:rsid w:val="00E93219"/>
    <w:rsid w:val="00E934AC"/>
    <w:rsid w:val="00E939BB"/>
    <w:rsid w:val="00E96C0C"/>
    <w:rsid w:val="00EA0F3D"/>
    <w:rsid w:val="00EA1FDE"/>
    <w:rsid w:val="00EA28DE"/>
    <w:rsid w:val="00EA2B98"/>
    <w:rsid w:val="00EA2E77"/>
    <w:rsid w:val="00EA2EC5"/>
    <w:rsid w:val="00EA361C"/>
    <w:rsid w:val="00EA387F"/>
    <w:rsid w:val="00EA5FCA"/>
    <w:rsid w:val="00EA69F4"/>
    <w:rsid w:val="00EA78D6"/>
    <w:rsid w:val="00EA7C2B"/>
    <w:rsid w:val="00EB0C9F"/>
    <w:rsid w:val="00EB2BAE"/>
    <w:rsid w:val="00EB2C28"/>
    <w:rsid w:val="00EB33CE"/>
    <w:rsid w:val="00EB58E2"/>
    <w:rsid w:val="00EB6F2E"/>
    <w:rsid w:val="00EB737C"/>
    <w:rsid w:val="00EB7A30"/>
    <w:rsid w:val="00EC0EE7"/>
    <w:rsid w:val="00EC42A9"/>
    <w:rsid w:val="00EC67B2"/>
    <w:rsid w:val="00EC68A2"/>
    <w:rsid w:val="00ED04A7"/>
    <w:rsid w:val="00ED0975"/>
    <w:rsid w:val="00ED14EC"/>
    <w:rsid w:val="00ED5462"/>
    <w:rsid w:val="00ED6A51"/>
    <w:rsid w:val="00ED70DB"/>
    <w:rsid w:val="00ED73D0"/>
    <w:rsid w:val="00EE017E"/>
    <w:rsid w:val="00EE1659"/>
    <w:rsid w:val="00EE1E92"/>
    <w:rsid w:val="00EE20DC"/>
    <w:rsid w:val="00EE447C"/>
    <w:rsid w:val="00EE697C"/>
    <w:rsid w:val="00EE7EC8"/>
    <w:rsid w:val="00EF19EA"/>
    <w:rsid w:val="00EF316D"/>
    <w:rsid w:val="00EF3F11"/>
    <w:rsid w:val="00EF4635"/>
    <w:rsid w:val="00EF5813"/>
    <w:rsid w:val="00EF60F2"/>
    <w:rsid w:val="00EF6C3D"/>
    <w:rsid w:val="00EF7F8E"/>
    <w:rsid w:val="00F01ABA"/>
    <w:rsid w:val="00F01C69"/>
    <w:rsid w:val="00F02262"/>
    <w:rsid w:val="00F03A16"/>
    <w:rsid w:val="00F0485A"/>
    <w:rsid w:val="00F04C4C"/>
    <w:rsid w:val="00F051BB"/>
    <w:rsid w:val="00F05282"/>
    <w:rsid w:val="00F05570"/>
    <w:rsid w:val="00F058B0"/>
    <w:rsid w:val="00F05F72"/>
    <w:rsid w:val="00F07B7C"/>
    <w:rsid w:val="00F115BB"/>
    <w:rsid w:val="00F12719"/>
    <w:rsid w:val="00F1372B"/>
    <w:rsid w:val="00F13C0F"/>
    <w:rsid w:val="00F1580B"/>
    <w:rsid w:val="00F15DE1"/>
    <w:rsid w:val="00F17B29"/>
    <w:rsid w:val="00F21208"/>
    <w:rsid w:val="00F22F80"/>
    <w:rsid w:val="00F23BDB"/>
    <w:rsid w:val="00F24D95"/>
    <w:rsid w:val="00F25B48"/>
    <w:rsid w:val="00F25FF7"/>
    <w:rsid w:val="00F26010"/>
    <w:rsid w:val="00F268C1"/>
    <w:rsid w:val="00F26987"/>
    <w:rsid w:val="00F30840"/>
    <w:rsid w:val="00F31274"/>
    <w:rsid w:val="00F317DC"/>
    <w:rsid w:val="00F31EE0"/>
    <w:rsid w:val="00F32648"/>
    <w:rsid w:val="00F33A89"/>
    <w:rsid w:val="00F34DDE"/>
    <w:rsid w:val="00F35277"/>
    <w:rsid w:val="00F35B7E"/>
    <w:rsid w:val="00F36148"/>
    <w:rsid w:val="00F3687C"/>
    <w:rsid w:val="00F37661"/>
    <w:rsid w:val="00F37F9F"/>
    <w:rsid w:val="00F4021B"/>
    <w:rsid w:val="00F402CA"/>
    <w:rsid w:val="00F407B3"/>
    <w:rsid w:val="00F43325"/>
    <w:rsid w:val="00F43699"/>
    <w:rsid w:val="00F4436B"/>
    <w:rsid w:val="00F461AF"/>
    <w:rsid w:val="00F468A4"/>
    <w:rsid w:val="00F468D2"/>
    <w:rsid w:val="00F46C79"/>
    <w:rsid w:val="00F47FAF"/>
    <w:rsid w:val="00F502F6"/>
    <w:rsid w:val="00F510BD"/>
    <w:rsid w:val="00F52091"/>
    <w:rsid w:val="00F53B67"/>
    <w:rsid w:val="00F53EC6"/>
    <w:rsid w:val="00F543B0"/>
    <w:rsid w:val="00F5452D"/>
    <w:rsid w:val="00F5599E"/>
    <w:rsid w:val="00F55CE9"/>
    <w:rsid w:val="00F55F3B"/>
    <w:rsid w:val="00F56142"/>
    <w:rsid w:val="00F56164"/>
    <w:rsid w:val="00F5718F"/>
    <w:rsid w:val="00F57DFA"/>
    <w:rsid w:val="00F605B4"/>
    <w:rsid w:val="00F61D3C"/>
    <w:rsid w:val="00F62928"/>
    <w:rsid w:val="00F6347C"/>
    <w:rsid w:val="00F647A1"/>
    <w:rsid w:val="00F64A68"/>
    <w:rsid w:val="00F64DCA"/>
    <w:rsid w:val="00F66352"/>
    <w:rsid w:val="00F665E2"/>
    <w:rsid w:val="00F66746"/>
    <w:rsid w:val="00F66F25"/>
    <w:rsid w:val="00F70293"/>
    <w:rsid w:val="00F7139D"/>
    <w:rsid w:val="00F7185A"/>
    <w:rsid w:val="00F72324"/>
    <w:rsid w:val="00F746BB"/>
    <w:rsid w:val="00F771E7"/>
    <w:rsid w:val="00F801C5"/>
    <w:rsid w:val="00F816CC"/>
    <w:rsid w:val="00F819FB"/>
    <w:rsid w:val="00F82697"/>
    <w:rsid w:val="00F84513"/>
    <w:rsid w:val="00F84678"/>
    <w:rsid w:val="00F84698"/>
    <w:rsid w:val="00F84BA5"/>
    <w:rsid w:val="00F86BEF"/>
    <w:rsid w:val="00F87570"/>
    <w:rsid w:val="00F91DF5"/>
    <w:rsid w:val="00F92164"/>
    <w:rsid w:val="00F93FFC"/>
    <w:rsid w:val="00F943F3"/>
    <w:rsid w:val="00F954DE"/>
    <w:rsid w:val="00F95B00"/>
    <w:rsid w:val="00F95C61"/>
    <w:rsid w:val="00F95F37"/>
    <w:rsid w:val="00F97055"/>
    <w:rsid w:val="00FA0568"/>
    <w:rsid w:val="00FA0D2F"/>
    <w:rsid w:val="00FA178D"/>
    <w:rsid w:val="00FA17BB"/>
    <w:rsid w:val="00FA2ECF"/>
    <w:rsid w:val="00FA34DA"/>
    <w:rsid w:val="00FA3A31"/>
    <w:rsid w:val="00FA563A"/>
    <w:rsid w:val="00FA5E4D"/>
    <w:rsid w:val="00FA6072"/>
    <w:rsid w:val="00FA622F"/>
    <w:rsid w:val="00FB1646"/>
    <w:rsid w:val="00FB1F9E"/>
    <w:rsid w:val="00FB259B"/>
    <w:rsid w:val="00FB26D1"/>
    <w:rsid w:val="00FB411A"/>
    <w:rsid w:val="00FB4894"/>
    <w:rsid w:val="00FB6112"/>
    <w:rsid w:val="00FB6FFE"/>
    <w:rsid w:val="00FB71C3"/>
    <w:rsid w:val="00FB74A6"/>
    <w:rsid w:val="00FB7BB3"/>
    <w:rsid w:val="00FB7C65"/>
    <w:rsid w:val="00FC0314"/>
    <w:rsid w:val="00FC0D89"/>
    <w:rsid w:val="00FC3F42"/>
    <w:rsid w:val="00FC3FB8"/>
    <w:rsid w:val="00FC4790"/>
    <w:rsid w:val="00FC4ABE"/>
    <w:rsid w:val="00FC5435"/>
    <w:rsid w:val="00FC5965"/>
    <w:rsid w:val="00FC5F38"/>
    <w:rsid w:val="00FC7DF4"/>
    <w:rsid w:val="00FD0567"/>
    <w:rsid w:val="00FD089C"/>
    <w:rsid w:val="00FD09D1"/>
    <w:rsid w:val="00FD2124"/>
    <w:rsid w:val="00FD2A83"/>
    <w:rsid w:val="00FD4480"/>
    <w:rsid w:val="00FD4633"/>
    <w:rsid w:val="00FD527B"/>
    <w:rsid w:val="00FD5A47"/>
    <w:rsid w:val="00FD5E36"/>
    <w:rsid w:val="00FE0790"/>
    <w:rsid w:val="00FE0AD1"/>
    <w:rsid w:val="00FE179E"/>
    <w:rsid w:val="00FE2E50"/>
    <w:rsid w:val="00FE2FBB"/>
    <w:rsid w:val="00FE49AD"/>
    <w:rsid w:val="00FE4EA2"/>
    <w:rsid w:val="00FE4EC2"/>
    <w:rsid w:val="00FE50FF"/>
    <w:rsid w:val="00FE513C"/>
    <w:rsid w:val="00FE5922"/>
    <w:rsid w:val="00FE5A9E"/>
    <w:rsid w:val="00FE5C33"/>
    <w:rsid w:val="00FE6B37"/>
    <w:rsid w:val="00FE6C40"/>
    <w:rsid w:val="00FE6CB9"/>
    <w:rsid w:val="00FE7B48"/>
    <w:rsid w:val="00FF03D4"/>
    <w:rsid w:val="00FF1EB4"/>
    <w:rsid w:val="00FF22D9"/>
    <w:rsid w:val="00FF286F"/>
    <w:rsid w:val="00FF2FF2"/>
    <w:rsid w:val="00FF364D"/>
    <w:rsid w:val="00FF39CB"/>
    <w:rsid w:val="00FF498F"/>
    <w:rsid w:val="00FF65E1"/>
    <w:rsid w:val="00FF6F2F"/>
    <w:rsid w:val="00FF75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rules v:ext="edit">
        <o:r id="V:Rule1" type="connector" idref="#AutoShap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132"/>
  </w:style>
  <w:style w:type="paragraph" w:styleId="Titlu1">
    <w:name w:val="heading 1"/>
    <w:basedOn w:val="Normal"/>
    <w:next w:val="Normal"/>
    <w:qFormat/>
    <w:rsid w:val="002C56E8"/>
    <w:pPr>
      <w:keepNext/>
      <w:widowControl w:val="0"/>
      <w:outlineLvl w:val="0"/>
    </w:pPr>
    <w:rPr>
      <w:b/>
      <w:snapToGrid w:val="0"/>
      <w:sz w:val="24"/>
    </w:rPr>
  </w:style>
  <w:style w:type="paragraph" w:styleId="Titlu2">
    <w:name w:val="heading 2"/>
    <w:aliases w:val="a Titlu 2"/>
    <w:basedOn w:val="Normal"/>
    <w:next w:val="Normal"/>
    <w:qFormat/>
    <w:rsid w:val="00F746BB"/>
    <w:pPr>
      <w:keepNext/>
      <w:ind w:right="202"/>
      <w:outlineLvl w:val="1"/>
    </w:pPr>
    <w:rPr>
      <w:b/>
      <w:bCs/>
      <w:noProof/>
      <w:sz w:val="32"/>
      <w:szCs w:val="24"/>
    </w:rPr>
  </w:style>
  <w:style w:type="paragraph" w:styleId="Titlu3">
    <w:name w:val="heading 3"/>
    <w:basedOn w:val="Normal"/>
    <w:next w:val="Normal"/>
    <w:qFormat/>
    <w:rsid w:val="00F746BB"/>
    <w:pPr>
      <w:keepNext/>
      <w:outlineLvl w:val="2"/>
    </w:pPr>
    <w:rPr>
      <w:rFonts w:ascii="Arial" w:hAnsi="Arial" w:cs="Arial"/>
      <w:b/>
      <w:sz w:val="22"/>
      <w:szCs w:val="24"/>
      <w:lang w:val="ro-RO"/>
    </w:rPr>
  </w:style>
  <w:style w:type="paragraph" w:styleId="Titlu4">
    <w:name w:val="heading 4"/>
    <w:basedOn w:val="Normal"/>
    <w:next w:val="Normal"/>
    <w:qFormat/>
    <w:rsid w:val="00F746BB"/>
    <w:pPr>
      <w:keepNext/>
      <w:spacing w:before="240" w:after="60"/>
      <w:outlineLvl w:val="3"/>
    </w:pPr>
    <w:rPr>
      <w:b/>
      <w:bCs/>
      <w:sz w:val="28"/>
      <w:szCs w:val="28"/>
    </w:rPr>
  </w:style>
  <w:style w:type="paragraph" w:styleId="Titlu5">
    <w:name w:val="heading 5"/>
    <w:basedOn w:val="Normal"/>
    <w:next w:val="Normal"/>
    <w:qFormat/>
    <w:rsid w:val="00F746BB"/>
    <w:pPr>
      <w:spacing w:before="240" w:after="60"/>
      <w:outlineLvl w:val="4"/>
    </w:pPr>
    <w:rPr>
      <w:b/>
      <w:bCs/>
      <w:i/>
      <w:iCs/>
      <w:sz w:val="26"/>
      <w:szCs w:val="26"/>
    </w:rPr>
  </w:style>
  <w:style w:type="paragraph" w:styleId="Titlu6">
    <w:name w:val="heading 6"/>
    <w:basedOn w:val="Normal"/>
    <w:next w:val="Normal"/>
    <w:qFormat/>
    <w:rsid w:val="00F746BB"/>
    <w:pPr>
      <w:keepNext/>
      <w:ind w:firstLine="708"/>
      <w:jc w:val="both"/>
      <w:outlineLvl w:val="5"/>
    </w:pPr>
    <w:rPr>
      <w:rFonts w:ascii="Arial" w:hAnsi="Arial" w:cs="Arial"/>
      <w:b/>
      <w:bCs/>
      <w:i/>
      <w:iCs/>
      <w:sz w:val="24"/>
      <w:szCs w:val="24"/>
      <w:lang w:val="ro-RO" w:eastAsia="ro-RO"/>
    </w:rPr>
  </w:style>
  <w:style w:type="paragraph" w:styleId="Titlu7">
    <w:name w:val="heading 7"/>
    <w:basedOn w:val="Normal"/>
    <w:next w:val="Normal"/>
    <w:qFormat/>
    <w:rsid w:val="00F746BB"/>
    <w:pPr>
      <w:spacing w:before="240" w:after="60"/>
      <w:outlineLvl w:val="6"/>
    </w:pPr>
    <w:rPr>
      <w:sz w:val="24"/>
      <w:szCs w:val="24"/>
    </w:rPr>
  </w:style>
  <w:style w:type="paragraph" w:styleId="Titlu8">
    <w:name w:val="heading 8"/>
    <w:basedOn w:val="Normal"/>
    <w:next w:val="Normal"/>
    <w:qFormat/>
    <w:rsid w:val="00F746BB"/>
    <w:pPr>
      <w:keepNext/>
      <w:shd w:val="clear" w:color="auto" w:fill="FFFFFF"/>
      <w:ind w:left="10" w:right="12" w:firstLine="698"/>
      <w:jc w:val="both"/>
      <w:outlineLvl w:val="7"/>
    </w:pPr>
    <w:rPr>
      <w:rFonts w:ascii="Arial" w:hAnsi="Arial" w:cs="Arial"/>
      <w:b/>
      <w:bCs/>
      <w:i/>
      <w:iCs/>
      <w:color w:val="000000"/>
      <w:spacing w:val="-4"/>
      <w:sz w:val="24"/>
      <w:szCs w:val="24"/>
      <w:lang w:val="ro-RO" w:eastAsia="ro-RO"/>
    </w:rPr>
  </w:style>
  <w:style w:type="paragraph" w:styleId="Titlu9">
    <w:name w:val="heading 9"/>
    <w:basedOn w:val="Normal"/>
    <w:next w:val="Normal"/>
    <w:qFormat/>
    <w:rsid w:val="00F746BB"/>
    <w:pPr>
      <w:keepNext/>
      <w:shd w:val="clear" w:color="auto" w:fill="FFFFFF"/>
      <w:ind w:left="7"/>
      <w:jc w:val="center"/>
      <w:outlineLvl w:val="8"/>
    </w:pPr>
    <w:rPr>
      <w:rFonts w:ascii="Arial" w:hAnsi="Arial" w:cs="Arial"/>
      <w:b/>
      <w:bCs/>
      <w:i/>
      <w:iCs/>
      <w:color w:val="000000"/>
      <w:spacing w:val="-3"/>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045BA3"/>
    <w:rPr>
      <w:sz w:val="24"/>
      <w:szCs w:val="24"/>
      <w:lang w:val="pl-PL" w:eastAsia="pl-PL"/>
    </w:rPr>
  </w:style>
  <w:style w:type="paragraph" w:styleId="Antet">
    <w:name w:val="header"/>
    <w:basedOn w:val="Normal"/>
    <w:link w:val="AntetCaracter"/>
    <w:uiPriority w:val="99"/>
    <w:rsid w:val="002C56E8"/>
    <w:pPr>
      <w:tabs>
        <w:tab w:val="center" w:pos="4320"/>
        <w:tab w:val="right" w:pos="8640"/>
      </w:tabs>
    </w:pPr>
  </w:style>
  <w:style w:type="paragraph" w:styleId="Subsol">
    <w:name w:val="footer"/>
    <w:basedOn w:val="Normal"/>
    <w:link w:val="SubsolCaracter"/>
    <w:uiPriority w:val="99"/>
    <w:rsid w:val="002C56E8"/>
    <w:pPr>
      <w:tabs>
        <w:tab w:val="center" w:pos="4320"/>
        <w:tab w:val="right" w:pos="8640"/>
      </w:tabs>
    </w:pPr>
  </w:style>
  <w:style w:type="character" w:styleId="Numrdepagin">
    <w:name w:val="page number"/>
    <w:basedOn w:val="Fontdeparagrafimplicit"/>
    <w:rsid w:val="00553F15"/>
  </w:style>
  <w:style w:type="paragraph" w:styleId="NormalWeb">
    <w:name w:val="Normal (Web)"/>
    <w:basedOn w:val="Normal"/>
    <w:rsid w:val="00F746BB"/>
    <w:pPr>
      <w:spacing w:before="100" w:beforeAutospacing="1" w:after="100" w:afterAutospacing="1"/>
    </w:pPr>
    <w:rPr>
      <w:rFonts w:ascii="Arial Unicode MS" w:eastAsia="Arial Unicode MS" w:hAnsi="Arial Unicode MS" w:cs="Arial Unicode MS"/>
      <w:sz w:val="24"/>
      <w:szCs w:val="24"/>
      <w:lang w:val="ro-RO" w:eastAsia="ro-RO"/>
    </w:rPr>
  </w:style>
  <w:style w:type="paragraph" w:styleId="Indentcorptext">
    <w:name w:val="Body Text Indent"/>
    <w:basedOn w:val="Normal"/>
    <w:rsid w:val="00F746BB"/>
    <w:pPr>
      <w:ind w:firstLine="720"/>
      <w:jc w:val="both"/>
    </w:pPr>
    <w:rPr>
      <w:sz w:val="24"/>
      <w:szCs w:val="24"/>
      <w:lang w:val="ro-RO"/>
    </w:rPr>
  </w:style>
  <w:style w:type="paragraph" w:styleId="Corptext">
    <w:name w:val="Body Text"/>
    <w:aliases w:val="Body Text Char"/>
    <w:basedOn w:val="Normal"/>
    <w:rsid w:val="00F746BB"/>
    <w:pPr>
      <w:jc w:val="both"/>
    </w:pPr>
    <w:rPr>
      <w:sz w:val="24"/>
      <w:szCs w:val="24"/>
      <w:lang w:val="ro-RO"/>
    </w:rPr>
  </w:style>
  <w:style w:type="paragraph" w:styleId="Indentcorptext2">
    <w:name w:val="Body Text Indent 2"/>
    <w:basedOn w:val="Normal"/>
    <w:rsid w:val="00F746BB"/>
    <w:pPr>
      <w:ind w:firstLine="720"/>
      <w:jc w:val="both"/>
    </w:pPr>
    <w:rPr>
      <w:sz w:val="22"/>
      <w:lang w:eastAsia="ro-RO"/>
    </w:rPr>
  </w:style>
  <w:style w:type="paragraph" w:styleId="Corptext2">
    <w:name w:val="Body Text 2"/>
    <w:basedOn w:val="Normal"/>
    <w:rsid w:val="00F746BB"/>
    <w:rPr>
      <w:color w:val="FF0000"/>
      <w:sz w:val="24"/>
      <w:szCs w:val="24"/>
      <w:lang w:val="ro-RO"/>
    </w:rPr>
  </w:style>
  <w:style w:type="paragraph" w:styleId="Corptext3">
    <w:name w:val="Body Text 3"/>
    <w:basedOn w:val="Normal"/>
    <w:rsid w:val="00F746BB"/>
    <w:pPr>
      <w:jc w:val="both"/>
    </w:pPr>
    <w:rPr>
      <w:rFonts w:ascii="Arial" w:hAnsi="Arial" w:cs="Arial"/>
      <w:bCs/>
      <w:color w:val="000000"/>
      <w:sz w:val="24"/>
      <w:szCs w:val="24"/>
      <w:lang w:val="ro-RO"/>
    </w:rPr>
  </w:style>
  <w:style w:type="paragraph" w:styleId="Indentcorptext3">
    <w:name w:val="Body Text Indent 3"/>
    <w:basedOn w:val="Normal"/>
    <w:rsid w:val="00F746BB"/>
    <w:pPr>
      <w:ind w:firstLine="720"/>
      <w:jc w:val="both"/>
    </w:pPr>
    <w:rPr>
      <w:rFonts w:ascii="Arial" w:hAnsi="Arial" w:cs="Arial"/>
      <w:bCs/>
      <w:color w:val="000000"/>
      <w:sz w:val="24"/>
      <w:szCs w:val="24"/>
      <w:lang w:val="ro-RO"/>
    </w:rPr>
  </w:style>
  <w:style w:type="character" w:customStyle="1" w:styleId="cap">
    <w:name w:val="cap"/>
    <w:rsid w:val="00F746BB"/>
    <w:rPr>
      <w:b/>
      <w:sz w:val="32"/>
    </w:rPr>
  </w:style>
  <w:style w:type="paragraph" w:customStyle="1" w:styleId="bul1">
    <w:name w:val="bul1"/>
    <w:basedOn w:val="Normal"/>
    <w:rsid w:val="00F746BB"/>
    <w:pPr>
      <w:numPr>
        <w:numId w:val="1"/>
      </w:numPr>
      <w:tabs>
        <w:tab w:val="left" w:pos="567"/>
      </w:tabs>
      <w:spacing w:after="60"/>
      <w:jc w:val="both"/>
    </w:pPr>
    <w:rPr>
      <w:rFonts w:ascii="Arial" w:hAnsi="Arial"/>
      <w:sz w:val="19"/>
      <w:szCs w:val="24"/>
    </w:rPr>
  </w:style>
  <w:style w:type="paragraph" w:customStyle="1" w:styleId="bul2">
    <w:name w:val="bul2"/>
    <w:basedOn w:val="Normal"/>
    <w:rsid w:val="00F746BB"/>
    <w:pPr>
      <w:tabs>
        <w:tab w:val="left" w:pos="851"/>
      </w:tabs>
      <w:spacing w:after="60"/>
      <w:ind w:left="851" w:hanging="284"/>
      <w:jc w:val="both"/>
    </w:pPr>
    <w:rPr>
      <w:rFonts w:ascii="Arial" w:hAnsi="Arial"/>
      <w:sz w:val="19"/>
      <w:szCs w:val="24"/>
    </w:rPr>
  </w:style>
  <w:style w:type="paragraph" w:styleId="Subtitlu">
    <w:name w:val="Subtitle"/>
    <w:basedOn w:val="Normal"/>
    <w:qFormat/>
    <w:rsid w:val="00F746BB"/>
    <w:pPr>
      <w:jc w:val="center"/>
    </w:pPr>
    <w:rPr>
      <w:b/>
      <w:i/>
      <w:sz w:val="32"/>
      <w:szCs w:val="24"/>
    </w:rPr>
  </w:style>
  <w:style w:type="paragraph" w:customStyle="1" w:styleId="WW-Corptext3">
    <w:name w:val="WW-Corp text 3"/>
    <w:basedOn w:val="Normal"/>
    <w:rsid w:val="00F746BB"/>
    <w:pPr>
      <w:suppressAutoHyphens/>
      <w:jc w:val="center"/>
    </w:pPr>
    <w:rPr>
      <w:b/>
      <w:sz w:val="24"/>
      <w:szCs w:val="24"/>
      <w:lang w:val="ro-RO"/>
    </w:rPr>
  </w:style>
  <w:style w:type="paragraph" w:customStyle="1" w:styleId="WW-Corptext2">
    <w:name w:val="WW-Corp text 2"/>
    <w:basedOn w:val="Normal"/>
    <w:rsid w:val="00F746BB"/>
    <w:pPr>
      <w:suppressAutoHyphens/>
      <w:jc w:val="center"/>
    </w:pPr>
    <w:rPr>
      <w:sz w:val="24"/>
      <w:szCs w:val="24"/>
      <w:lang w:val="ro-RO"/>
    </w:rPr>
  </w:style>
  <w:style w:type="paragraph" w:styleId="Titlu">
    <w:name w:val="Title"/>
    <w:basedOn w:val="Normal"/>
    <w:next w:val="Subtitlu"/>
    <w:qFormat/>
    <w:rsid w:val="00F746BB"/>
    <w:pPr>
      <w:suppressAutoHyphens/>
      <w:jc w:val="center"/>
    </w:pPr>
    <w:rPr>
      <w:b/>
      <w:sz w:val="24"/>
      <w:szCs w:val="24"/>
      <w:lang w:val="ro-RO"/>
    </w:rPr>
  </w:style>
  <w:style w:type="table" w:styleId="TabelWeb2">
    <w:name w:val="Table Web 2"/>
    <w:basedOn w:val="TabelNormal"/>
    <w:rsid w:val="00A84C6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A84C65"/>
    <w:pPr>
      <w:suppressAutoHyphens/>
      <w:spacing w:before="280" w:after="280"/>
    </w:pPr>
    <w:rPr>
      <w:rFonts w:ascii="Arial Unicode MS" w:eastAsia="Arial Unicode MS" w:hAnsi="Arial Unicode MS" w:cs="Arial Unicode MS"/>
      <w:sz w:val="24"/>
      <w:szCs w:val="24"/>
      <w:lang w:val="ro-RO" w:eastAsia="ar-SA"/>
    </w:rPr>
  </w:style>
  <w:style w:type="paragraph" w:customStyle="1" w:styleId="AAAA">
    <w:name w:val="AAAA"/>
    <w:basedOn w:val="Normal"/>
    <w:rsid w:val="00A84C65"/>
    <w:pPr>
      <w:widowControl w:val="0"/>
      <w:numPr>
        <w:ilvl w:val="12"/>
      </w:numPr>
      <w:spacing w:before="240" w:line="276" w:lineRule="auto"/>
      <w:ind w:left="1080"/>
      <w:jc w:val="both"/>
    </w:pPr>
    <w:rPr>
      <w:rFonts w:ascii="Arial" w:hAnsi="Arial" w:cs="Arial"/>
      <w:sz w:val="23"/>
      <w:szCs w:val="28"/>
      <w:lang w:val="ro-RO"/>
    </w:rPr>
  </w:style>
  <w:style w:type="paragraph" w:styleId="Legend">
    <w:name w:val="caption"/>
    <w:basedOn w:val="Normal"/>
    <w:next w:val="Normal"/>
    <w:qFormat/>
    <w:rsid w:val="00A84C65"/>
    <w:pPr>
      <w:spacing w:before="120" w:after="120"/>
    </w:pPr>
    <w:rPr>
      <w:b/>
      <w:bCs/>
      <w:lang w:val="ro-RO" w:eastAsia="ro-RO"/>
    </w:rPr>
  </w:style>
  <w:style w:type="paragraph" w:customStyle="1" w:styleId="Titlu51">
    <w:name w:val="Titlu 51"/>
    <w:basedOn w:val="Normal"/>
    <w:rsid w:val="007B7AA0"/>
    <w:pPr>
      <w:tabs>
        <w:tab w:val="num" w:pos="1008"/>
      </w:tabs>
      <w:ind w:left="1008" w:hanging="1008"/>
    </w:pPr>
    <w:rPr>
      <w:sz w:val="24"/>
      <w:szCs w:val="24"/>
      <w:lang w:val="ro-RO" w:eastAsia="ro-RO"/>
    </w:rPr>
  </w:style>
  <w:style w:type="paragraph" w:customStyle="1" w:styleId="Antet1">
    <w:name w:val="Antet1"/>
    <w:basedOn w:val="Normal"/>
    <w:next w:val="Normal"/>
    <w:rsid w:val="007B7AA0"/>
    <w:pPr>
      <w:autoSpaceDE w:val="0"/>
      <w:autoSpaceDN w:val="0"/>
      <w:adjustRightInd w:val="0"/>
    </w:pPr>
    <w:rPr>
      <w:rFonts w:ascii="Arial" w:hAnsi="Arial"/>
      <w:sz w:val="24"/>
      <w:szCs w:val="24"/>
      <w:lang w:val="ro-RO" w:eastAsia="ro-RO"/>
    </w:rPr>
  </w:style>
  <w:style w:type="table" w:styleId="GrilTabel">
    <w:name w:val="Table Grid"/>
    <w:basedOn w:val="TabelNormal"/>
    <w:rsid w:val="007B7A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Corecie">
    <w:name w:val="AutoCorecţie"/>
    <w:rsid w:val="008F0035"/>
    <w:rPr>
      <w:sz w:val="24"/>
      <w:szCs w:val="24"/>
      <w:lang w:val="ro-RO" w:eastAsia="ro-RO"/>
    </w:rPr>
  </w:style>
  <w:style w:type="paragraph" w:customStyle="1" w:styleId="BodyText21">
    <w:name w:val="Body Text 21"/>
    <w:basedOn w:val="Normal"/>
    <w:rsid w:val="008F0035"/>
    <w:pPr>
      <w:widowControl w:val="0"/>
      <w:snapToGrid w:val="0"/>
      <w:jc w:val="both"/>
    </w:pPr>
    <w:rPr>
      <w:sz w:val="24"/>
      <w:szCs w:val="24"/>
    </w:rPr>
  </w:style>
  <w:style w:type="character" w:customStyle="1" w:styleId="ln2paragraf1">
    <w:name w:val="ln2paragraf1"/>
    <w:rsid w:val="00B659EB"/>
    <w:rPr>
      <w:b/>
      <w:bCs/>
    </w:rPr>
  </w:style>
  <w:style w:type="character" w:customStyle="1" w:styleId="ln2tparagraf">
    <w:name w:val="ln2tparagraf"/>
    <w:basedOn w:val="Fontdeparagrafimplicit"/>
    <w:rsid w:val="00B659EB"/>
  </w:style>
  <w:style w:type="character" w:styleId="Hyperlink">
    <w:name w:val="Hyperlink"/>
    <w:rsid w:val="00B659EB"/>
    <w:rPr>
      <w:strike w:val="0"/>
      <w:dstrike w:val="0"/>
      <w:color w:val="000066"/>
      <w:u w:val="none"/>
      <w:effect w:val="none"/>
    </w:rPr>
  </w:style>
  <w:style w:type="character" w:customStyle="1" w:styleId="ln2tpunct">
    <w:name w:val="ln2tpunct"/>
    <w:basedOn w:val="Fontdeparagrafimplicit"/>
    <w:rsid w:val="00B659EB"/>
  </w:style>
  <w:style w:type="character" w:customStyle="1" w:styleId="ln2punct1">
    <w:name w:val="ln2punct1"/>
    <w:rsid w:val="00252B7A"/>
    <w:rPr>
      <w:b/>
      <w:bCs/>
      <w:color w:val="008F00"/>
    </w:rPr>
  </w:style>
  <w:style w:type="paragraph" w:customStyle="1" w:styleId="CaracterCaracter1CharCharCaracterCaracterCharChar">
    <w:name w:val="Caracter Caracter1 Char Char Caracter Caracter Char Char"/>
    <w:basedOn w:val="Normal"/>
    <w:rsid w:val="00B26BE2"/>
    <w:rPr>
      <w:sz w:val="24"/>
      <w:szCs w:val="24"/>
      <w:lang w:val="pl-PL" w:eastAsia="pl-PL"/>
    </w:rPr>
  </w:style>
  <w:style w:type="paragraph" w:customStyle="1" w:styleId="CaracterCaracter1CharCharCaracterCaracter">
    <w:name w:val="Caracter Caracter1 Char Char Caracter Caracter"/>
    <w:basedOn w:val="Normal"/>
    <w:rsid w:val="00E623D6"/>
    <w:rPr>
      <w:sz w:val="24"/>
      <w:szCs w:val="24"/>
      <w:lang w:val="pl-PL" w:eastAsia="pl-PL"/>
    </w:rPr>
  </w:style>
  <w:style w:type="paragraph" w:customStyle="1" w:styleId="CaracterCaracter">
    <w:name w:val="Caracter Caracter"/>
    <w:basedOn w:val="Normal"/>
    <w:rsid w:val="007E20C8"/>
    <w:rPr>
      <w:sz w:val="24"/>
      <w:szCs w:val="24"/>
      <w:lang w:val="pl-PL" w:eastAsia="pl-PL"/>
    </w:rPr>
  </w:style>
  <w:style w:type="paragraph" w:customStyle="1" w:styleId="CaracterCaracterCharCharCaracterCaracter">
    <w:name w:val="Caracter Caracter Char Char Caracter Caracter"/>
    <w:basedOn w:val="Normal"/>
    <w:rsid w:val="007E20C8"/>
    <w:rPr>
      <w:sz w:val="24"/>
      <w:szCs w:val="24"/>
      <w:lang w:val="pl-PL" w:eastAsia="pl-PL"/>
    </w:rPr>
  </w:style>
  <w:style w:type="paragraph" w:customStyle="1" w:styleId="CaracterCaracterCharCharCaracterCaracter0">
    <w:name w:val="Caracter Caracter Char Char Caracter Caracter"/>
    <w:basedOn w:val="Normal"/>
    <w:rsid w:val="007E20C8"/>
    <w:rPr>
      <w:sz w:val="24"/>
      <w:szCs w:val="24"/>
      <w:lang w:val="pl-PL" w:eastAsia="pl-PL"/>
    </w:rPr>
  </w:style>
  <w:style w:type="character" w:styleId="Robust">
    <w:name w:val="Strong"/>
    <w:qFormat/>
    <w:rsid w:val="007E20C8"/>
    <w:rPr>
      <w:b/>
      <w:bCs/>
    </w:rPr>
  </w:style>
  <w:style w:type="paragraph" w:customStyle="1" w:styleId="CaracterCaracter1">
    <w:name w:val="Caracter Caracter1"/>
    <w:basedOn w:val="Normal"/>
    <w:rsid w:val="00D13F77"/>
    <w:rPr>
      <w:sz w:val="24"/>
      <w:szCs w:val="24"/>
      <w:lang w:val="pl-PL" w:eastAsia="pl-PL"/>
    </w:rPr>
  </w:style>
  <w:style w:type="paragraph" w:customStyle="1" w:styleId="CaracterCharCharCaracter">
    <w:name w:val="Caracter Char Char Caracter"/>
    <w:basedOn w:val="Normal"/>
    <w:rsid w:val="00D13F77"/>
    <w:rPr>
      <w:sz w:val="24"/>
      <w:szCs w:val="24"/>
      <w:lang w:val="pl-PL" w:eastAsia="pl-PL"/>
    </w:rPr>
  </w:style>
  <w:style w:type="table" w:styleId="Temtabel">
    <w:name w:val="Table Theme"/>
    <w:basedOn w:val="TabelNormal"/>
    <w:rsid w:val="00D1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0">
    <w:name w:val="Caracter Caracter"/>
    <w:basedOn w:val="Normal"/>
    <w:rsid w:val="00D13F77"/>
    <w:rPr>
      <w:sz w:val="24"/>
      <w:szCs w:val="24"/>
      <w:lang w:val="pl-PL" w:eastAsia="pl-PL"/>
    </w:rPr>
  </w:style>
  <w:style w:type="paragraph" w:customStyle="1" w:styleId="CharCharCharChar">
    <w:name w:val="Char Char Char Char"/>
    <w:basedOn w:val="Normal"/>
    <w:rsid w:val="009D3E66"/>
    <w:rPr>
      <w:sz w:val="24"/>
      <w:szCs w:val="24"/>
      <w:lang w:val="pl-PL" w:eastAsia="pl-PL"/>
    </w:rPr>
  </w:style>
  <w:style w:type="paragraph" w:styleId="Plandocument">
    <w:name w:val="Document Map"/>
    <w:basedOn w:val="Normal"/>
    <w:semiHidden/>
    <w:rsid w:val="0022287B"/>
    <w:pPr>
      <w:shd w:val="clear" w:color="auto" w:fill="000080"/>
    </w:pPr>
    <w:rPr>
      <w:rFonts w:ascii="Tahoma" w:hAnsi="Tahoma" w:cs="Tahoma"/>
    </w:rPr>
  </w:style>
  <w:style w:type="paragraph" w:customStyle="1" w:styleId="CaracterCaracter2">
    <w:name w:val="Caracter Caracter2"/>
    <w:basedOn w:val="Normal"/>
    <w:rsid w:val="00C404E9"/>
    <w:rPr>
      <w:sz w:val="24"/>
      <w:szCs w:val="24"/>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B205C9"/>
    <w:rPr>
      <w:sz w:val="24"/>
      <w:szCs w:val="24"/>
      <w:lang w:val="pl-PL" w:eastAsia="pl-PL"/>
    </w:rPr>
  </w:style>
  <w:style w:type="character" w:customStyle="1" w:styleId="tli1">
    <w:name w:val="tli1"/>
    <w:basedOn w:val="Fontdeparagrafimplicit"/>
    <w:rsid w:val="001F1006"/>
  </w:style>
  <w:style w:type="paragraph" w:customStyle="1" w:styleId="Style1">
    <w:name w:val="Style1"/>
    <w:basedOn w:val="Normal"/>
    <w:rsid w:val="001F1006"/>
    <w:rPr>
      <w:b/>
      <w:bCs/>
      <w:caps/>
      <w:sz w:val="24"/>
    </w:rPr>
  </w:style>
  <w:style w:type="character" w:customStyle="1" w:styleId="do1">
    <w:name w:val="do1"/>
    <w:rsid w:val="00B04741"/>
    <w:rPr>
      <w:b/>
      <w:bCs/>
      <w:sz w:val="26"/>
      <w:szCs w:val="26"/>
    </w:rPr>
  </w:style>
  <w:style w:type="paragraph" w:customStyle="1" w:styleId="CharCaracterCaracterCharCaracterCaracterCharChar">
    <w:name w:val="Char Caracter Caracter Char Caracter Caracter Char Char"/>
    <w:basedOn w:val="Normal"/>
    <w:rsid w:val="003C7DDF"/>
    <w:rPr>
      <w:sz w:val="24"/>
      <w:szCs w:val="24"/>
      <w:lang w:val="pl-PL" w:eastAsia="pl-PL"/>
    </w:rPr>
  </w:style>
  <w:style w:type="paragraph" w:customStyle="1" w:styleId="CaracterCaracter1CharCharCaracterCaracterCharCharCaracterCaracter">
    <w:name w:val="Caracter Caracter1 Char Char Caracter Caracter Char Char Caracter Caracter"/>
    <w:basedOn w:val="Normal"/>
    <w:rsid w:val="00FD089C"/>
    <w:rPr>
      <w:sz w:val="24"/>
      <w:szCs w:val="24"/>
      <w:lang w:val="pl-PL" w:eastAsia="pl-PL"/>
    </w:rPr>
  </w:style>
  <w:style w:type="character" w:customStyle="1" w:styleId="txtoug1">
    <w:name w:val="txtoug1"/>
    <w:rsid w:val="00B15B97"/>
    <w:rPr>
      <w:rFonts w:ascii="Arial" w:hAnsi="Arial" w:cs="Arial" w:hint="default"/>
      <w:i/>
      <w:iCs/>
      <w:color w:val="0000FF"/>
      <w:sz w:val="18"/>
      <w:szCs w:val="18"/>
    </w:rPr>
  </w:style>
  <w:style w:type="character" w:customStyle="1" w:styleId="ln2tlitera">
    <w:name w:val="ln2tlitera"/>
    <w:basedOn w:val="Fontdeparagrafimplicit"/>
    <w:rsid w:val="00410A65"/>
  </w:style>
  <w:style w:type="paragraph" w:customStyle="1" w:styleId="CaracterCaracter1CharCharCaracterCharCharCaracterCaracter">
    <w:name w:val="Caracter Caracter1 Char Char Caracter Char Char Caracter Caracter"/>
    <w:basedOn w:val="Normal"/>
    <w:rsid w:val="008B1650"/>
    <w:rPr>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6166A3"/>
    <w:rPr>
      <w:sz w:val="24"/>
      <w:szCs w:val="24"/>
      <w:lang w:val="pl-PL" w:eastAsia="pl-PL"/>
    </w:rPr>
  </w:style>
  <w:style w:type="paragraph" w:customStyle="1" w:styleId="CaracterCharCharCaracterCaracter">
    <w:name w:val="Caracter Char Char Caracter Caracter"/>
    <w:basedOn w:val="Normal"/>
    <w:rsid w:val="004C3BB2"/>
    <w:rPr>
      <w:sz w:val="24"/>
      <w:szCs w:val="24"/>
      <w:lang w:val="pl-PL" w:eastAsia="pl-PL"/>
    </w:rPr>
  </w:style>
  <w:style w:type="paragraph" w:customStyle="1" w:styleId="CharChar">
    <w:name w:val="Char Char"/>
    <w:basedOn w:val="Normal"/>
    <w:rsid w:val="00FF2FF2"/>
    <w:rPr>
      <w:sz w:val="24"/>
      <w:szCs w:val="24"/>
      <w:lang w:val="pl-PL" w:eastAsia="pl-PL"/>
    </w:rPr>
  </w:style>
  <w:style w:type="character" w:customStyle="1" w:styleId="tpa1">
    <w:name w:val="tpa1"/>
    <w:basedOn w:val="Fontdeparagrafimplicit"/>
    <w:rsid w:val="007F4C3B"/>
  </w:style>
  <w:style w:type="character" w:customStyle="1" w:styleId="pt1">
    <w:name w:val="pt1"/>
    <w:rsid w:val="007F4C3B"/>
    <w:rPr>
      <w:b/>
      <w:bCs/>
      <w:color w:val="8F0000"/>
    </w:rPr>
  </w:style>
  <w:style w:type="character" w:customStyle="1" w:styleId="tpt1">
    <w:name w:val="tpt1"/>
    <w:basedOn w:val="Fontdeparagrafimplicit"/>
    <w:rsid w:val="007F4C3B"/>
  </w:style>
  <w:style w:type="paragraph" w:customStyle="1" w:styleId="CharChar1CaracterCaracter">
    <w:name w:val="Char Char1 Caracter Caracter"/>
    <w:basedOn w:val="Normal"/>
    <w:rsid w:val="0062421A"/>
    <w:rPr>
      <w:sz w:val="24"/>
      <w:szCs w:val="24"/>
      <w:lang w:val="pl-PL" w:eastAsia="pl-PL"/>
    </w:rPr>
  </w:style>
  <w:style w:type="paragraph" w:customStyle="1" w:styleId="CaracterCaracterCharCharCaracterCaracterCharCharCaracterCaracter">
    <w:name w:val="Caracter Caracter Char Char Caracter Caracter Char Char Caracter Caracter"/>
    <w:basedOn w:val="Normal"/>
    <w:rsid w:val="004E21EF"/>
    <w:rPr>
      <w:sz w:val="24"/>
      <w:szCs w:val="24"/>
      <w:lang w:val="pl-PL" w:eastAsia="pl-PL"/>
    </w:rPr>
  </w:style>
  <w:style w:type="paragraph" w:customStyle="1" w:styleId="CharCharCaracterCaracter">
    <w:name w:val="Char Char Caracter Caracter"/>
    <w:basedOn w:val="Normal"/>
    <w:rsid w:val="00291AC2"/>
    <w:rPr>
      <w:sz w:val="24"/>
      <w:szCs w:val="24"/>
      <w:lang w:val="pl-PL" w:eastAsia="pl-PL"/>
    </w:rPr>
  </w:style>
  <w:style w:type="character" w:customStyle="1" w:styleId="text1">
    <w:name w:val="text1"/>
    <w:rsid w:val="00862EA0"/>
    <w:rPr>
      <w:rFonts w:ascii="Verdana" w:hAnsi="Verdana" w:hint="default"/>
      <w:sz w:val="18"/>
      <w:szCs w:val="18"/>
    </w:rPr>
  </w:style>
  <w:style w:type="paragraph" w:customStyle="1" w:styleId="CaracterCaracterCharCharCaracterCaracterCharCharCaracterCaracterCharCharCaracterCaracter">
    <w:name w:val="Caracter Caracter Char Char Caracter Caracter Char Char Caracter Caracter Char Char Caracter Caracter"/>
    <w:basedOn w:val="Normal"/>
    <w:rsid w:val="00496E6B"/>
    <w:rPr>
      <w:sz w:val="24"/>
      <w:szCs w:val="24"/>
      <w:lang w:val="pl-PL" w:eastAsia="pl-PL"/>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8F5AEC"/>
    <w:rPr>
      <w:sz w:val="24"/>
      <w:szCs w:val="24"/>
      <w:lang w:val="pl-PL" w:eastAsia="pl-PL"/>
    </w:rPr>
  </w:style>
  <w:style w:type="character" w:customStyle="1" w:styleId="tal1">
    <w:name w:val="tal1"/>
    <w:basedOn w:val="Fontdeparagrafimplicit"/>
    <w:rsid w:val="002D272A"/>
  </w:style>
  <w:style w:type="table" w:styleId="TabelWeb3">
    <w:name w:val="Table Web 3"/>
    <w:basedOn w:val="TabelNormal"/>
    <w:rsid w:val="003938B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BC3B6E"/>
    <w:pPr>
      <w:autoSpaceDE w:val="0"/>
      <w:autoSpaceDN w:val="0"/>
      <w:adjustRightInd w:val="0"/>
    </w:pPr>
    <w:rPr>
      <w:color w:val="000000"/>
      <w:sz w:val="24"/>
      <w:szCs w:val="24"/>
    </w:rPr>
  </w:style>
  <w:style w:type="paragraph" w:customStyle="1" w:styleId="xl36">
    <w:name w:val="xl36"/>
    <w:basedOn w:val="Normal"/>
    <w:rsid w:val="006F41AA"/>
    <w:pPr>
      <w:pBdr>
        <w:right w:val="single" w:sz="4" w:space="0" w:color="auto"/>
      </w:pBdr>
      <w:spacing w:before="100" w:beforeAutospacing="1" w:after="100" w:afterAutospacing="1"/>
      <w:jc w:val="center"/>
    </w:pPr>
    <w:rPr>
      <w:b/>
      <w:bCs/>
      <w:sz w:val="24"/>
      <w:szCs w:val="24"/>
    </w:rPr>
  </w:style>
  <w:style w:type="character" w:customStyle="1" w:styleId="SubsolCaracter">
    <w:name w:val="Subsol Caracter"/>
    <w:link w:val="Subsol"/>
    <w:uiPriority w:val="99"/>
    <w:rsid w:val="006F41AA"/>
    <w:rPr>
      <w:lang w:val="en-US" w:eastAsia="en-US" w:bidi="ar-SA"/>
    </w:rPr>
  </w:style>
  <w:style w:type="paragraph" w:customStyle="1" w:styleId="Char1">
    <w:name w:val="Char1"/>
    <w:basedOn w:val="Normal"/>
    <w:rsid w:val="000E32D0"/>
    <w:rPr>
      <w:sz w:val="24"/>
      <w:szCs w:val="24"/>
      <w:lang w:val="pl-PL" w:eastAsia="pl-PL"/>
    </w:rPr>
  </w:style>
  <w:style w:type="table" w:styleId="TabelWeb1">
    <w:name w:val="Table Web 1"/>
    <w:basedOn w:val="TabelNormal"/>
    <w:rsid w:val="00A44D8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acterCaracterCharCharCaracterCaracterCaracterCaracterCharChar">
    <w:name w:val="Caracter Caracter Char Char Caracter Caracter Caracter Caracter Char Char"/>
    <w:basedOn w:val="Normal"/>
    <w:rsid w:val="00EA2EC5"/>
    <w:rPr>
      <w:sz w:val="24"/>
      <w:szCs w:val="24"/>
      <w:lang w:val="pl-PL" w:eastAsia="pl-PL"/>
    </w:rPr>
  </w:style>
  <w:style w:type="paragraph" w:styleId="TextnBalon">
    <w:name w:val="Balloon Text"/>
    <w:basedOn w:val="Normal"/>
    <w:link w:val="TextnBalonCaracter"/>
    <w:rsid w:val="00D129ED"/>
    <w:rPr>
      <w:rFonts w:ascii="Tahoma" w:hAnsi="Tahoma" w:cs="Tahoma"/>
      <w:sz w:val="16"/>
      <w:szCs w:val="16"/>
    </w:rPr>
  </w:style>
  <w:style w:type="character" w:customStyle="1" w:styleId="TextnBalonCaracter">
    <w:name w:val="Text în Balon Caracter"/>
    <w:basedOn w:val="Fontdeparagrafimplicit"/>
    <w:link w:val="TextnBalon"/>
    <w:rsid w:val="00D129ED"/>
    <w:rPr>
      <w:rFonts w:ascii="Tahoma" w:hAnsi="Tahoma" w:cs="Tahoma"/>
      <w:sz w:val="16"/>
      <w:szCs w:val="16"/>
    </w:rPr>
  </w:style>
  <w:style w:type="paragraph" w:styleId="Listparagraf">
    <w:name w:val="List Paragraph"/>
    <w:basedOn w:val="Normal"/>
    <w:uiPriority w:val="34"/>
    <w:qFormat/>
    <w:rsid w:val="00FB6112"/>
    <w:pPr>
      <w:ind w:left="720"/>
      <w:contextualSpacing/>
    </w:pPr>
  </w:style>
  <w:style w:type="character" w:customStyle="1" w:styleId="AntetCaracter">
    <w:name w:val="Antet Caracter"/>
    <w:basedOn w:val="Fontdeparagrafimplicit"/>
    <w:link w:val="Antet"/>
    <w:uiPriority w:val="99"/>
    <w:rsid w:val="005A20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132"/>
  </w:style>
  <w:style w:type="paragraph" w:styleId="Titlu1">
    <w:name w:val="heading 1"/>
    <w:basedOn w:val="Normal"/>
    <w:next w:val="Normal"/>
    <w:qFormat/>
    <w:rsid w:val="002C56E8"/>
    <w:pPr>
      <w:keepNext/>
      <w:widowControl w:val="0"/>
      <w:outlineLvl w:val="0"/>
    </w:pPr>
    <w:rPr>
      <w:b/>
      <w:snapToGrid w:val="0"/>
      <w:sz w:val="24"/>
    </w:rPr>
  </w:style>
  <w:style w:type="paragraph" w:styleId="Titlu2">
    <w:name w:val="heading 2"/>
    <w:aliases w:val="a Titlu 2"/>
    <w:basedOn w:val="Normal"/>
    <w:next w:val="Normal"/>
    <w:qFormat/>
    <w:rsid w:val="00F746BB"/>
    <w:pPr>
      <w:keepNext/>
      <w:ind w:right="202"/>
      <w:outlineLvl w:val="1"/>
    </w:pPr>
    <w:rPr>
      <w:b/>
      <w:bCs/>
      <w:noProof/>
      <w:sz w:val="32"/>
      <w:szCs w:val="24"/>
    </w:rPr>
  </w:style>
  <w:style w:type="paragraph" w:styleId="Titlu3">
    <w:name w:val="heading 3"/>
    <w:basedOn w:val="Normal"/>
    <w:next w:val="Normal"/>
    <w:qFormat/>
    <w:rsid w:val="00F746BB"/>
    <w:pPr>
      <w:keepNext/>
      <w:outlineLvl w:val="2"/>
    </w:pPr>
    <w:rPr>
      <w:rFonts w:ascii="Arial" w:hAnsi="Arial" w:cs="Arial"/>
      <w:b/>
      <w:sz w:val="22"/>
      <w:szCs w:val="24"/>
      <w:lang w:val="ro-RO"/>
    </w:rPr>
  </w:style>
  <w:style w:type="paragraph" w:styleId="Titlu4">
    <w:name w:val="heading 4"/>
    <w:basedOn w:val="Normal"/>
    <w:next w:val="Normal"/>
    <w:qFormat/>
    <w:rsid w:val="00F746BB"/>
    <w:pPr>
      <w:keepNext/>
      <w:spacing w:before="240" w:after="60"/>
      <w:outlineLvl w:val="3"/>
    </w:pPr>
    <w:rPr>
      <w:b/>
      <w:bCs/>
      <w:sz w:val="28"/>
      <w:szCs w:val="28"/>
    </w:rPr>
  </w:style>
  <w:style w:type="paragraph" w:styleId="Titlu5">
    <w:name w:val="heading 5"/>
    <w:basedOn w:val="Normal"/>
    <w:next w:val="Normal"/>
    <w:qFormat/>
    <w:rsid w:val="00F746BB"/>
    <w:pPr>
      <w:spacing w:before="240" w:after="60"/>
      <w:outlineLvl w:val="4"/>
    </w:pPr>
    <w:rPr>
      <w:b/>
      <w:bCs/>
      <w:i/>
      <w:iCs/>
      <w:sz w:val="26"/>
      <w:szCs w:val="26"/>
    </w:rPr>
  </w:style>
  <w:style w:type="paragraph" w:styleId="Titlu6">
    <w:name w:val="heading 6"/>
    <w:basedOn w:val="Normal"/>
    <w:next w:val="Normal"/>
    <w:qFormat/>
    <w:rsid w:val="00F746BB"/>
    <w:pPr>
      <w:keepNext/>
      <w:ind w:firstLine="708"/>
      <w:jc w:val="both"/>
      <w:outlineLvl w:val="5"/>
    </w:pPr>
    <w:rPr>
      <w:rFonts w:ascii="Arial" w:hAnsi="Arial" w:cs="Arial"/>
      <w:b/>
      <w:bCs/>
      <w:i/>
      <w:iCs/>
      <w:sz w:val="24"/>
      <w:szCs w:val="24"/>
      <w:lang w:val="ro-RO" w:eastAsia="ro-RO"/>
    </w:rPr>
  </w:style>
  <w:style w:type="paragraph" w:styleId="Titlu7">
    <w:name w:val="heading 7"/>
    <w:basedOn w:val="Normal"/>
    <w:next w:val="Normal"/>
    <w:qFormat/>
    <w:rsid w:val="00F746BB"/>
    <w:pPr>
      <w:spacing w:before="240" w:after="60"/>
      <w:outlineLvl w:val="6"/>
    </w:pPr>
    <w:rPr>
      <w:sz w:val="24"/>
      <w:szCs w:val="24"/>
    </w:rPr>
  </w:style>
  <w:style w:type="paragraph" w:styleId="Titlu8">
    <w:name w:val="heading 8"/>
    <w:basedOn w:val="Normal"/>
    <w:next w:val="Normal"/>
    <w:qFormat/>
    <w:rsid w:val="00F746BB"/>
    <w:pPr>
      <w:keepNext/>
      <w:shd w:val="clear" w:color="auto" w:fill="FFFFFF"/>
      <w:ind w:left="10" w:right="12" w:firstLine="698"/>
      <w:jc w:val="both"/>
      <w:outlineLvl w:val="7"/>
    </w:pPr>
    <w:rPr>
      <w:rFonts w:ascii="Arial" w:hAnsi="Arial" w:cs="Arial"/>
      <w:b/>
      <w:bCs/>
      <w:i/>
      <w:iCs/>
      <w:color w:val="000000"/>
      <w:spacing w:val="-4"/>
      <w:sz w:val="24"/>
      <w:szCs w:val="24"/>
      <w:lang w:val="ro-RO" w:eastAsia="ro-RO"/>
    </w:rPr>
  </w:style>
  <w:style w:type="paragraph" w:styleId="Titlu9">
    <w:name w:val="heading 9"/>
    <w:basedOn w:val="Normal"/>
    <w:next w:val="Normal"/>
    <w:qFormat/>
    <w:rsid w:val="00F746BB"/>
    <w:pPr>
      <w:keepNext/>
      <w:shd w:val="clear" w:color="auto" w:fill="FFFFFF"/>
      <w:ind w:left="7"/>
      <w:jc w:val="center"/>
      <w:outlineLvl w:val="8"/>
    </w:pPr>
    <w:rPr>
      <w:rFonts w:ascii="Arial" w:hAnsi="Arial" w:cs="Arial"/>
      <w:b/>
      <w:bCs/>
      <w:i/>
      <w:iCs/>
      <w:color w:val="000000"/>
      <w:spacing w:val="-3"/>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045BA3"/>
    <w:rPr>
      <w:sz w:val="24"/>
      <w:szCs w:val="24"/>
      <w:lang w:val="pl-PL" w:eastAsia="pl-PL"/>
    </w:rPr>
  </w:style>
  <w:style w:type="paragraph" w:styleId="Antet">
    <w:name w:val="header"/>
    <w:basedOn w:val="Normal"/>
    <w:rsid w:val="002C56E8"/>
    <w:pPr>
      <w:tabs>
        <w:tab w:val="center" w:pos="4320"/>
        <w:tab w:val="right" w:pos="8640"/>
      </w:tabs>
    </w:pPr>
  </w:style>
  <w:style w:type="paragraph" w:styleId="Subsol">
    <w:name w:val="footer"/>
    <w:basedOn w:val="Normal"/>
    <w:link w:val="SubsolCaracter"/>
    <w:rsid w:val="002C56E8"/>
    <w:pPr>
      <w:tabs>
        <w:tab w:val="center" w:pos="4320"/>
        <w:tab w:val="right" w:pos="8640"/>
      </w:tabs>
    </w:pPr>
  </w:style>
  <w:style w:type="character" w:styleId="Numrdepagin">
    <w:name w:val="page number"/>
    <w:basedOn w:val="Fontdeparagrafimplicit"/>
    <w:rsid w:val="00553F15"/>
  </w:style>
  <w:style w:type="paragraph" w:styleId="NormalWeb">
    <w:name w:val="Normal (Web)"/>
    <w:basedOn w:val="Normal"/>
    <w:rsid w:val="00F746BB"/>
    <w:pPr>
      <w:spacing w:before="100" w:beforeAutospacing="1" w:after="100" w:afterAutospacing="1"/>
    </w:pPr>
    <w:rPr>
      <w:rFonts w:ascii="Arial Unicode MS" w:eastAsia="Arial Unicode MS" w:hAnsi="Arial Unicode MS" w:cs="Arial Unicode MS"/>
      <w:sz w:val="24"/>
      <w:szCs w:val="24"/>
      <w:lang w:val="ro-RO" w:eastAsia="ro-RO"/>
    </w:rPr>
  </w:style>
  <w:style w:type="paragraph" w:styleId="Indentcorptext">
    <w:name w:val="Body Text Indent"/>
    <w:basedOn w:val="Normal"/>
    <w:rsid w:val="00F746BB"/>
    <w:pPr>
      <w:ind w:firstLine="720"/>
      <w:jc w:val="both"/>
    </w:pPr>
    <w:rPr>
      <w:sz w:val="24"/>
      <w:szCs w:val="24"/>
      <w:lang w:val="ro-RO"/>
    </w:rPr>
  </w:style>
  <w:style w:type="paragraph" w:styleId="Corptext">
    <w:name w:val="Body Text"/>
    <w:aliases w:val="Body Text Char"/>
    <w:basedOn w:val="Normal"/>
    <w:rsid w:val="00F746BB"/>
    <w:pPr>
      <w:jc w:val="both"/>
    </w:pPr>
    <w:rPr>
      <w:sz w:val="24"/>
      <w:szCs w:val="24"/>
      <w:lang w:val="ro-RO"/>
    </w:rPr>
  </w:style>
  <w:style w:type="paragraph" w:styleId="Indentcorptext2">
    <w:name w:val="Body Text Indent 2"/>
    <w:basedOn w:val="Normal"/>
    <w:rsid w:val="00F746BB"/>
    <w:pPr>
      <w:ind w:firstLine="720"/>
      <w:jc w:val="both"/>
    </w:pPr>
    <w:rPr>
      <w:sz w:val="22"/>
      <w:lang w:eastAsia="ro-RO"/>
    </w:rPr>
  </w:style>
  <w:style w:type="paragraph" w:styleId="Corptext2">
    <w:name w:val="Body Text 2"/>
    <w:basedOn w:val="Normal"/>
    <w:rsid w:val="00F746BB"/>
    <w:rPr>
      <w:color w:val="FF0000"/>
      <w:sz w:val="24"/>
      <w:szCs w:val="24"/>
      <w:lang w:val="ro-RO"/>
    </w:rPr>
  </w:style>
  <w:style w:type="paragraph" w:styleId="Corptext3">
    <w:name w:val="Body Text 3"/>
    <w:basedOn w:val="Normal"/>
    <w:rsid w:val="00F746BB"/>
    <w:pPr>
      <w:jc w:val="both"/>
    </w:pPr>
    <w:rPr>
      <w:rFonts w:ascii="Arial" w:hAnsi="Arial" w:cs="Arial"/>
      <w:bCs/>
      <w:color w:val="000000"/>
      <w:sz w:val="24"/>
      <w:szCs w:val="24"/>
      <w:lang w:val="ro-RO"/>
    </w:rPr>
  </w:style>
  <w:style w:type="paragraph" w:styleId="Indentcorptext3">
    <w:name w:val="Body Text Indent 3"/>
    <w:basedOn w:val="Normal"/>
    <w:rsid w:val="00F746BB"/>
    <w:pPr>
      <w:ind w:firstLine="720"/>
      <w:jc w:val="both"/>
    </w:pPr>
    <w:rPr>
      <w:rFonts w:ascii="Arial" w:hAnsi="Arial" w:cs="Arial"/>
      <w:bCs/>
      <w:color w:val="000000"/>
      <w:sz w:val="24"/>
      <w:szCs w:val="24"/>
      <w:lang w:val="ro-RO"/>
    </w:rPr>
  </w:style>
  <w:style w:type="character" w:customStyle="1" w:styleId="cap">
    <w:name w:val="cap"/>
    <w:rsid w:val="00F746BB"/>
    <w:rPr>
      <w:b/>
      <w:sz w:val="32"/>
    </w:rPr>
  </w:style>
  <w:style w:type="paragraph" w:customStyle="1" w:styleId="bul1">
    <w:name w:val="bul1"/>
    <w:basedOn w:val="Normal"/>
    <w:rsid w:val="00F746BB"/>
    <w:pPr>
      <w:numPr>
        <w:numId w:val="1"/>
      </w:numPr>
      <w:tabs>
        <w:tab w:val="left" w:pos="567"/>
      </w:tabs>
      <w:spacing w:after="60"/>
      <w:jc w:val="both"/>
    </w:pPr>
    <w:rPr>
      <w:rFonts w:ascii="Arial" w:hAnsi="Arial"/>
      <w:sz w:val="19"/>
      <w:szCs w:val="24"/>
    </w:rPr>
  </w:style>
  <w:style w:type="paragraph" w:customStyle="1" w:styleId="bul2">
    <w:name w:val="bul2"/>
    <w:basedOn w:val="Normal"/>
    <w:rsid w:val="00F746BB"/>
    <w:pPr>
      <w:tabs>
        <w:tab w:val="left" w:pos="851"/>
      </w:tabs>
      <w:spacing w:after="60"/>
      <w:ind w:left="851" w:hanging="284"/>
      <w:jc w:val="both"/>
    </w:pPr>
    <w:rPr>
      <w:rFonts w:ascii="Arial" w:hAnsi="Arial"/>
      <w:sz w:val="19"/>
      <w:szCs w:val="24"/>
    </w:rPr>
  </w:style>
  <w:style w:type="paragraph" w:styleId="Subtitlu">
    <w:name w:val="Subtitle"/>
    <w:basedOn w:val="Normal"/>
    <w:qFormat/>
    <w:rsid w:val="00F746BB"/>
    <w:pPr>
      <w:jc w:val="center"/>
    </w:pPr>
    <w:rPr>
      <w:b/>
      <w:i/>
      <w:sz w:val="32"/>
      <w:szCs w:val="24"/>
    </w:rPr>
  </w:style>
  <w:style w:type="paragraph" w:customStyle="1" w:styleId="WW-Corptext3">
    <w:name w:val="WW-Corp text 3"/>
    <w:basedOn w:val="Normal"/>
    <w:rsid w:val="00F746BB"/>
    <w:pPr>
      <w:suppressAutoHyphens/>
      <w:jc w:val="center"/>
    </w:pPr>
    <w:rPr>
      <w:b/>
      <w:sz w:val="24"/>
      <w:szCs w:val="24"/>
      <w:lang w:val="ro-RO"/>
    </w:rPr>
  </w:style>
  <w:style w:type="paragraph" w:customStyle="1" w:styleId="WW-Corptext2">
    <w:name w:val="WW-Corp text 2"/>
    <w:basedOn w:val="Normal"/>
    <w:rsid w:val="00F746BB"/>
    <w:pPr>
      <w:suppressAutoHyphens/>
      <w:jc w:val="center"/>
    </w:pPr>
    <w:rPr>
      <w:sz w:val="24"/>
      <w:szCs w:val="24"/>
      <w:lang w:val="ro-RO"/>
    </w:rPr>
  </w:style>
  <w:style w:type="paragraph" w:styleId="Titlu">
    <w:name w:val="Title"/>
    <w:basedOn w:val="Normal"/>
    <w:next w:val="Subtitlu"/>
    <w:qFormat/>
    <w:rsid w:val="00F746BB"/>
    <w:pPr>
      <w:suppressAutoHyphens/>
      <w:jc w:val="center"/>
    </w:pPr>
    <w:rPr>
      <w:b/>
      <w:sz w:val="24"/>
      <w:szCs w:val="24"/>
      <w:lang w:val="ro-RO"/>
    </w:rPr>
  </w:style>
  <w:style w:type="table" w:styleId="TabelWeb2">
    <w:name w:val="Table Web 2"/>
    <w:basedOn w:val="TabelNormal"/>
    <w:rsid w:val="00A84C6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A84C65"/>
    <w:pPr>
      <w:suppressAutoHyphens/>
      <w:spacing w:before="280" w:after="280"/>
    </w:pPr>
    <w:rPr>
      <w:rFonts w:ascii="Arial Unicode MS" w:eastAsia="Arial Unicode MS" w:hAnsi="Arial Unicode MS" w:cs="Arial Unicode MS"/>
      <w:sz w:val="24"/>
      <w:szCs w:val="24"/>
      <w:lang w:val="ro-RO" w:eastAsia="ar-SA"/>
    </w:rPr>
  </w:style>
  <w:style w:type="paragraph" w:customStyle="1" w:styleId="AAAA">
    <w:name w:val="AAAA"/>
    <w:basedOn w:val="Normal"/>
    <w:rsid w:val="00A84C65"/>
    <w:pPr>
      <w:widowControl w:val="0"/>
      <w:numPr>
        <w:ilvl w:val="12"/>
      </w:numPr>
      <w:spacing w:before="240" w:line="276" w:lineRule="auto"/>
      <w:ind w:left="1080"/>
      <w:jc w:val="both"/>
    </w:pPr>
    <w:rPr>
      <w:rFonts w:ascii="Arial" w:hAnsi="Arial" w:cs="Arial"/>
      <w:sz w:val="23"/>
      <w:szCs w:val="28"/>
      <w:lang w:val="ro-RO"/>
    </w:rPr>
  </w:style>
  <w:style w:type="paragraph" w:styleId="Legend">
    <w:name w:val="caption"/>
    <w:basedOn w:val="Normal"/>
    <w:next w:val="Normal"/>
    <w:qFormat/>
    <w:rsid w:val="00A84C65"/>
    <w:pPr>
      <w:spacing w:before="120" w:after="120"/>
    </w:pPr>
    <w:rPr>
      <w:b/>
      <w:bCs/>
      <w:lang w:val="ro-RO" w:eastAsia="ro-RO"/>
    </w:rPr>
  </w:style>
  <w:style w:type="paragraph" w:customStyle="1" w:styleId="Titlu51">
    <w:name w:val="Titlu 51"/>
    <w:basedOn w:val="Normal"/>
    <w:rsid w:val="007B7AA0"/>
    <w:pPr>
      <w:tabs>
        <w:tab w:val="num" w:pos="1008"/>
      </w:tabs>
      <w:ind w:left="1008" w:hanging="1008"/>
    </w:pPr>
    <w:rPr>
      <w:sz w:val="24"/>
      <w:szCs w:val="24"/>
      <w:lang w:val="ro-RO" w:eastAsia="ro-RO"/>
    </w:rPr>
  </w:style>
  <w:style w:type="paragraph" w:customStyle="1" w:styleId="Antet1">
    <w:name w:val="Antet1"/>
    <w:basedOn w:val="Normal"/>
    <w:next w:val="Normal"/>
    <w:rsid w:val="007B7AA0"/>
    <w:pPr>
      <w:autoSpaceDE w:val="0"/>
      <w:autoSpaceDN w:val="0"/>
      <w:adjustRightInd w:val="0"/>
    </w:pPr>
    <w:rPr>
      <w:rFonts w:ascii="Arial" w:hAnsi="Arial"/>
      <w:sz w:val="24"/>
      <w:szCs w:val="24"/>
      <w:lang w:val="ro-RO" w:eastAsia="ro-RO"/>
    </w:rPr>
  </w:style>
  <w:style w:type="table" w:styleId="GrilTabel">
    <w:name w:val="Table Grid"/>
    <w:basedOn w:val="TabelNormal"/>
    <w:rsid w:val="007B7A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Corecie">
    <w:name w:val="AutoCorecţie"/>
    <w:rsid w:val="008F0035"/>
    <w:rPr>
      <w:sz w:val="24"/>
      <w:szCs w:val="24"/>
      <w:lang w:val="ro-RO" w:eastAsia="ro-RO"/>
    </w:rPr>
  </w:style>
  <w:style w:type="paragraph" w:customStyle="1" w:styleId="BodyText21">
    <w:name w:val="Body Text 21"/>
    <w:basedOn w:val="Normal"/>
    <w:rsid w:val="008F0035"/>
    <w:pPr>
      <w:widowControl w:val="0"/>
      <w:snapToGrid w:val="0"/>
      <w:jc w:val="both"/>
    </w:pPr>
    <w:rPr>
      <w:sz w:val="24"/>
      <w:szCs w:val="24"/>
    </w:rPr>
  </w:style>
  <w:style w:type="character" w:customStyle="1" w:styleId="ln2paragraf1">
    <w:name w:val="ln2paragraf1"/>
    <w:rsid w:val="00B659EB"/>
    <w:rPr>
      <w:b/>
      <w:bCs/>
    </w:rPr>
  </w:style>
  <w:style w:type="character" w:customStyle="1" w:styleId="ln2tparagraf">
    <w:name w:val="ln2tparagraf"/>
    <w:basedOn w:val="Fontdeparagrafimplicit"/>
    <w:rsid w:val="00B659EB"/>
  </w:style>
  <w:style w:type="character" w:styleId="Hyperlink">
    <w:name w:val="Hyperlink"/>
    <w:rsid w:val="00B659EB"/>
    <w:rPr>
      <w:strike w:val="0"/>
      <w:dstrike w:val="0"/>
      <w:color w:val="000066"/>
      <w:u w:val="none"/>
      <w:effect w:val="none"/>
    </w:rPr>
  </w:style>
  <w:style w:type="character" w:customStyle="1" w:styleId="ln2tpunct">
    <w:name w:val="ln2tpunct"/>
    <w:basedOn w:val="Fontdeparagrafimplicit"/>
    <w:rsid w:val="00B659EB"/>
  </w:style>
  <w:style w:type="character" w:customStyle="1" w:styleId="ln2punct1">
    <w:name w:val="ln2punct1"/>
    <w:rsid w:val="00252B7A"/>
    <w:rPr>
      <w:b/>
      <w:bCs/>
      <w:color w:val="008F00"/>
    </w:rPr>
  </w:style>
  <w:style w:type="paragraph" w:customStyle="1" w:styleId="CaracterCaracter1CharCharCaracterCaracterCharChar">
    <w:name w:val="Caracter Caracter1 Char Char Caracter Caracter Char Char"/>
    <w:basedOn w:val="Normal"/>
    <w:rsid w:val="00B26BE2"/>
    <w:rPr>
      <w:sz w:val="24"/>
      <w:szCs w:val="24"/>
      <w:lang w:val="pl-PL" w:eastAsia="pl-PL"/>
    </w:rPr>
  </w:style>
  <w:style w:type="paragraph" w:customStyle="1" w:styleId="CaracterCaracter1CharCharCaracterCaracter">
    <w:name w:val="Caracter Caracter1 Char Char Caracter Caracter"/>
    <w:basedOn w:val="Normal"/>
    <w:rsid w:val="00E623D6"/>
    <w:rPr>
      <w:sz w:val="24"/>
      <w:szCs w:val="24"/>
      <w:lang w:val="pl-PL" w:eastAsia="pl-PL"/>
    </w:rPr>
  </w:style>
  <w:style w:type="paragraph" w:customStyle="1" w:styleId="CaracterCaracter">
    <w:name w:val="Caracter Caracter"/>
    <w:basedOn w:val="Normal"/>
    <w:rsid w:val="007E20C8"/>
    <w:rPr>
      <w:sz w:val="24"/>
      <w:szCs w:val="24"/>
      <w:lang w:val="pl-PL" w:eastAsia="pl-PL"/>
    </w:rPr>
  </w:style>
  <w:style w:type="paragraph" w:customStyle="1" w:styleId="CaracterCaracterCharCharCaracterCaracter">
    <w:name w:val="Caracter Caracter Char Char Caracter Caracter"/>
    <w:basedOn w:val="Normal"/>
    <w:rsid w:val="007E20C8"/>
    <w:rPr>
      <w:sz w:val="24"/>
      <w:szCs w:val="24"/>
      <w:lang w:val="pl-PL" w:eastAsia="pl-PL"/>
    </w:rPr>
  </w:style>
  <w:style w:type="paragraph" w:customStyle="1" w:styleId="CaracterCaracterCharCharCaracterCaracter0">
    <w:name w:val="Caracter Caracter Char Char Caracter Caracter"/>
    <w:basedOn w:val="Normal"/>
    <w:rsid w:val="007E20C8"/>
    <w:rPr>
      <w:sz w:val="24"/>
      <w:szCs w:val="24"/>
      <w:lang w:val="pl-PL" w:eastAsia="pl-PL"/>
    </w:rPr>
  </w:style>
  <w:style w:type="character" w:styleId="Robust">
    <w:name w:val="Strong"/>
    <w:qFormat/>
    <w:rsid w:val="007E20C8"/>
    <w:rPr>
      <w:b/>
      <w:bCs/>
    </w:rPr>
  </w:style>
  <w:style w:type="paragraph" w:customStyle="1" w:styleId="CaracterCaracter1">
    <w:name w:val="Caracter Caracter1"/>
    <w:basedOn w:val="Normal"/>
    <w:rsid w:val="00D13F77"/>
    <w:rPr>
      <w:sz w:val="24"/>
      <w:szCs w:val="24"/>
      <w:lang w:val="pl-PL" w:eastAsia="pl-PL"/>
    </w:rPr>
  </w:style>
  <w:style w:type="paragraph" w:customStyle="1" w:styleId="CaracterCharCharCaracter">
    <w:name w:val="Caracter Char Char Caracter"/>
    <w:basedOn w:val="Normal"/>
    <w:rsid w:val="00D13F77"/>
    <w:rPr>
      <w:sz w:val="24"/>
      <w:szCs w:val="24"/>
      <w:lang w:val="pl-PL" w:eastAsia="pl-PL"/>
    </w:rPr>
  </w:style>
  <w:style w:type="table" w:styleId="Temtabel">
    <w:name w:val="Table Theme"/>
    <w:basedOn w:val="TabelNormal"/>
    <w:rsid w:val="00D1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0">
    <w:name w:val="Caracter Caracter"/>
    <w:basedOn w:val="Normal"/>
    <w:rsid w:val="00D13F77"/>
    <w:rPr>
      <w:sz w:val="24"/>
      <w:szCs w:val="24"/>
      <w:lang w:val="pl-PL" w:eastAsia="pl-PL"/>
    </w:rPr>
  </w:style>
  <w:style w:type="paragraph" w:customStyle="1" w:styleId="CharCharCharChar">
    <w:name w:val="Char Char Char Char"/>
    <w:basedOn w:val="Normal"/>
    <w:rsid w:val="009D3E66"/>
    <w:rPr>
      <w:sz w:val="24"/>
      <w:szCs w:val="24"/>
      <w:lang w:val="pl-PL" w:eastAsia="pl-PL"/>
    </w:rPr>
  </w:style>
  <w:style w:type="paragraph" w:styleId="Plandocument">
    <w:name w:val="Document Map"/>
    <w:basedOn w:val="Normal"/>
    <w:semiHidden/>
    <w:rsid w:val="0022287B"/>
    <w:pPr>
      <w:shd w:val="clear" w:color="auto" w:fill="000080"/>
    </w:pPr>
    <w:rPr>
      <w:rFonts w:ascii="Tahoma" w:hAnsi="Tahoma" w:cs="Tahoma"/>
    </w:rPr>
  </w:style>
  <w:style w:type="paragraph" w:customStyle="1" w:styleId="CaracterCaracter2">
    <w:name w:val="Caracter Caracter2"/>
    <w:basedOn w:val="Normal"/>
    <w:rsid w:val="00C404E9"/>
    <w:rPr>
      <w:sz w:val="24"/>
      <w:szCs w:val="24"/>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B205C9"/>
    <w:rPr>
      <w:sz w:val="24"/>
      <w:szCs w:val="24"/>
      <w:lang w:val="pl-PL" w:eastAsia="pl-PL"/>
    </w:rPr>
  </w:style>
  <w:style w:type="character" w:customStyle="1" w:styleId="tli1">
    <w:name w:val="tli1"/>
    <w:basedOn w:val="Fontdeparagrafimplicit"/>
    <w:rsid w:val="001F1006"/>
  </w:style>
  <w:style w:type="paragraph" w:customStyle="1" w:styleId="Style1">
    <w:name w:val="Style1"/>
    <w:basedOn w:val="Normal"/>
    <w:rsid w:val="001F1006"/>
    <w:rPr>
      <w:b/>
      <w:bCs/>
      <w:caps/>
      <w:sz w:val="24"/>
    </w:rPr>
  </w:style>
  <w:style w:type="character" w:customStyle="1" w:styleId="do1">
    <w:name w:val="do1"/>
    <w:rsid w:val="00B04741"/>
    <w:rPr>
      <w:b/>
      <w:bCs/>
      <w:sz w:val="26"/>
      <w:szCs w:val="26"/>
    </w:rPr>
  </w:style>
  <w:style w:type="paragraph" w:customStyle="1" w:styleId="CharCaracterCaracterCharCaracterCaracterCharChar">
    <w:name w:val="Char Caracter Caracter Char Caracter Caracter Char Char"/>
    <w:basedOn w:val="Normal"/>
    <w:rsid w:val="003C7DDF"/>
    <w:rPr>
      <w:sz w:val="24"/>
      <w:szCs w:val="24"/>
      <w:lang w:val="pl-PL" w:eastAsia="pl-PL"/>
    </w:rPr>
  </w:style>
  <w:style w:type="paragraph" w:customStyle="1" w:styleId="CaracterCaracter1CharCharCaracterCaracterCharCharCaracterCaracter">
    <w:name w:val="Caracter Caracter1 Char Char Caracter Caracter Char Char Caracter Caracter"/>
    <w:basedOn w:val="Normal"/>
    <w:rsid w:val="00FD089C"/>
    <w:rPr>
      <w:sz w:val="24"/>
      <w:szCs w:val="24"/>
      <w:lang w:val="pl-PL" w:eastAsia="pl-PL"/>
    </w:rPr>
  </w:style>
  <w:style w:type="character" w:customStyle="1" w:styleId="txtoug1">
    <w:name w:val="txtoug1"/>
    <w:rsid w:val="00B15B97"/>
    <w:rPr>
      <w:rFonts w:ascii="Arial" w:hAnsi="Arial" w:cs="Arial" w:hint="default"/>
      <w:i/>
      <w:iCs/>
      <w:color w:val="0000FF"/>
      <w:sz w:val="18"/>
      <w:szCs w:val="18"/>
    </w:rPr>
  </w:style>
  <w:style w:type="character" w:customStyle="1" w:styleId="ln2tlitera">
    <w:name w:val="ln2tlitera"/>
    <w:basedOn w:val="Fontdeparagrafimplicit"/>
    <w:rsid w:val="00410A65"/>
  </w:style>
  <w:style w:type="paragraph" w:customStyle="1" w:styleId="CaracterCaracter1CharCharCaracterCharCharCaracterCaracter">
    <w:name w:val="Caracter Caracter1 Char Char Caracter Char Char Caracter Caracter"/>
    <w:basedOn w:val="Normal"/>
    <w:rsid w:val="008B1650"/>
    <w:rPr>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6166A3"/>
    <w:rPr>
      <w:sz w:val="24"/>
      <w:szCs w:val="24"/>
      <w:lang w:val="pl-PL" w:eastAsia="pl-PL"/>
    </w:rPr>
  </w:style>
  <w:style w:type="paragraph" w:customStyle="1" w:styleId="CaracterCharCharCaracterCaracter">
    <w:name w:val="Caracter Char Char Caracter Caracter"/>
    <w:basedOn w:val="Normal"/>
    <w:rsid w:val="004C3BB2"/>
    <w:rPr>
      <w:sz w:val="24"/>
      <w:szCs w:val="24"/>
      <w:lang w:val="pl-PL" w:eastAsia="pl-PL"/>
    </w:rPr>
  </w:style>
  <w:style w:type="paragraph" w:customStyle="1" w:styleId="CharChar">
    <w:name w:val="Char Char"/>
    <w:basedOn w:val="Normal"/>
    <w:rsid w:val="00FF2FF2"/>
    <w:rPr>
      <w:sz w:val="24"/>
      <w:szCs w:val="24"/>
      <w:lang w:val="pl-PL" w:eastAsia="pl-PL"/>
    </w:rPr>
  </w:style>
  <w:style w:type="character" w:customStyle="1" w:styleId="tpa1">
    <w:name w:val="tpa1"/>
    <w:basedOn w:val="Fontdeparagrafimplicit"/>
    <w:rsid w:val="007F4C3B"/>
  </w:style>
  <w:style w:type="character" w:customStyle="1" w:styleId="pt1">
    <w:name w:val="pt1"/>
    <w:rsid w:val="007F4C3B"/>
    <w:rPr>
      <w:b/>
      <w:bCs/>
      <w:color w:val="8F0000"/>
    </w:rPr>
  </w:style>
  <w:style w:type="character" w:customStyle="1" w:styleId="tpt1">
    <w:name w:val="tpt1"/>
    <w:basedOn w:val="Fontdeparagrafimplicit"/>
    <w:rsid w:val="007F4C3B"/>
  </w:style>
  <w:style w:type="paragraph" w:customStyle="1" w:styleId="CharChar1CaracterCaracter">
    <w:name w:val="Char Char1 Caracter Caracter"/>
    <w:basedOn w:val="Normal"/>
    <w:rsid w:val="0062421A"/>
    <w:rPr>
      <w:sz w:val="24"/>
      <w:szCs w:val="24"/>
      <w:lang w:val="pl-PL" w:eastAsia="pl-PL"/>
    </w:rPr>
  </w:style>
  <w:style w:type="paragraph" w:customStyle="1" w:styleId="CaracterCaracterCharCharCaracterCaracterCharCharCaracterCaracter">
    <w:name w:val="Caracter Caracter Char Char Caracter Caracter Char Char Caracter Caracter"/>
    <w:basedOn w:val="Normal"/>
    <w:rsid w:val="004E21EF"/>
    <w:rPr>
      <w:sz w:val="24"/>
      <w:szCs w:val="24"/>
      <w:lang w:val="pl-PL" w:eastAsia="pl-PL"/>
    </w:rPr>
  </w:style>
  <w:style w:type="paragraph" w:customStyle="1" w:styleId="CharCharCaracterCaracter">
    <w:name w:val="Char Char Caracter Caracter"/>
    <w:basedOn w:val="Normal"/>
    <w:rsid w:val="00291AC2"/>
    <w:rPr>
      <w:sz w:val="24"/>
      <w:szCs w:val="24"/>
      <w:lang w:val="pl-PL" w:eastAsia="pl-PL"/>
    </w:rPr>
  </w:style>
  <w:style w:type="character" w:customStyle="1" w:styleId="text1">
    <w:name w:val="text1"/>
    <w:rsid w:val="00862EA0"/>
    <w:rPr>
      <w:rFonts w:ascii="Verdana" w:hAnsi="Verdana" w:hint="default"/>
      <w:sz w:val="18"/>
      <w:szCs w:val="18"/>
    </w:rPr>
  </w:style>
  <w:style w:type="paragraph" w:customStyle="1" w:styleId="CaracterCaracterCharCharCaracterCaracterCharCharCaracterCaracterCharCharCaracterCaracter">
    <w:name w:val="Caracter Caracter Char Char Caracter Caracter Char Char Caracter Caracter Char Char Caracter Caracter"/>
    <w:basedOn w:val="Normal"/>
    <w:rsid w:val="00496E6B"/>
    <w:rPr>
      <w:sz w:val="24"/>
      <w:szCs w:val="24"/>
      <w:lang w:val="pl-PL" w:eastAsia="pl-PL"/>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8F5AEC"/>
    <w:rPr>
      <w:sz w:val="24"/>
      <w:szCs w:val="24"/>
      <w:lang w:val="pl-PL" w:eastAsia="pl-PL"/>
    </w:rPr>
  </w:style>
  <w:style w:type="character" w:customStyle="1" w:styleId="tal1">
    <w:name w:val="tal1"/>
    <w:basedOn w:val="Fontdeparagrafimplicit"/>
    <w:rsid w:val="002D272A"/>
  </w:style>
  <w:style w:type="table" w:styleId="TabelWeb3">
    <w:name w:val="Table Web 3"/>
    <w:basedOn w:val="TabelNormal"/>
    <w:rsid w:val="003938B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BC3B6E"/>
    <w:pPr>
      <w:autoSpaceDE w:val="0"/>
      <w:autoSpaceDN w:val="0"/>
      <w:adjustRightInd w:val="0"/>
    </w:pPr>
    <w:rPr>
      <w:color w:val="000000"/>
      <w:sz w:val="24"/>
      <w:szCs w:val="24"/>
    </w:rPr>
  </w:style>
  <w:style w:type="paragraph" w:customStyle="1" w:styleId="xl36">
    <w:name w:val="xl36"/>
    <w:basedOn w:val="Normal"/>
    <w:rsid w:val="006F41AA"/>
    <w:pPr>
      <w:pBdr>
        <w:right w:val="single" w:sz="4" w:space="0" w:color="auto"/>
      </w:pBdr>
      <w:spacing w:before="100" w:beforeAutospacing="1" w:after="100" w:afterAutospacing="1"/>
      <w:jc w:val="center"/>
    </w:pPr>
    <w:rPr>
      <w:b/>
      <w:bCs/>
      <w:sz w:val="24"/>
      <w:szCs w:val="24"/>
    </w:rPr>
  </w:style>
  <w:style w:type="character" w:customStyle="1" w:styleId="SubsolCaracter">
    <w:name w:val="Subsol Caracter"/>
    <w:link w:val="Subsol"/>
    <w:rsid w:val="006F41AA"/>
    <w:rPr>
      <w:lang w:val="en-US" w:eastAsia="en-US" w:bidi="ar-SA"/>
    </w:rPr>
  </w:style>
  <w:style w:type="paragraph" w:customStyle="1" w:styleId="Char1">
    <w:name w:val="Char1"/>
    <w:basedOn w:val="Normal"/>
    <w:rsid w:val="000E32D0"/>
    <w:rPr>
      <w:sz w:val="24"/>
      <w:szCs w:val="24"/>
      <w:lang w:val="pl-PL" w:eastAsia="pl-PL"/>
    </w:rPr>
  </w:style>
  <w:style w:type="table" w:styleId="TabelWeb1">
    <w:name w:val="Table Web 1"/>
    <w:basedOn w:val="TabelNormal"/>
    <w:rsid w:val="00A44D8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acterCaracterCharCharCaracterCaracterCaracterCaracterCharChar">
    <w:name w:val="Caracter Caracter Char Char Caracter Caracter Caracter Caracter Char Char"/>
    <w:basedOn w:val="Normal"/>
    <w:rsid w:val="00EA2EC5"/>
    <w:rPr>
      <w:sz w:val="24"/>
      <w:szCs w:val="24"/>
      <w:lang w:val="pl-PL" w:eastAsia="pl-PL"/>
    </w:rPr>
  </w:style>
  <w:style w:type="paragraph" w:styleId="TextnBalon">
    <w:name w:val="Balloon Text"/>
    <w:basedOn w:val="Normal"/>
    <w:link w:val="TextnBalonCaracter"/>
    <w:rsid w:val="00D129ED"/>
    <w:rPr>
      <w:rFonts w:ascii="Tahoma" w:hAnsi="Tahoma" w:cs="Tahoma"/>
      <w:sz w:val="16"/>
      <w:szCs w:val="16"/>
    </w:rPr>
  </w:style>
  <w:style w:type="character" w:customStyle="1" w:styleId="TextnBalonCaracter">
    <w:name w:val="Text în Balon Caracter"/>
    <w:basedOn w:val="Fontdeparagrafimplicit"/>
    <w:link w:val="TextnBalon"/>
    <w:rsid w:val="00D129ED"/>
    <w:rPr>
      <w:rFonts w:ascii="Tahoma" w:hAnsi="Tahoma" w:cs="Tahoma"/>
      <w:sz w:val="16"/>
      <w:szCs w:val="16"/>
    </w:rPr>
  </w:style>
  <w:style w:type="paragraph" w:styleId="Listparagraf">
    <w:name w:val="List Paragraph"/>
    <w:basedOn w:val="Normal"/>
    <w:uiPriority w:val="34"/>
    <w:qFormat/>
    <w:rsid w:val="00FB6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7287">
      <w:bodyDiv w:val="1"/>
      <w:marLeft w:val="0"/>
      <w:marRight w:val="0"/>
      <w:marTop w:val="0"/>
      <w:marBottom w:val="0"/>
      <w:divBdr>
        <w:top w:val="none" w:sz="0" w:space="0" w:color="auto"/>
        <w:left w:val="none" w:sz="0" w:space="0" w:color="auto"/>
        <w:bottom w:val="none" w:sz="0" w:space="0" w:color="auto"/>
        <w:right w:val="none" w:sz="0" w:space="0" w:color="auto"/>
      </w:divBdr>
    </w:div>
    <w:div w:id="32733630">
      <w:bodyDiv w:val="1"/>
      <w:marLeft w:val="0"/>
      <w:marRight w:val="0"/>
      <w:marTop w:val="0"/>
      <w:marBottom w:val="0"/>
      <w:divBdr>
        <w:top w:val="none" w:sz="0" w:space="0" w:color="auto"/>
        <w:left w:val="none" w:sz="0" w:space="0" w:color="auto"/>
        <w:bottom w:val="none" w:sz="0" w:space="0" w:color="auto"/>
        <w:right w:val="none" w:sz="0" w:space="0" w:color="auto"/>
      </w:divBdr>
    </w:div>
    <w:div w:id="129177769">
      <w:bodyDiv w:val="1"/>
      <w:marLeft w:val="0"/>
      <w:marRight w:val="0"/>
      <w:marTop w:val="0"/>
      <w:marBottom w:val="0"/>
      <w:divBdr>
        <w:top w:val="none" w:sz="0" w:space="0" w:color="auto"/>
        <w:left w:val="none" w:sz="0" w:space="0" w:color="auto"/>
        <w:bottom w:val="none" w:sz="0" w:space="0" w:color="auto"/>
        <w:right w:val="none" w:sz="0" w:space="0" w:color="auto"/>
      </w:divBdr>
    </w:div>
    <w:div w:id="161623990">
      <w:bodyDiv w:val="1"/>
      <w:marLeft w:val="0"/>
      <w:marRight w:val="0"/>
      <w:marTop w:val="0"/>
      <w:marBottom w:val="0"/>
      <w:divBdr>
        <w:top w:val="none" w:sz="0" w:space="0" w:color="auto"/>
        <w:left w:val="none" w:sz="0" w:space="0" w:color="auto"/>
        <w:bottom w:val="none" w:sz="0" w:space="0" w:color="auto"/>
        <w:right w:val="none" w:sz="0" w:space="0" w:color="auto"/>
      </w:divBdr>
    </w:div>
    <w:div w:id="235168628">
      <w:bodyDiv w:val="1"/>
      <w:marLeft w:val="0"/>
      <w:marRight w:val="0"/>
      <w:marTop w:val="0"/>
      <w:marBottom w:val="0"/>
      <w:divBdr>
        <w:top w:val="none" w:sz="0" w:space="0" w:color="auto"/>
        <w:left w:val="none" w:sz="0" w:space="0" w:color="auto"/>
        <w:bottom w:val="none" w:sz="0" w:space="0" w:color="auto"/>
        <w:right w:val="none" w:sz="0" w:space="0" w:color="auto"/>
      </w:divBdr>
    </w:div>
    <w:div w:id="254633512">
      <w:bodyDiv w:val="1"/>
      <w:marLeft w:val="0"/>
      <w:marRight w:val="0"/>
      <w:marTop w:val="0"/>
      <w:marBottom w:val="0"/>
      <w:divBdr>
        <w:top w:val="none" w:sz="0" w:space="0" w:color="auto"/>
        <w:left w:val="none" w:sz="0" w:space="0" w:color="auto"/>
        <w:bottom w:val="none" w:sz="0" w:space="0" w:color="auto"/>
        <w:right w:val="none" w:sz="0" w:space="0" w:color="auto"/>
      </w:divBdr>
    </w:div>
    <w:div w:id="262766337">
      <w:bodyDiv w:val="1"/>
      <w:marLeft w:val="0"/>
      <w:marRight w:val="0"/>
      <w:marTop w:val="0"/>
      <w:marBottom w:val="0"/>
      <w:divBdr>
        <w:top w:val="none" w:sz="0" w:space="0" w:color="auto"/>
        <w:left w:val="none" w:sz="0" w:space="0" w:color="auto"/>
        <w:bottom w:val="none" w:sz="0" w:space="0" w:color="auto"/>
        <w:right w:val="none" w:sz="0" w:space="0" w:color="auto"/>
      </w:divBdr>
    </w:div>
    <w:div w:id="266469818">
      <w:bodyDiv w:val="1"/>
      <w:marLeft w:val="0"/>
      <w:marRight w:val="0"/>
      <w:marTop w:val="0"/>
      <w:marBottom w:val="0"/>
      <w:divBdr>
        <w:top w:val="none" w:sz="0" w:space="0" w:color="auto"/>
        <w:left w:val="none" w:sz="0" w:space="0" w:color="auto"/>
        <w:bottom w:val="none" w:sz="0" w:space="0" w:color="auto"/>
        <w:right w:val="none" w:sz="0" w:space="0" w:color="auto"/>
      </w:divBdr>
    </w:div>
    <w:div w:id="274673379">
      <w:bodyDiv w:val="1"/>
      <w:marLeft w:val="0"/>
      <w:marRight w:val="0"/>
      <w:marTop w:val="0"/>
      <w:marBottom w:val="0"/>
      <w:divBdr>
        <w:top w:val="none" w:sz="0" w:space="0" w:color="auto"/>
        <w:left w:val="none" w:sz="0" w:space="0" w:color="auto"/>
        <w:bottom w:val="none" w:sz="0" w:space="0" w:color="auto"/>
        <w:right w:val="none" w:sz="0" w:space="0" w:color="auto"/>
      </w:divBdr>
    </w:div>
    <w:div w:id="282809813">
      <w:bodyDiv w:val="1"/>
      <w:marLeft w:val="0"/>
      <w:marRight w:val="0"/>
      <w:marTop w:val="0"/>
      <w:marBottom w:val="0"/>
      <w:divBdr>
        <w:top w:val="none" w:sz="0" w:space="0" w:color="auto"/>
        <w:left w:val="none" w:sz="0" w:space="0" w:color="auto"/>
        <w:bottom w:val="none" w:sz="0" w:space="0" w:color="auto"/>
        <w:right w:val="none" w:sz="0" w:space="0" w:color="auto"/>
      </w:divBdr>
    </w:div>
    <w:div w:id="362486954">
      <w:bodyDiv w:val="1"/>
      <w:marLeft w:val="0"/>
      <w:marRight w:val="0"/>
      <w:marTop w:val="0"/>
      <w:marBottom w:val="0"/>
      <w:divBdr>
        <w:top w:val="none" w:sz="0" w:space="0" w:color="auto"/>
        <w:left w:val="none" w:sz="0" w:space="0" w:color="auto"/>
        <w:bottom w:val="none" w:sz="0" w:space="0" w:color="auto"/>
        <w:right w:val="none" w:sz="0" w:space="0" w:color="auto"/>
      </w:divBdr>
    </w:div>
    <w:div w:id="380133415">
      <w:bodyDiv w:val="1"/>
      <w:marLeft w:val="0"/>
      <w:marRight w:val="0"/>
      <w:marTop w:val="0"/>
      <w:marBottom w:val="0"/>
      <w:divBdr>
        <w:top w:val="none" w:sz="0" w:space="0" w:color="auto"/>
        <w:left w:val="none" w:sz="0" w:space="0" w:color="auto"/>
        <w:bottom w:val="none" w:sz="0" w:space="0" w:color="auto"/>
        <w:right w:val="none" w:sz="0" w:space="0" w:color="auto"/>
      </w:divBdr>
    </w:div>
    <w:div w:id="451442640">
      <w:bodyDiv w:val="1"/>
      <w:marLeft w:val="0"/>
      <w:marRight w:val="0"/>
      <w:marTop w:val="0"/>
      <w:marBottom w:val="0"/>
      <w:divBdr>
        <w:top w:val="none" w:sz="0" w:space="0" w:color="auto"/>
        <w:left w:val="none" w:sz="0" w:space="0" w:color="auto"/>
        <w:bottom w:val="none" w:sz="0" w:space="0" w:color="auto"/>
        <w:right w:val="none" w:sz="0" w:space="0" w:color="auto"/>
      </w:divBdr>
    </w:div>
    <w:div w:id="488327151">
      <w:bodyDiv w:val="1"/>
      <w:marLeft w:val="0"/>
      <w:marRight w:val="0"/>
      <w:marTop w:val="0"/>
      <w:marBottom w:val="0"/>
      <w:divBdr>
        <w:top w:val="none" w:sz="0" w:space="0" w:color="auto"/>
        <w:left w:val="none" w:sz="0" w:space="0" w:color="auto"/>
        <w:bottom w:val="none" w:sz="0" w:space="0" w:color="auto"/>
        <w:right w:val="none" w:sz="0" w:space="0" w:color="auto"/>
      </w:divBdr>
    </w:div>
    <w:div w:id="572354564">
      <w:bodyDiv w:val="1"/>
      <w:marLeft w:val="0"/>
      <w:marRight w:val="0"/>
      <w:marTop w:val="0"/>
      <w:marBottom w:val="0"/>
      <w:divBdr>
        <w:top w:val="none" w:sz="0" w:space="0" w:color="auto"/>
        <w:left w:val="none" w:sz="0" w:space="0" w:color="auto"/>
        <w:bottom w:val="none" w:sz="0" w:space="0" w:color="auto"/>
        <w:right w:val="none" w:sz="0" w:space="0" w:color="auto"/>
      </w:divBdr>
    </w:div>
    <w:div w:id="573976274">
      <w:bodyDiv w:val="1"/>
      <w:marLeft w:val="0"/>
      <w:marRight w:val="0"/>
      <w:marTop w:val="0"/>
      <w:marBottom w:val="0"/>
      <w:divBdr>
        <w:top w:val="none" w:sz="0" w:space="0" w:color="auto"/>
        <w:left w:val="none" w:sz="0" w:space="0" w:color="auto"/>
        <w:bottom w:val="none" w:sz="0" w:space="0" w:color="auto"/>
        <w:right w:val="none" w:sz="0" w:space="0" w:color="auto"/>
      </w:divBdr>
    </w:div>
    <w:div w:id="584655344">
      <w:bodyDiv w:val="1"/>
      <w:marLeft w:val="0"/>
      <w:marRight w:val="0"/>
      <w:marTop w:val="0"/>
      <w:marBottom w:val="0"/>
      <w:divBdr>
        <w:top w:val="none" w:sz="0" w:space="0" w:color="auto"/>
        <w:left w:val="none" w:sz="0" w:space="0" w:color="auto"/>
        <w:bottom w:val="none" w:sz="0" w:space="0" w:color="auto"/>
        <w:right w:val="none" w:sz="0" w:space="0" w:color="auto"/>
      </w:divBdr>
    </w:div>
    <w:div w:id="587882544">
      <w:bodyDiv w:val="1"/>
      <w:marLeft w:val="0"/>
      <w:marRight w:val="0"/>
      <w:marTop w:val="0"/>
      <w:marBottom w:val="0"/>
      <w:divBdr>
        <w:top w:val="none" w:sz="0" w:space="0" w:color="auto"/>
        <w:left w:val="none" w:sz="0" w:space="0" w:color="auto"/>
        <w:bottom w:val="none" w:sz="0" w:space="0" w:color="auto"/>
        <w:right w:val="none" w:sz="0" w:space="0" w:color="auto"/>
      </w:divBdr>
    </w:div>
    <w:div w:id="599607700">
      <w:bodyDiv w:val="1"/>
      <w:marLeft w:val="0"/>
      <w:marRight w:val="0"/>
      <w:marTop w:val="0"/>
      <w:marBottom w:val="0"/>
      <w:divBdr>
        <w:top w:val="none" w:sz="0" w:space="0" w:color="auto"/>
        <w:left w:val="none" w:sz="0" w:space="0" w:color="auto"/>
        <w:bottom w:val="none" w:sz="0" w:space="0" w:color="auto"/>
        <w:right w:val="none" w:sz="0" w:space="0" w:color="auto"/>
      </w:divBdr>
    </w:div>
    <w:div w:id="656500052">
      <w:bodyDiv w:val="1"/>
      <w:marLeft w:val="0"/>
      <w:marRight w:val="0"/>
      <w:marTop w:val="0"/>
      <w:marBottom w:val="0"/>
      <w:divBdr>
        <w:top w:val="none" w:sz="0" w:space="0" w:color="auto"/>
        <w:left w:val="none" w:sz="0" w:space="0" w:color="auto"/>
        <w:bottom w:val="none" w:sz="0" w:space="0" w:color="auto"/>
        <w:right w:val="none" w:sz="0" w:space="0" w:color="auto"/>
      </w:divBdr>
    </w:div>
    <w:div w:id="762609500">
      <w:bodyDiv w:val="1"/>
      <w:marLeft w:val="0"/>
      <w:marRight w:val="0"/>
      <w:marTop w:val="0"/>
      <w:marBottom w:val="0"/>
      <w:divBdr>
        <w:top w:val="none" w:sz="0" w:space="0" w:color="auto"/>
        <w:left w:val="none" w:sz="0" w:space="0" w:color="auto"/>
        <w:bottom w:val="none" w:sz="0" w:space="0" w:color="auto"/>
        <w:right w:val="none" w:sz="0" w:space="0" w:color="auto"/>
      </w:divBdr>
    </w:div>
    <w:div w:id="768620566">
      <w:bodyDiv w:val="1"/>
      <w:marLeft w:val="0"/>
      <w:marRight w:val="0"/>
      <w:marTop w:val="0"/>
      <w:marBottom w:val="0"/>
      <w:divBdr>
        <w:top w:val="none" w:sz="0" w:space="0" w:color="auto"/>
        <w:left w:val="none" w:sz="0" w:space="0" w:color="auto"/>
        <w:bottom w:val="none" w:sz="0" w:space="0" w:color="auto"/>
        <w:right w:val="none" w:sz="0" w:space="0" w:color="auto"/>
      </w:divBdr>
    </w:div>
    <w:div w:id="793330605">
      <w:bodyDiv w:val="1"/>
      <w:marLeft w:val="0"/>
      <w:marRight w:val="0"/>
      <w:marTop w:val="0"/>
      <w:marBottom w:val="0"/>
      <w:divBdr>
        <w:top w:val="none" w:sz="0" w:space="0" w:color="auto"/>
        <w:left w:val="none" w:sz="0" w:space="0" w:color="auto"/>
        <w:bottom w:val="none" w:sz="0" w:space="0" w:color="auto"/>
        <w:right w:val="none" w:sz="0" w:space="0" w:color="auto"/>
      </w:divBdr>
    </w:div>
    <w:div w:id="805588237">
      <w:bodyDiv w:val="1"/>
      <w:marLeft w:val="0"/>
      <w:marRight w:val="0"/>
      <w:marTop w:val="0"/>
      <w:marBottom w:val="0"/>
      <w:divBdr>
        <w:top w:val="none" w:sz="0" w:space="0" w:color="auto"/>
        <w:left w:val="none" w:sz="0" w:space="0" w:color="auto"/>
        <w:bottom w:val="none" w:sz="0" w:space="0" w:color="auto"/>
        <w:right w:val="none" w:sz="0" w:space="0" w:color="auto"/>
      </w:divBdr>
    </w:div>
    <w:div w:id="820732088">
      <w:bodyDiv w:val="1"/>
      <w:marLeft w:val="0"/>
      <w:marRight w:val="0"/>
      <w:marTop w:val="0"/>
      <w:marBottom w:val="0"/>
      <w:divBdr>
        <w:top w:val="none" w:sz="0" w:space="0" w:color="auto"/>
        <w:left w:val="none" w:sz="0" w:space="0" w:color="auto"/>
        <w:bottom w:val="none" w:sz="0" w:space="0" w:color="auto"/>
        <w:right w:val="none" w:sz="0" w:space="0" w:color="auto"/>
      </w:divBdr>
    </w:div>
    <w:div w:id="824205783">
      <w:bodyDiv w:val="1"/>
      <w:marLeft w:val="0"/>
      <w:marRight w:val="0"/>
      <w:marTop w:val="0"/>
      <w:marBottom w:val="0"/>
      <w:divBdr>
        <w:top w:val="none" w:sz="0" w:space="0" w:color="auto"/>
        <w:left w:val="none" w:sz="0" w:space="0" w:color="auto"/>
        <w:bottom w:val="none" w:sz="0" w:space="0" w:color="auto"/>
        <w:right w:val="none" w:sz="0" w:space="0" w:color="auto"/>
      </w:divBdr>
    </w:div>
    <w:div w:id="828787897">
      <w:bodyDiv w:val="1"/>
      <w:marLeft w:val="0"/>
      <w:marRight w:val="0"/>
      <w:marTop w:val="0"/>
      <w:marBottom w:val="0"/>
      <w:divBdr>
        <w:top w:val="none" w:sz="0" w:space="0" w:color="auto"/>
        <w:left w:val="none" w:sz="0" w:space="0" w:color="auto"/>
        <w:bottom w:val="none" w:sz="0" w:space="0" w:color="auto"/>
        <w:right w:val="none" w:sz="0" w:space="0" w:color="auto"/>
      </w:divBdr>
    </w:div>
    <w:div w:id="832986340">
      <w:bodyDiv w:val="1"/>
      <w:marLeft w:val="0"/>
      <w:marRight w:val="0"/>
      <w:marTop w:val="0"/>
      <w:marBottom w:val="0"/>
      <w:divBdr>
        <w:top w:val="none" w:sz="0" w:space="0" w:color="auto"/>
        <w:left w:val="none" w:sz="0" w:space="0" w:color="auto"/>
        <w:bottom w:val="none" w:sz="0" w:space="0" w:color="auto"/>
        <w:right w:val="none" w:sz="0" w:space="0" w:color="auto"/>
      </w:divBdr>
      <w:divsChild>
        <w:div w:id="1186674760">
          <w:marLeft w:val="0"/>
          <w:marRight w:val="0"/>
          <w:marTop w:val="0"/>
          <w:marBottom w:val="0"/>
          <w:divBdr>
            <w:top w:val="none" w:sz="0" w:space="0" w:color="auto"/>
            <w:left w:val="none" w:sz="0" w:space="0" w:color="auto"/>
            <w:bottom w:val="none" w:sz="0" w:space="0" w:color="auto"/>
            <w:right w:val="none" w:sz="0" w:space="0" w:color="auto"/>
          </w:divBdr>
          <w:divsChild>
            <w:div w:id="77867963">
              <w:marLeft w:val="0"/>
              <w:marRight w:val="0"/>
              <w:marTop w:val="0"/>
              <w:marBottom w:val="0"/>
              <w:divBdr>
                <w:top w:val="none" w:sz="0" w:space="0" w:color="auto"/>
                <w:left w:val="none" w:sz="0" w:space="0" w:color="auto"/>
                <w:bottom w:val="none" w:sz="0" w:space="0" w:color="auto"/>
                <w:right w:val="none" w:sz="0" w:space="0" w:color="auto"/>
              </w:divBdr>
            </w:div>
            <w:div w:id="396711492">
              <w:marLeft w:val="0"/>
              <w:marRight w:val="0"/>
              <w:marTop w:val="0"/>
              <w:marBottom w:val="0"/>
              <w:divBdr>
                <w:top w:val="none" w:sz="0" w:space="0" w:color="auto"/>
                <w:left w:val="none" w:sz="0" w:space="0" w:color="auto"/>
                <w:bottom w:val="none" w:sz="0" w:space="0" w:color="auto"/>
                <w:right w:val="none" w:sz="0" w:space="0" w:color="auto"/>
              </w:divBdr>
            </w:div>
            <w:div w:id="444547724">
              <w:marLeft w:val="0"/>
              <w:marRight w:val="0"/>
              <w:marTop w:val="0"/>
              <w:marBottom w:val="0"/>
              <w:divBdr>
                <w:top w:val="none" w:sz="0" w:space="0" w:color="auto"/>
                <w:left w:val="none" w:sz="0" w:space="0" w:color="auto"/>
                <w:bottom w:val="none" w:sz="0" w:space="0" w:color="auto"/>
                <w:right w:val="none" w:sz="0" w:space="0" w:color="auto"/>
              </w:divBdr>
            </w:div>
            <w:div w:id="719397864">
              <w:marLeft w:val="0"/>
              <w:marRight w:val="0"/>
              <w:marTop w:val="0"/>
              <w:marBottom w:val="0"/>
              <w:divBdr>
                <w:top w:val="none" w:sz="0" w:space="0" w:color="auto"/>
                <w:left w:val="none" w:sz="0" w:space="0" w:color="auto"/>
                <w:bottom w:val="none" w:sz="0" w:space="0" w:color="auto"/>
                <w:right w:val="none" w:sz="0" w:space="0" w:color="auto"/>
              </w:divBdr>
            </w:div>
            <w:div w:id="1202087414">
              <w:marLeft w:val="0"/>
              <w:marRight w:val="0"/>
              <w:marTop w:val="0"/>
              <w:marBottom w:val="0"/>
              <w:divBdr>
                <w:top w:val="none" w:sz="0" w:space="0" w:color="auto"/>
                <w:left w:val="none" w:sz="0" w:space="0" w:color="auto"/>
                <w:bottom w:val="none" w:sz="0" w:space="0" w:color="auto"/>
                <w:right w:val="none" w:sz="0" w:space="0" w:color="auto"/>
              </w:divBdr>
            </w:div>
            <w:div w:id="1958097137">
              <w:marLeft w:val="0"/>
              <w:marRight w:val="0"/>
              <w:marTop w:val="0"/>
              <w:marBottom w:val="0"/>
              <w:divBdr>
                <w:top w:val="none" w:sz="0" w:space="0" w:color="auto"/>
                <w:left w:val="none" w:sz="0" w:space="0" w:color="auto"/>
                <w:bottom w:val="none" w:sz="0" w:space="0" w:color="auto"/>
                <w:right w:val="none" w:sz="0" w:space="0" w:color="auto"/>
              </w:divBdr>
            </w:div>
            <w:div w:id="2011633904">
              <w:marLeft w:val="0"/>
              <w:marRight w:val="0"/>
              <w:marTop w:val="0"/>
              <w:marBottom w:val="0"/>
              <w:divBdr>
                <w:top w:val="none" w:sz="0" w:space="0" w:color="auto"/>
                <w:left w:val="none" w:sz="0" w:space="0" w:color="auto"/>
                <w:bottom w:val="none" w:sz="0" w:space="0" w:color="auto"/>
                <w:right w:val="none" w:sz="0" w:space="0" w:color="auto"/>
              </w:divBdr>
            </w:div>
            <w:div w:id="21427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1484">
      <w:bodyDiv w:val="1"/>
      <w:marLeft w:val="0"/>
      <w:marRight w:val="0"/>
      <w:marTop w:val="0"/>
      <w:marBottom w:val="0"/>
      <w:divBdr>
        <w:top w:val="none" w:sz="0" w:space="0" w:color="auto"/>
        <w:left w:val="none" w:sz="0" w:space="0" w:color="auto"/>
        <w:bottom w:val="none" w:sz="0" w:space="0" w:color="auto"/>
        <w:right w:val="none" w:sz="0" w:space="0" w:color="auto"/>
      </w:divBdr>
    </w:div>
    <w:div w:id="896478696">
      <w:bodyDiv w:val="1"/>
      <w:marLeft w:val="0"/>
      <w:marRight w:val="0"/>
      <w:marTop w:val="0"/>
      <w:marBottom w:val="0"/>
      <w:divBdr>
        <w:top w:val="none" w:sz="0" w:space="0" w:color="auto"/>
        <w:left w:val="none" w:sz="0" w:space="0" w:color="auto"/>
        <w:bottom w:val="none" w:sz="0" w:space="0" w:color="auto"/>
        <w:right w:val="none" w:sz="0" w:space="0" w:color="auto"/>
      </w:divBdr>
    </w:div>
    <w:div w:id="926036721">
      <w:bodyDiv w:val="1"/>
      <w:marLeft w:val="0"/>
      <w:marRight w:val="0"/>
      <w:marTop w:val="0"/>
      <w:marBottom w:val="0"/>
      <w:divBdr>
        <w:top w:val="none" w:sz="0" w:space="0" w:color="auto"/>
        <w:left w:val="none" w:sz="0" w:space="0" w:color="auto"/>
        <w:bottom w:val="none" w:sz="0" w:space="0" w:color="auto"/>
        <w:right w:val="none" w:sz="0" w:space="0" w:color="auto"/>
      </w:divBdr>
    </w:div>
    <w:div w:id="1028220496">
      <w:bodyDiv w:val="1"/>
      <w:marLeft w:val="0"/>
      <w:marRight w:val="0"/>
      <w:marTop w:val="0"/>
      <w:marBottom w:val="0"/>
      <w:divBdr>
        <w:top w:val="none" w:sz="0" w:space="0" w:color="auto"/>
        <w:left w:val="none" w:sz="0" w:space="0" w:color="auto"/>
        <w:bottom w:val="none" w:sz="0" w:space="0" w:color="auto"/>
        <w:right w:val="none" w:sz="0" w:space="0" w:color="auto"/>
      </w:divBdr>
    </w:div>
    <w:div w:id="1038436185">
      <w:bodyDiv w:val="1"/>
      <w:marLeft w:val="0"/>
      <w:marRight w:val="0"/>
      <w:marTop w:val="0"/>
      <w:marBottom w:val="0"/>
      <w:divBdr>
        <w:top w:val="none" w:sz="0" w:space="0" w:color="auto"/>
        <w:left w:val="none" w:sz="0" w:space="0" w:color="auto"/>
        <w:bottom w:val="none" w:sz="0" w:space="0" w:color="auto"/>
        <w:right w:val="none" w:sz="0" w:space="0" w:color="auto"/>
      </w:divBdr>
    </w:div>
    <w:div w:id="1044252106">
      <w:bodyDiv w:val="1"/>
      <w:marLeft w:val="0"/>
      <w:marRight w:val="0"/>
      <w:marTop w:val="0"/>
      <w:marBottom w:val="0"/>
      <w:divBdr>
        <w:top w:val="none" w:sz="0" w:space="0" w:color="auto"/>
        <w:left w:val="none" w:sz="0" w:space="0" w:color="auto"/>
        <w:bottom w:val="none" w:sz="0" w:space="0" w:color="auto"/>
        <w:right w:val="none" w:sz="0" w:space="0" w:color="auto"/>
      </w:divBdr>
    </w:div>
    <w:div w:id="1115517917">
      <w:bodyDiv w:val="1"/>
      <w:marLeft w:val="0"/>
      <w:marRight w:val="0"/>
      <w:marTop w:val="0"/>
      <w:marBottom w:val="0"/>
      <w:divBdr>
        <w:top w:val="none" w:sz="0" w:space="0" w:color="auto"/>
        <w:left w:val="none" w:sz="0" w:space="0" w:color="auto"/>
        <w:bottom w:val="none" w:sz="0" w:space="0" w:color="auto"/>
        <w:right w:val="none" w:sz="0" w:space="0" w:color="auto"/>
      </w:divBdr>
    </w:div>
    <w:div w:id="1147435094">
      <w:bodyDiv w:val="1"/>
      <w:marLeft w:val="0"/>
      <w:marRight w:val="0"/>
      <w:marTop w:val="0"/>
      <w:marBottom w:val="0"/>
      <w:divBdr>
        <w:top w:val="none" w:sz="0" w:space="0" w:color="auto"/>
        <w:left w:val="none" w:sz="0" w:space="0" w:color="auto"/>
        <w:bottom w:val="none" w:sz="0" w:space="0" w:color="auto"/>
        <w:right w:val="none" w:sz="0" w:space="0" w:color="auto"/>
      </w:divBdr>
    </w:div>
    <w:div w:id="1184635235">
      <w:bodyDiv w:val="1"/>
      <w:marLeft w:val="0"/>
      <w:marRight w:val="0"/>
      <w:marTop w:val="0"/>
      <w:marBottom w:val="0"/>
      <w:divBdr>
        <w:top w:val="none" w:sz="0" w:space="0" w:color="auto"/>
        <w:left w:val="none" w:sz="0" w:space="0" w:color="auto"/>
        <w:bottom w:val="none" w:sz="0" w:space="0" w:color="auto"/>
        <w:right w:val="none" w:sz="0" w:space="0" w:color="auto"/>
      </w:divBdr>
    </w:div>
    <w:div w:id="1247378398">
      <w:bodyDiv w:val="1"/>
      <w:marLeft w:val="0"/>
      <w:marRight w:val="0"/>
      <w:marTop w:val="0"/>
      <w:marBottom w:val="0"/>
      <w:divBdr>
        <w:top w:val="none" w:sz="0" w:space="0" w:color="auto"/>
        <w:left w:val="none" w:sz="0" w:space="0" w:color="auto"/>
        <w:bottom w:val="none" w:sz="0" w:space="0" w:color="auto"/>
        <w:right w:val="none" w:sz="0" w:space="0" w:color="auto"/>
      </w:divBdr>
    </w:div>
    <w:div w:id="1252663750">
      <w:bodyDiv w:val="1"/>
      <w:marLeft w:val="0"/>
      <w:marRight w:val="0"/>
      <w:marTop w:val="0"/>
      <w:marBottom w:val="0"/>
      <w:divBdr>
        <w:top w:val="none" w:sz="0" w:space="0" w:color="auto"/>
        <w:left w:val="none" w:sz="0" w:space="0" w:color="auto"/>
        <w:bottom w:val="none" w:sz="0" w:space="0" w:color="auto"/>
        <w:right w:val="none" w:sz="0" w:space="0" w:color="auto"/>
      </w:divBdr>
    </w:div>
    <w:div w:id="1348828311">
      <w:bodyDiv w:val="1"/>
      <w:marLeft w:val="0"/>
      <w:marRight w:val="0"/>
      <w:marTop w:val="0"/>
      <w:marBottom w:val="0"/>
      <w:divBdr>
        <w:top w:val="none" w:sz="0" w:space="0" w:color="auto"/>
        <w:left w:val="none" w:sz="0" w:space="0" w:color="auto"/>
        <w:bottom w:val="none" w:sz="0" w:space="0" w:color="auto"/>
        <w:right w:val="none" w:sz="0" w:space="0" w:color="auto"/>
      </w:divBdr>
    </w:div>
    <w:div w:id="1355810104">
      <w:bodyDiv w:val="1"/>
      <w:marLeft w:val="0"/>
      <w:marRight w:val="0"/>
      <w:marTop w:val="0"/>
      <w:marBottom w:val="0"/>
      <w:divBdr>
        <w:top w:val="none" w:sz="0" w:space="0" w:color="auto"/>
        <w:left w:val="none" w:sz="0" w:space="0" w:color="auto"/>
        <w:bottom w:val="none" w:sz="0" w:space="0" w:color="auto"/>
        <w:right w:val="none" w:sz="0" w:space="0" w:color="auto"/>
      </w:divBdr>
    </w:div>
    <w:div w:id="1361205736">
      <w:bodyDiv w:val="1"/>
      <w:marLeft w:val="0"/>
      <w:marRight w:val="0"/>
      <w:marTop w:val="0"/>
      <w:marBottom w:val="0"/>
      <w:divBdr>
        <w:top w:val="none" w:sz="0" w:space="0" w:color="auto"/>
        <w:left w:val="none" w:sz="0" w:space="0" w:color="auto"/>
        <w:bottom w:val="none" w:sz="0" w:space="0" w:color="auto"/>
        <w:right w:val="none" w:sz="0" w:space="0" w:color="auto"/>
      </w:divBdr>
    </w:div>
    <w:div w:id="1434665335">
      <w:bodyDiv w:val="1"/>
      <w:marLeft w:val="0"/>
      <w:marRight w:val="0"/>
      <w:marTop w:val="0"/>
      <w:marBottom w:val="0"/>
      <w:divBdr>
        <w:top w:val="none" w:sz="0" w:space="0" w:color="auto"/>
        <w:left w:val="none" w:sz="0" w:space="0" w:color="auto"/>
        <w:bottom w:val="none" w:sz="0" w:space="0" w:color="auto"/>
        <w:right w:val="none" w:sz="0" w:space="0" w:color="auto"/>
      </w:divBdr>
    </w:div>
    <w:div w:id="1439107140">
      <w:bodyDiv w:val="1"/>
      <w:marLeft w:val="0"/>
      <w:marRight w:val="0"/>
      <w:marTop w:val="0"/>
      <w:marBottom w:val="0"/>
      <w:divBdr>
        <w:top w:val="none" w:sz="0" w:space="0" w:color="auto"/>
        <w:left w:val="none" w:sz="0" w:space="0" w:color="auto"/>
        <w:bottom w:val="none" w:sz="0" w:space="0" w:color="auto"/>
        <w:right w:val="none" w:sz="0" w:space="0" w:color="auto"/>
      </w:divBdr>
    </w:div>
    <w:div w:id="1473137022">
      <w:bodyDiv w:val="1"/>
      <w:marLeft w:val="0"/>
      <w:marRight w:val="0"/>
      <w:marTop w:val="0"/>
      <w:marBottom w:val="0"/>
      <w:divBdr>
        <w:top w:val="none" w:sz="0" w:space="0" w:color="auto"/>
        <w:left w:val="none" w:sz="0" w:space="0" w:color="auto"/>
        <w:bottom w:val="none" w:sz="0" w:space="0" w:color="auto"/>
        <w:right w:val="none" w:sz="0" w:space="0" w:color="auto"/>
      </w:divBdr>
    </w:div>
    <w:div w:id="1499807423">
      <w:bodyDiv w:val="1"/>
      <w:marLeft w:val="0"/>
      <w:marRight w:val="0"/>
      <w:marTop w:val="0"/>
      <w:marBottom w:val="0"/>
      <w:divBdr>
        <w:top w:val="none" w:sz="0" w:space="0" w:color="auto"/>
        <w:left w:val="none" w:sz="0" w:space="0" w:color="auto"/>
        <w:bottom w:val="none" w:sz="0" w:space="0" w:color="auto"/>
        <w:right w:val="none" w:sz="0" w:space="0" w:color="auto"/>
      </w:divBdr>
    </w:div>
    <w:div w:id="1540822663">
      <w:bodyDiv w:val="1"/>
      <w:marLeft w:val="0"/>
      <w:marRight w:val="0"/>
      <w:marTop w:val="0"/>
      <w:marBottom w:val="0"/>
      <w:divBdr>
        <w:top w:val="none" w:sz="0" w:space="0" w:color="auto"/>
        <w:left w:val="none" w:sz="0" w:space="0" w:color="auto"/>
        <w:bottom w:val="none" w:sz="0" w:space="0" w:color="auto"/>
        <w:right w:val="none" w:sz="0" w:space="0" w:color="auto"/>
      </w:divBdr>
    </w:div>
    <w:div w:id="1550919973">
      <w:bodyDiv w:val="1"/>
      <w:marLeft w:val="0"/>
      <w:marRight w:val="0"/>
      <w:marTop w:val="0"/>
      <w:marBottom w:val="0"/>
      <w:divBdr>
        <w:top w:val="none" w:sz="0" w:space="0" w:color="auto"/>
        <w:left w:val="none" w:sz="0" w:space="0" w:color="auto"/>
        <w:bottom w:val="none" w:sz="0" w:space="0" w:color="auto"/>
        <w:right w:val="none" w:sz="0" w:space="0" w:color="auto"/>
      </w:divBdr>
    </w:div>
    <w:div w:id="1592734799">
      <w:bodyDiv w:val="1"/>
      <w:marLeft w:val="0"/>
      <w:marRight w:val="0"/>
      <w:marTop w:val="0"/>
      <w:marBottom w:val="0"/>
      <w:divBdr>
        <w:top w:val="none" w:sz="0" w:space="0" w:color="auto"/>
        <w:left w:val="none" w:sz="0" w:space="0" w:color="auto"/>
        <w:bottom w:val="none" w:sz="0" w:space="0" w:color="auto"/>
        <w:right w:val="none" w:sz="0" w:space="0" w:color="auto"/>
      </w:divBdr>
      <w:divsChild>
        <w:div w:id="1323466456">
          <w:marLeft w:val="0"/>
          <w:marRight w:val="0"/>
          <w:marTop w:val="0"/>
          <w:marBottom w:val="0"/>
          <w:divBdr>
            <w:top w:val="none" w:sz="0" w:space="0" w:color="auto"/>
            <w:left w:val="none" w:sz="0" w:space="0" w:color="auto"/>
            <w:bottom w:val="none" w:sz="0" w:space="0" w:color="auto"/>
            <w:right w:val="none" w:sz="0" w:space="0" w:color="auto"/>
          </w:divBdr>
          <w:divsChild>
            <w:div w:id="299311592">
              <w:marLeft w:val="0"/>
              <w:marRight w:val="0"/>
              <w:marTop w:val="0"/>
              <w:marBottom w:val="0"/>
              <w:divBdr>
                <w:top w:val="none" w:sz="0" w:space="0" w:color="auto"/>
                <w:left w:val="none" w:sz="0" w:space="0" w:color="auto"/>
                <w:bottom w:val="none" w:sz="0" w:space="0" w:color="auto"/>
                <w:right w:val="none" w:sz="0" w:space="0" w:color="auto"/>
              </w:divBdr>
              <w:divsChild>
                <w:div w:id="1005665578">
                  <w:marLeft w:val="0"/>
                  <w:marRight w:val="0"/>
                  <w:marTop w:val="0"/>
                  <w:marBottom w:val="0"/>
                  <w:divBdr>
                    <w:top w:val="none" w:sz="0" w:space="0" w:color="auto"/>
                    <w:left w:val="none" w:sz="0" w:space="0" w:color="auto"/>
                    <w:bottom w:val="none" w:sz="0" w:space="0" w:color="auto"/>
                    <w:right w:val="none" w:sz="0" w:space="0" w:color="auto"/>
                  </w:divBdr>
                  <w:divsChild>
                    <w:div w:id="12788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542216">
      <w:bodyDiv w:val="1"/>
      <w:marLeft w:val="0"/>
      <w:marRight w:val="0"/>
      <w:marTop w:val="0"/>
      <w:marBottom w:val="0"/>
      <w:divBdr>
        <w:top w:val="none" w:sz="0" w:space="0" w:color="auto"/>
        <w:left w:val="none" w:sz="0" w:space="0" w:color="auto"/>
        <w:bottom w:val="none" w:sz="0" w:space="0" w:color="auto"/>
        <w:right w:val="none" w:sz="0" w:space="0" w:color="auto"/>
      </w:divBdr>
    </w:div>
    <w:div w:id="1693148793">
      <w:bodyDiv w:val="1"/>
      <w:marLeft w:val="0"/>
      <w:marRight w:val="0"/>
      <w:marTop w:val="0"/>
      <w:marBottom w:val="0"/>
      <w:divBdr>
        <w:top w:val="none" w:sz="0" w:space="0" w:color="auto"/>
        <w:left w:val="none" w:sz="0" w:space="0" w:color="auto"/>
        <w:bottom w:val="none" w:sz="0" w:space="0" w:color="auto"/>
        <w:right w:val="none" w:sz="0" w:space="0" w:color="auto"/>
      </w:divBdr>
    </w:div>
    <w:div w:id="1789469307">
      <w:bodyDiv w:val="1"/>
      <w:marLeft w:val="0"/>
      <w:marRight w:val="0"/>
      <w:marTop w:val="0"/>
      <w:marBottom w:val="0"/>
      <w:divBdr>
        <w:top w:val="none" w:sz="0" w:space="0" w:color="auto"/>
        <w:left w:val="none" w:sz="0" w:space="0" w:color="auto"/>
        <w:bottom w:val="none" w:sz="0" w:space="0" w:color="auto"/>
        <w:right w:val="none" w:sz="0" w:space="0" w:color="auto"/>
      </w:divBdr>
    </w:div>
    <w:div w:id="1812671355">
      <w:bodyDiv w:val="1"/>
      <w:marLeft w:val="0"/>
      <w:marRight w:val="0"/>
      <w:marTop w:val="0"/>
      <w:marBottom w:val="0"/>
      <w:divBdr>
        <w:top w:val="none" w:sz="0" w:space="0" w:color="auto"/>
        <w:left w:val="none" w:sz="0" w:space="0" w:color="auto"/>
        <w:bottom w:val="none" w:sz="0" w:space="0" w:color="auto"/>
        <w:right w:val="none" w:sz="0" w:space="0" w:color="auto"/>
      </w:divBdr>
    </w:div>
    <w:div w:id="1848716740">
      <w:bodyDiv w:val="1"/>
      <w:marLeft w:val="0"/>
      <w:marRight w:val="0"/>
      <w:marTop w:val="0"/>
      <w:marBottom w:val="0"/>
      <w:divBdr>
        <w:top w:val="none" w:sz="0" w:space="0" w:color="auto"/>
        <w:left w:val="none" w:sz="0" w:space="0" w:color="auto"/>
        <w:bottom w:val="none" w:sz="0" w:space="0" w:color="auto"/>
        <w:right w:val="none" w:sz="0" w:space="0" w:color="auto"/>
      </w:divBdr>
    </w:div>
    <w:div w:id="1865248699">
      <w:bodyDiv w:val="1"/>
      <w:marLeft w:val="0"/>
      <w:marRight w:val="0"/>
      <w:marTop w:val="0"/>
      <w:marBottom w:val="0"/>
      <w:divBdr>
        <w:top w:val="none" w:sz="0" w:space="0" w:color="auto"/>
        <w:left w:val="none" w:sz="0" w:space="0" w:color="auto"/>
        <w:bottom w:val="none" w:sz="0" w:space="0" w:color="auto"/>
        <w:right w:val="none" w:sz="0" w:space="0" w:color="auto"/>
      </w:divBdr>
    </w:div>
    <w:div w:id="1895579119">
      <w:bodyDiv w:val="1"/>
      <w:marLeft w:val="0"/>
      <w:marRight w:val="0"/>
      <w:marTop w:val="0"/>
      <w:marBottom w:val="0"/>
      <w:divBdr>
        <w:top w:val="none" w:sz="0" w:space="0" w:color="auto"/>
        <w:left w:val="none" w:sz="0" w:space="0" w:color="auto"/>
        <w:bottom w:val="none" w:sz="0" w:space="0" w:color="auto"/>
        <w:right w:val="none" w:sz="0" w:space="0" w:color="auto"/>
      </w:divBdr>
    </w:div>
    <w:div w:id="1896432595">
      <w:bodyDiv w:val="1"/>
      <w:marLeft w:val="0"/>
      <w:marRight w:val="0"/>
      <w:marTop w:val="0"/>
      <w:marBottom w:val="0"/>
      <w:divBdr>
        <w:top w:val="none" w:sz="0" w:space="0" w:color="auto"/>
        <w:left w:val="none" w:sz="0" w:space="0" w:color="auto"/>
        <w:bottom w:val="none" w:sz="0" w:space="0" w:color="auto"/>
        <w:right w:val="none" w:sz="0" w:space="0" w:color="auto"/>
      </w:divBdr>
    </w:div>
    <w:div w:id="1902017218">
      <w:bodyDiv w:val="1"/>
      <w:marLeft w:val="0"/>
      <w:marRight w:val="0"/>
      <w:marTop w:val="0"/>
      <w:marBottom w:val="0"/>
      <w:divBdr>
        <w:top w:val="none" w:sz="0" w:space="0" w:color="auto"/>
        <w:left w:val="none" w:sz="0" w:space="0" w:color="auto"/>
        <w:bottom w:val="none" w:sz="0" w:space="0" w:color="auto"/>
        <w:right w:val="none" w:sz="0" w:space="0" w:color="auto"/>
      </w:divBdr>
    </w:div>
    <w:div w:id="1981693865">
      <w:bodyDiv w:val="1"/>
      <w:marLeft w:val="0"/>
      <w:marRight w:val="0"/>
      <w:marTop w:val="0"/>
      <w:marBottom w:val="0"/>
      <w:divBdr>
        <w:top w:val="none" w:sz="0" w:space="0" w:color="auto"/>
        <w:left w:val="none" w:sz="0" w:space="0" w:color="auto"/>
        <w:bottom w:val="none" w:sz="0" w:space="0" w:color="auto"/>
        <w:right w:val="none" w:sz="0" w:space="0" w:color="auto"/>
      </w:divBdr>
      <w:divsChild>
        <w:div w:id="1095976241">
          <w:marLeft w:val="0"/>
          <w:marRight w:val="0"/>
          <w:marTop w:val="0"/>
          <w:marBottom w:val="0"/>
          <w:divBdr>
            <w:top w:val="none" w:sz="0" w:space="0" w:color="auto"/>
            <w:left w:val="none" w:sz="0" w:space="0" w:color="auto"/>
            <w:bottom w:val="none" w:sz="0" w:space="0" w:color="auto"/>
            <w:right w:val="none" w:sz="0" w:space="0" w:color="auto"/>
          </w:divBdr>
          <w:divsChild>
            <w:div w:id="5654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1785">
      <w:bodyDiv w:val="1"/>
      <w:marLeft w:val="0"/>
      <w:marRight w:val="0"/>
      <w:marTop w:val="0"/>
      <w:marBottom w:val="0"/>
      <w:divBdr>
        <w:top w:val="none" w:sz="0" w:space="0" w:color="auto"/>
        <w:left w:val="none" w:sz="0" w:space="0" w:color="auto"/>
        <w:bottom w:val="none" w:sz="0" w:space="0" w:color="auto"/>
        <w:right w:val="none" w:sz="0" w:space="0" w:color="auto"/>
      </w:divBdr>
    </w:div>
    <w:div w:id="2008556061">
      <w:bodyDiv w:val="1"/>
      <w:marLeft w:val="0"/>
      <w:marRight w:val="0"/>
      <w:marTop w:val="0"/>
      <w:marBottom w:val="0"/>
      <w:divBdr>
        <w:top w:val="none" w:sz="0" w:space="0" w:color="auto"/>
        <w:left w:val="none" w:sz="0" w:space="0" w:color="auto"/>
        <w:bottom w:val="none" w:sz="0" w:space="0" w:color="auto"/>
        <w:right w:val="none" w:sz="0" w:space="0" w:color="auto"/>
      </w:divBdr>
    </w:div>
    <w:div w:id="2016497495">
      <w:bodyDiv w:val="1"/>
      <w:marLeft w:val="0"/>
      <w:marRight w:val="0"/>
      <w:marTop w:val="0"/>
      <w:marBottom w:val="0"/>
      <w:divBdr>
        <w:top w:val="none" w:sz="0" w:space="0" w:color="auto"/>
        <w:left w:val="none" w:sz="0" w:space="0" w:color="auto"/>
        <w:bottom w:val="none" w:sz="0" w:space="0" w:color="auto"/>
        <w:right w:val="none" w:sz="0" w:space="0" w:color="auto"/>
      </w:divBdr>
    </w:div>
    <w:div w:id="2030637349">
      <w:bodyDiv w:val="1"/>
      <w:marLeft w:val="0"/>
      <w:marRight w:val="0"/>
      <w:marTop w:val="0"/>
      <w:marBottom w:val="0"/>
      <w:divBdr>
        <w:top w:val="none" w:sz="0" w:space="0" w:color="auto"/>
        <w:left w:val="none" w:sz="0" w:space="0" w:color="auto"/>
        <w:bottom w:val="none" w:sz="0" w:space="0" w:color="auto"/>
        <w:right w:val="none" w:sz="0" w:space="0" w:color="auto"/>
      </w:divBdr>
    </w:div>
    <w:div w:id="2066180166">
      <w:bodyDiv w:val="1"/>
      <w:marLeft w:val="0"/>
      <w:marRight w:val="0"/>
      <w:marTop w:val="0"/>
      <w:marBottom w:val="0"/>
      <w:divBdr>
        <w:top w:val="none" w:sz="0" w:space="0" w:color="auto"/>
        <w:left w:val="none" w:sz="0" w:space="0" w:color="auto"/>
        <w:bottom w:val="none" w:sz="0" w:space="0" w:color="auto"/>
        <w:right w:val="none" w:sz="0" w:space="0" w:color="auto"/>
      </w:divBdr>
    </w:div>
    <w:div w:id="2096170374">
      <w:bodyDiv w:val="1"/>
      <w:marLeft w:val="0"/>
      <w:marRight w:val="0"/>
      <w:marTop w:val="0"/>
      <w:marBottom w:val="0"/>
      <w:divBdr>
        <w:top w:val="none" w:sz="0" w:space="0" w:color="auto"/>
        <w:left w:val="none" w:sz="0" w:space="0" w:color="auto"/>
        <w:bottom w:val="none" w:sz="0" w:space="0" w:color="auto"/>
        <w:right w:val="none" w:sz="0" w:space="0" w:color="auto"/>
      </w:divBdr>
    </w:div>
    <w:div w:id="209748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header" Target="header3.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Raport%202016\___Anual\_AN\Grafice\SO2%202017.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Raport%202014\anual\grafice%20anual%202014\c6h6-anii%202008%202014%20captura%207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Raport%202016\___Anual\_AN\Grafice\PM10%20nef%20si%20grav-anii%202008%202016%20captura%2075.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Raport%202014\anual\grafice%20anual%202014\pm2,5-anii%202008%202014%20captura%2075.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Raport%202015\an%202015%20si%20medii\an-medii\gf%202008-2015%20metal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Raport%202015\an%202015%20si%20medii\an-medii\gf%202008-2015%20metale.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Raport%202015\an%202015%20si%20medii\an-medii\gf%202008-2015%20metale.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Raport%202015\an%202015%20si%20medii\an-medii\gf%202008-2015%20metale.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Raport%202015\an%202015%20si%20medii\an-medii\GF%20CT1%20trafic%20%20ani.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Raport%202015\an%202015%20si%20medii\an-medii\GF%20CT4%20trafic%20%20an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Raport%202016\___Anual\_AN\Grafice\NO2%202017.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Raport%202016\___Anual\_AN\Grafice\GF%20PM10gv%20ani%20depasiri%202008-2016.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sectoarelor%20din%20energie%20la%20emisiile%20cu%20efect%20acidifiant%202016.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20sect%20de%20activ%20din%20energ%20la%20emisiile%20precursori%20ozon%202016.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20sect%20de%20activ%20din%20energ%20la%20emisiile%20particule%202016.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20sect%20de%20activ%20din%20energ%20la%20emisiile%20metale%202016.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20sect%20de%20activ%20din%20energ%20la%20emisiile%20POPs%202016.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sectoarelor%20industriale%20emis%20efect%20acidifiant%202016.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sectoarelor%20industriale%20la%20emisiile%20de%20%20precursori%20ozon%202016.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sectoarelor%20industriale%20la%20emisiile%20de%20particule%20in%20suspensie%202016.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20sect%20de%20activ%20din%20energ%20la%20emisiile%20metale%20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aport%202016\___Anual\_AN\Grafice\CO%202016%20captura.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sectoarelor%20industriale%20la%20emisiile%20de%20%20POPs%202016.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sectoarelor%20de%20transport%20la%20emisiile%20cu%20efect%20acidifiant%202017.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tipurilor%20de%20autovehicole%20la%20emisiile%20cu%20efect%20acidifiant%202017.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sectoarelor%20de%20transport%20la%20emisiile%20precursori%20ozon%202017.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tipurilor%20de%20autovehicole%20la%20emisiile%20precursori%20ozon%202017.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utia%20sectoarelor%20de%20transport%20la%20emisiile%20de%20particule%20primare%202016.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20tipurilor%20de%20autovehicule%20la%20emisiile%20PM%202016.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Raport%202016\___Anual\_AN\Grafice\Grafice%20emisii%202016\Contrib%20tipurilor%20de%20autovehicule%20la%20emisiile%20metale%202016.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Raport%202015\an%202015%20si%20medii\an-medii\GF%20EMISII%202015\efect%20acidifiere%202007-201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poluanti%20cu%20efect%20de%20acidifiere%20si%20eutrofizare%20din%20sectorul%20de%20activitate%20energie2007-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Raport%202016\___Anual\_AN\Grafice\O3%202016%20doar%20captura.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Raport%202015\an%202015%20si%20medii\an-medii\GF%20EMISII%202015\acidifiere%20si%20eutrofizare%20din%20industrie%202007%202015.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poluanti%20cu%20efect%20de%20acidifiere%20si%20eutrofizare%20din%20sectorul%20de%20activitate%20transporturi%202007%202016.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poluanti%20cu%20efect%20de%20acidifiere%20si%20eutrofizare%20din%20sectorul%20de%20activitate%20%20agricultura%202007-2016.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poluanti%20precursori%20ai%20ozonului%202007-2016.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poluanti%20precursori%20ai%20ozonului%20din%20sectorul%20activitate%20energie%202007-20016.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poluanti%20precursori%20ai%20ozonului%20din%20sectorul%20activitate%20%20industrie%202007-2016.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Raport%202014\anual\grafice%20emisii\precursor%20ozon%20din%20transport.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poluanti%20precursori%20ai%20ozonului%20din%20sectorul%20activitate%20%20agricultura%202007-2016.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particule%20primare%20in%20suspensie2007-2016.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Raport%202016\___Anual\_AN\Grafice\Grafice%20emisii%202016\Tend%20emis%20de%20part%20primare%20in%20suspensie%20ENERGIE%202007-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Raport%202016\___Anual\_AN\Grafice\benzen%202017.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iilor%20de%20%20metale%20grele%202007-2016.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20%20metale%20grele%20IND%202007-2016.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ta%20emis%20metale%20grele%20TRANSPORT%202007-2016.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Raport%202016\___Anual\_AN\Grafice\Grafice%20emisii%202016\Tendinra%20persistenti%202007-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Raport%202015\an%202015%20si%20medii\an-medii\GF%20pm10%20grav%20captura%20201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Raport%202016\___Anual\_AN\Grafice\GF%20NO2%20ani%202008%202016.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Raport%202016\___Anual\_AN\Grafice\so2-anii%202008%202016%20captura%207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Raport%202016\___Anual\_AN\Grafice\CO-anii%202008%202016%20captura%20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SO2 </a:t>
            </a:r>
            <a:r>
              <a:rPr lang="en-US" sz="1200" b="1" i="0" u="none" strike="noStrike" baseline="0"/>
              <a:t>- Evolutia concentratiilor medii anuale inregistrate
in anul 2017 la statiile de monitorizare</a:t>
            </a:r>
            <a:endParaRPr lang="en-US"/>
          </a:p>
        </c:rich>
      </c:tx>
      <c:layout>
        <c:manualLayout>
          <c:xMode val="edge"/>
          <c:yMode val="edge"/>
          <c:x val="0.24851207349081375"/>
          <c:y val="1.5194681861348529E-2"/>
        </c:manualLayout>
      </c:layout>
      <c:overlay val="0"/>
      <c:spPr>
        <a:noFill/>
        <a:ln w="25400">
          <a:noFill/>
        </a:ln>
      </c:spPr>
    </c:title>
    <c:autoTitleDeleted val="0"/>
    <c:plotArea>
      <c:layout>
        <c:manualLayout>
          <c:layoutTarget val="inner"/>
          <c:xMode val="edge"/>
          <c:yMode val="edge"/>
          <c:x val="6.1011993425632211E-2"/>
          <c:y val="0.15384658188262873"/>
          <c:w val="0.9092275117819818"/>
          <c:h val="0.74359181243270533"/>
        </c:manualLayout>
      </c:layout>
      <c:barChart>
        <c:barDir val="col"/>
        <c:grouping val="clustered"/>
        <c:varyColors val="0"/>
        <c:ser>
          <c:idx val="0"/>
          <c:order val="0"/>
          <c:tx>
            <c:strRef>
              <c:f>Sheet1!$A$2</c:f>
              <c:strCache>
                <c:ptCount val="1"/>
                <c:pt idx="0">
                  <c:v>2017</c:v>
                </c:pt>
              </c:strCache>
            </c:strRef>
          </c:tx>
          <c:spPr>
            <a:solidFill>
              <a:srgbClr val="FFCC00"/>
            </a:solidFill>
            <a:ln w="25400">
              <a:noFill/>
            </a:ln>
          </c:spPr>
          <c:invertIfNegative val="0"/>
          <c:cat>
            <c:strRef>
              <c:f>Sheet1!$B$1:$H$1</c:f>
              <c:strCache>
                <c:ptCount val="7"/>
                <c:pt idx="0">
                  <c:v>CT1</c:v>
                </c:pt>
                <c:pt idx="1">
                  <c:v>CT-2</c:v>
                </c:pt>
                <c:pt idx="2">
                  <c:v>CT-3 </c:v>
                </c:pt>
                <c:pt idx="3">
                  <c:v>CT4</c:v>
                </c:pt>
                <c:pt idx="4">
                  <c:v>CT-5 </c:v>
                </c:pt>
                <c:pt idx="5">
                  <c:v>CT-6 </c:v>
                </c:pt>
                <c:pt idx="6">
                  <c:v>CT-7</c:v>
                </c:pt>
              </c:strCache>
            </c:strRef>
          </c:cat>
          <c:val>
            <c:numRef>
              <c:f>Sheet1!$B$2:$H$2</c:f>
              <c:numCache>
                <c:formatCode>General</c:formatCode>
                <c:ptCount val="7"/>
                <c:pt idx="0">
                  <c:v>5.8</c:v>
                </c:pt>
                <c:pt idx="1">
                  <c:v>6.86</c:v>
                </c:pt>
                <c:pt idx="2">
                  <c:v>6.32</c:v>
                </c:pt>
                <c:pt idx="3">
                  <c:v>6.41</c:v>
                </c:pt>
                <c:pt idx="4">
                  <c:v>7.06</c:v>
                </c:pt>
                <c:pt idx="5">
                  <c:v>6.73</c:v>
                </c:pt>
                <c:pt idx="6">
                  <c:v>6.71</c:v>
                </c:pt>
              </c:numCache>
            </c:numRef>
          </c:val>
        </c:ser>
        <c:dLbls>
          <c:showLegendKey val="0"/>
          <c:showVal val="0"/>
          <c:showCatName val="0"/>
          <c:showSerName val="0"/>
          <c:showPercent val="0"/>
          <c:showBubbleSize val="0"/>
        </c:dLbls>
        <c:gapWidth val="150"/>
        <c:axId val="303916928"/>
        <c:axId val="303918464"/>
      </c:barChart>
      <c:catAx>
        <c:axId val="3039169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918464"/>
        <c:crosses val="autoZero"/>
        <c:auto val="1"/>
        <c:lblAlgn val="ctr"/>
        <c:lblOffset val="100"/>
        <c:tickLblSkip val="1"/>
        <c:tickMarkSkip val="1"/>
        <c:noMultiLvlLbl val="0"/>
      </c:catAx>
      <c:valAx>
        <c:axId val="303918464"/>
        <c:scaling>
          <c:orientation val="minMax"/>
          <c:max val="15"/>
        </c:scaling>
        <c:delete val="0"/>
        <c:axPos val="l"/>
        <c:majorGridlines>
          <c:spPr>
            <a:ln w="3175">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916928"/>
        <c:crosses val="autoZero"/>
        <c:crossBetween val="between"/>
      </c:valAx>
      <c:spPr>
        <a:noFill/>
        <a:ln w="25400">
          <a:noFill/>
        </a:ln>
      </c:spPr>
    </c:plotArea>
    <c:plotVisOnly val="1"/>
    <c:dispBlanksAs val="zero"/>
    <c:showDLblsOverMax val="0"/>
  </c:chart>
  <c:spPr>
    <a:solidFill>
      <a:srgbClr val="FFFFFF"/>
    </a:solidFill>
    <a:ln w="25400">
      <a:solidFill>
        <a:srgbClr val="92D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Sheet1!$B$13</c:f>
              <c:strCache>
                <c:ptCount val="1"/>
                <c:pt idx="0">
                  <c:v>CT2</c:v>
                </c:pt>
              </c:strCache>
            </c:strRef>
          </c:tx>
          <c:invertIfNegative val="0"/>
          <c:cat>
            <c:numRef>
              <c:f>Sheet1!$C$12:$L$12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Sheet1!$C$13:$L$13</c:f>
              <c:numCache>
                <c:formatCode>General</c:formatCode>
                <c:ptCount val="10"/>
                <c:pt idx="1">
                  <c:v>52.48</c:v>
                </c:pt>
                <c:pt idx="4">
                  <c:v>50.88</c:v>
                </c:pt>
                <c:pt idx="5">
                  <c:v>32.42</c:v>
                </c:pt>
                <c:pt idx="7">
                  <c:v>39.35</c:v>
                </c:pt>
                <c:pt idx="8">
                  <c:v>33.99</c:v>
                </c:pt>
                <c:pt idx="9">
                  <c:v>50.53</c:v>
                </c:pt>
              </c:numCache>
            </c:numRef>
          </c:val>
        </c:ser>
        <c:ser>
          <c:idx val="1"/>
          <c:order val="1"/>
          <c:tx>
            <c:strRef>
              <c:f>Sheet1!$B$14</c:f>
              <c:strCache>
                <c:ptCount val="1"/>
                <c:pt idx="0">
                  <c:v>CT3</c:v>
                </c:pt>
              </c:strCache>
            </c:strRef>
          </c:tx>
          <c:invertIfNegative val="0"/>
          <c:cat>
            <c:numRef>
              <c:f>Sheet1!$C$12:$L$12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Sheet1!$C$14:$L$14</c:f>
              <c:numCache>
                <c:formatCode>General</c:formatCode>
                <c:ptCount val="10"/>
                <c:pt idx="0">
                  <c:v>86.44</c:v>
                </c:pt>
                <c:pt idx="1">
                  <c:v>63.67</c:v>
                </c:pt>
                <c:pt idx="2">
                  <c:v>60.81</c:v>
                </c:pt>
                <c:pt idx="3">
                  <c:v>51.58</c:v>
                </c:pt>
                <c:pt idx="4">
                  <c:v>54.19</c:v>
                </c:pt>
                <c:pt idx="6">
                  <c:v>51.61</c:v>
                </c:pt>
                <c:pt idx="9">
                  <c:v>56</c:v>
                </c:pt>
              </c:numCache>
            </c:numRef>
          </c:val>
        </c:ser>
        <c:ser>
          <c:idx val="2"/>
          <c:order val="2"/>
          <c:tx>
            <c:strRef>
              <c:f>Sheet1!$B$15</c:f>
              <c:strCache>
                <c:ptCount val="1"/>
                <c:pt idx="0">
                  <c:v>CT5</c:v>
                </c:pt>
              </c:strCache>
            </c:strRef>
          </c:tx>
          <c:invertIfNegative val="0"/>
          <c:cat>
            <c:numRef>
              <c:f>Sheet1!$C$12:$L$12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Sheet1!$C$15:$L$15</c:f>
              <c:numCache>
                <c:formatCode>General</c:formatCode>
                <c:ptCount val="10"/>
                <c:pt idx="0">
                  <c:v>80.28</c:v>
                </c:pt>
                <c:pt idx="1">
                  <c:v>46.08</c:v>
                </c:pt>
                <c:pt idx="2">
                  <c:v>58.12</c:v>
                </c:pt>
                <c:pt idx="3">
                  <c:v>42.36</c:v>
                </c:pt>
                <c:pt idx="4">
                  <c:v>51.43</c:v>
                </c:pt>
                <c:pt idx="5">
                  <c:v>31.81</c:v>
                </c:pt>
                <c:pt idx="8">
                  <c:v>35.5</c:v>
                </c:pt>
                <c:pt idx="9">
                  <c:v>47.99</c:v>
                </c:pt>
              </c:numCache>
            </c:numRef>
          </c:val>
        </c:ser>
        <c:ser>
          <c:idx val="3"/>
          <c:order val="3"/>
          <c:tx>
            <c:strRef>
              <c:f>Sheet1!$B$16</c:f>
              <c:strCache>
                <c:ptCount val="1"/>
                <c:pt idx="0">
                  <c:v>CT6</c:v>
                </c:pt>
              </c:strCache>
            </c:strRef>
          </c:tx>
          <c:invertIfNegative val="0"/>
          <c:cat>
            <c:numRef>
              <c:f>Sheet1!$C$12:$L$12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Sheet1!$C$16:$L$16</c:f>
              <c:numCache>
                <c:formatCode>General</c:formatCode>
                <c:ptCount val="10"/>
                <c:pt idx="0">
                  <c:v>73.47</c:v>
                </c:pt>
                <c:pt idx="1">
                  <c:v>52.6</c:v>
                </c:pt>
                <c:pt idx="2">
                  <c:v>51.6</c:v>
                </c:pt>
                <c:pt idx="3">
                  <c:v>33.520000000000003</c:v>
                </c:pt>
                <c:pt idx="5">
                  <c:v>26.51</c:v>
                </c:pt>
                <c:pt idx="7">
                  <c:v>40.99</c:v>
                </c:pt>
                <c:pt idx="9">
                  <c:v>55.11</c:v>
                </c:pt>
              </c:numCache>
            </c:numRef>
          </c:val>
        </c:ser>
        <c:ser>
          <c:idx val="4"/>
          <c:order val="4"/>
          <c:tx>
            <c:strRef>
              <c:f>Sheet1!$B$17</c:f>
              <c:strCache>
                <c:ptCount val="1"/>
                <c:pt idx="0">
                  <c:v>CT7</c:v>
                </c:pt>
              </c:strCache>
            </c:strRef>
          </c:tx>
          <c:invertIfNegative val="0"/>
          <c:cat>
            <c:numRef>
              <c:f>Sheet1!$C$12:$L$12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Sheet1!$C$17:$L$17</c:f>
              <c:numCache>
                <c:formatCode>General</c:formatCode>
                <c:ptCount val="10"/>
                <c:pt idx="0">
                  <c:v>58.33</c:v>
                </c:pt>
                <c:pt idx="1">
                  <c:v>56.14</c:v>
                </c:pt>
                <c:pt idx="3">
                  <c:v>40.549999999999997</c:v>
                </c:pt>
                <c:pt idx="5">
                  <c:v>32.200000000000003</c:v>
                </c:pt>
                <c:pt idx="6">
                  <c:v>37.86</c:v>
                </c:pt>
                <c:pt idx="7">
                  <c:v>37.869999999999997</c:v>
                </c:pt>
                <c:pt idx="8">
                  <c:v>44.72</c:v>
                </c:pt>
                <c:pt idx="9">
                  <c:v>51.46</c:v>
                </c:pt>
              </c:numCache>
            </c:numRef>
          </c:val>
        </c:ser>
        <c:dLbls>
          <c:showLegendKey val="0"/>
          <c:showVal val="0"/>
          <c:showCatName val="0"/>
          <c:showSerName val="0"/>
          <c:showPercent val="0"/>
          <c:showBubbleSize val="0"/>
        </c:dLbls>
        <c:gapWidth val="150"/>
        <c:axId val="304170496"/>
        <c:axId val="304172032"/>
      </c:barChart>
      <c:catAx>
        <c:axId val="304170496"/>
        <c:scaling>
          <c:orientation val="minMax"/>
        </c:scaling>
        <c:delete val="0"/>
        <c:axPos val="b"/>
        <c:numFmt formatCode="General" sourceLinked="1"/>
        <c:majorTickMark val="out"/>
        <c:minorTickMark val="none"/>
        <c:tickLblPos val="nextTo"/>
        <c:crossAx val="304172032"/>
        <c:crosses val="autoZero"/>
        <c:auto val="1"/>
        <c:lblAlgn val="ctr"/>
        <c:lblOffset val="100"/>
        <c:noMultiLvlLbl val="0"/>
      </c:catAx>
      <c:valAx>
        <c:axId val="304172032"/>
        <c:scaling>
          <c:orientation val="minMax"/>
          <c:max val="12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crossAx val="30417049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C6H6 - Evolutia concentratiilor medii anuale 2008-2014 in raport cu valoarea limita anuala pentru protectia sanatatii umane</a:t>
            </a:r>
          </a:p>
        </c:rich>
      </c:tx>
      <c:layout>
        <c:manualLayout>
          <c:xMode val="edge"/>
          <c:yMode val="edge"/>
          <c:x val="0.12286174959078792"/>
          <c:y val="2.8957528957528948E-2"/>
        </c:manualLayout>
      </c:layout>
      <c:overlay val="0"/>
      <c:spPr>
        <a:noFill/>
        <a:ln w="25400">
          <a:noFill/>
        </a:ln>
      </c:spPr>
    </c:title>
    <c:autoTitleDeleted val="0"/>
    <c:plotArea>
      <c:layout>
        <c:manualLayout>
          <c:layoutTarget val="inner"/>
          <c:xMode val="edge"/>
          <c:yMode val="edge"/>
          <c:x val="3.7325067224153193E-2"/>
          <c:y val="0.14671814671814681"/>
          <c:w val="0.9502340030815658"/>
          <c:h val="0.76640926640926665"/>
        </c:manualLayout>
      </c:layout>
      <c:barChart>
        <c:barDir val="col"/>
        <c:grouping val="clustered"/>
        <c:varyColors val="0"/>
        <c:ser>
          <c:idx val="0"/>
          <c:order val="0"/>
          <c:tx>
            <c:strRef>
              <c:f>Data!$B$79</c:f>
              <c:strCache>
                <c:ptCount val="1"/>
                <c:pt idx="0">
                  <c:v>CT-1</c:v>
                </c:pt>
              </c:strCache>
            </c:strRef>
          </c:tx>
          <c:spPr>
            <a:solidFill>
              <a:srgbClr val="000080"/>
            </a:solidFill>
            <a:ln w="25400">
              <a:noFill/>
            </a:ln>
          </c:spPr>
          <c:invertIfNegative val="0"/>
          <c:cat>
            <c:strRef>
              <c:f>Data!$C$78:$L$78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Data!$C$79:$L$79</c:f>
              <c:numCache>
                <c:formatCode>General</c:formatCode>
                <c:ptCount val="10"/>
                <c:pt idx="2">
                  <c:v>1.6636458551806459</c:v>
                </c:pt>
                <c:pt idx="4">
                  <c:v>2.4228813705046655</c:v>
                </c:pt>
                <c:pt idx="9">
                  <c:v>1.88</c:v>
                </c:pt>
              </c:numCache>
            </c:numRef>
          </c:val>
        </c:ser>
        <c:ser>
          <c:idx val="1"/>
          <c:order val="1"/>
          <c:tx>
            <c:strRef>
              <c:f>Data!$B$80</c:f>
              <c:strCache>
                <c:ptCount val="1"/>
                <c:pt idx="0">
                  <c:v>CT-2 </c:v>
                </c:pt>
              </c:strCache>
            </c:strRef>
          </c:tx>
          <c:spPr>
            <a:solidFill>
              <a:srgbClr val="339966"/>
            </a:solidFill>
            <a:ln w="25400">
              <a:noFill/>
            </a:ln>
          </c:spPr>
          <c:invertIfNegative val="0"/>
          <c:cat>
            <c:strRef>
              <c:f>Data!$C$78:$L$78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Data!$C$80:$L$80</c:f>
              <c:numCache>
                <c:formatCode>General</c:formatCode>
                <c:ptCount val="10"/>
                <c:pt idx="1">
                  <c:v>4.1614753250218204</c:v>
                </c:pt>
                <c:pt idx="2">
                  <c:v>1.3185512657080103</c:v>
                </c:pt>
                <c:pt idx="9">
                  <c:v>1.93</c:v>
                </c:pt>
              </c:numCache>
            </c:numRef>
          </c:val>
        </c:ser>
        <c:ser>
          <c:idx val="2"/>
          <c:order val="2"/>
          <c:tx>
            <c:strRef>
              <c:f>Data!$B$81</c:f>
              <c:strCache>
                <c:ptCount val="1"/>
                <c:pt idx="0">
                  <c:v>CT-3 </c:v>
                </c:pt>
              </c:strCache>
            </c:strRef>
          </c:tx>
          <c:spPr>
            <a:solidFill>
              <a:srgbClr val="993366"/>
            </a:solidFill>
            <a:ln w="25400">
              <a:noFill/>
            </a:ln>
          </c:spPr>
          <c:invertIfNegative val="0"/>
          <c:cat>
            <c:strRef>
              <c:f>Data!$C$78:$L$78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Data!$C$81:$L$81</c:f>
              <c:numCache>
                <c:formatCode>General</c:formatCode>
                <c:ptCount val="10"/>
                <c:pt idx="9">
                  <c:v>3.09</c:v>
                </c:pt>
              </c:numCache>
            </c:numRef>
          </c:val>
        </c:ser>
        <c:ser>
          <c:idx val="3"/>
          <c:order val="3"/>
          <c:tx>
            <c:strRef>
              <c:f>Data!$B$82</c:f>
              <c:strCache>
                <c:ptCount val="1"/>
                <c:pt idx="0">
                  <c:v>CT-4 </c:v>
                </c:pt>
              </c:strCache>
            </c:strRef>
          </c:tx>
          <c:spPr>
            <a:solidFill>
              <a:srgbClr val="00FFFF"/>
            </a:solidFill>
            <a:ln w="25400">
              <a:noFill/>
            </a:ln>
          </c:spPr>
          <c:invertIfNegative val="0"/>
          <c:cat>
            <c:strRef>
              <c:f>Data!$C$78:$L$78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Data!$C$82:$L$82</c:f>
              <c:numCache>
                <c:formatCode>General</c:formatCode>
                <c:ptCount val="10"/>
                <c:pt idx="0">
                  <c:v>3.3366333310778007</c:v>
                </c:pt>
                <c:pt idx="1">
                  <c:v>2.8891536888145875</c:v>
                </c:pt>
                <c:pt idx="9">
                  <c:v>1.63</c:v>
                </c:pt>
              </c:numCache>
            </c:numRef>
          </c:val>
        </c:ser>
        <c:ser>
          <c:idx val="4"/>
          <c:order val="4"/>
          <c:tx>
            <c:strRef>
              <c:f>Data!$B$83</c:f>
              <c:strCache>
                <c:ptCount val="1"/>
                <c:pt idx="0">
                  <c:v>CT-6</c:v>
                </c:pt>
              </c:strCache>
            </c:strRef>
          </c:tx>
          <c:spPr>
            <a:solidFill>
              <a:srgbClr val="FFCC00"/>
            </a:solidFill>
            <a:ln w="25400">
              <a:noFill/>
            </a:ln>
          </c:spPr>
          <c:invertIfNegative val="0"/>
          <c:cat>
            <c:strRef>
              <c:f>Data!$C$78:$L$78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Data!$C$83:$L$83</c:f>
              <c:numCache>
                <c:formatCode>General</c:formatCode>
                <c:ptCount val="10"/>
                <c:pt idx="1">
                  <c:v>3.4985606259478277</c:v>
                </c:pt>
                <c:pt idx="2">
                  <c:v>1.9597671244426258</c:v>
                </c:pt>
                <c:pt idx="3">
                  <c:v>2.1419478430307657</c:v>
                </c:pt>
                <c:pt idx="9">
                  <c:v>2.17</c:v>
                </c:pt>
              </c:numCache>
            </c:numRef>
          </c:val>
        </c:ser>
        <c:dLbls>
          <c:showLegendKey val="0"/>
          <c:showVal val="0"/>
          <c:showCatName val="0"/>
          <c:showSerName val="0"/>
          <c:showPercent val="0"/>
          <c:showBubbleSize val="0"/>
        </c:dLbls>
        <c:gapWidth val="150"/>
        <c:axId val="304217472"/>
        <c:axId val="304219264"/>
      </c:barChart>
      <c:lineChart>
        <c:grouping val="standard"/>
        <c:varyColors val="0"/>
        <c:ser>
          <c:idx val="5"/>
          <c:order val="5"/>
          <c:tx>
            <c:strRef>
              <c:f>Data!$B$84</c:f>
              <c:strCache>
                <c:ptCount val="1"/>
                <c:pt idx="0">
                  <c:v>val. lim. anuala prot. sanatatii</c:v>
                </c:pt>
              </c:strCache>
            </c:strRef>
          </c:tx>
          <c:spPr>
            <a:ln w="38100">
              <a:solidFill>
                <a:srgbClr val="FF0000"/>
              </a:solidFill>
              <a:prstDash val="solid"/>
            </a:ln>
          </c:spPr>
          <c:marker>
            <c:symbol val="none"/>
          </c:marker>
          <c:cat>
            <c:strRef>
              <c:f>Data!$C$78:$L$78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Data!$C$84:$L$84</c:f>
              <c:numCache>
                <c:formatCode>General</c:formatCode>
                <c:ptCount val="10"/>
                <c:pt idx="0">
                  <c:v>5</c:v>
                </c:pt>
                <c:pt idx="1">
                  <c:v>5</c:v>
                </c:pt>
                <c:pt idx="2">
                  <c:v>5</c:v>
                </c:pt>
                <c:pt idx="3">
                  <c:v>5</c:v>
                </c:pt>
                <c:pt idx="4">
                  <c:v>5</c:v>
                </c:pt>
                <c:pt idx="5">
                  <c:v>5</c:v>
                </c:pt>
                <c:pt idx="6">
                  <c:v>5</c:v>
                </c:pt>
                <c:pt idx="7">
                  <c:v>5</c:v>
                </c:pt>
                <c:pt idx="8">
                  <c:v>5</c:v>
                </c:pt>
                <c:pt idx="9">
                  <c:v>5</c:v>
                </c:pt>
              </c:numCache>
            </c:numRef>
          </c:val>
          <c:smooth val="0"/>
        </c:ser>
        <c:dLbls>
          <c:showLegendKey val="0"/>
          <c:showVal val="0"/>
          <c:showCatName val="0"/>
          <c:showSerName val="0"/>
          <c:showPercent val="0"/>
          <c:showBubbleSize val="0"/>
        </c:dLbls>
        <c:marker val="1"/>
        <c:smooth val="0"/>
        <c:axId val="304217472"/>
        <c:axId val="304219264"/>
      </c:lineChart>
      <c:catAx>
        <c:axId val="304217472"/>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219264"/>
        <c:crosses val="autoZero"/>
        <c:auto val="1"/>
        <c:lblAlgn val="ctr"/>
        <c:lblOffset val="100"/>
        <c:tickLblSkip val="1"/>
        <c:tickMarkSkip val="1"/>
        <c:noMultiLvlLbl val="0"/>
      </c:catAx>
      <c:valAx>
        <c:axId val="304219264"/>
        <c:scaling>
          <c:orientation val="minMax"/>
          <c:max val="8"/>
        </c:scaling>
        <c:delete val="0"/>
        <c:axPos val="l"/>
        <c:majorGridlines>
          <c:spPr>
            <a:ln w="3175">
              <a:solidFill>
                <a:srgbClr val="808080"/>
              </a:solidFill>
              <a:prstDash val="sysDash"/>
            </a:ln>
          </c:spPr>
        </c:majorGridlines>
        <c:title>
          <c:tx>
            <c:rich>
              <a:bodyPr rot="0" vert="horz"/>
              <a:lstStyle/>
              <a:p>
                <a:pPr algn="ctr">
                  <a:defRPr sz="925" b="0" i="0" u="none" strike="noStrike" baseline="0">
                    <a:solidFill>
                      <a:srgbClr val="000000"/>
                    </a:solidFill>
                    <a:latin typeface="Arial"/>
                    <a:ea typeface="Arial"/>
                    <a:cs typeface="Arial"/>
                  </a:defRPr>
                </a:pPr>
                <a:r>
                  <a:rPr lang="en-US"/>
                  <a:t>µg/m3</a:t>
                </a:r>
              </a:p>
            </c:rich>
          </c:tx>
          <c:layout>
            <c:manualLayout>
              <c:xMode val="edge"/>
              <c:yMode val="edge"/>
              <c:x val="4.97667185069985E-2"/>
              <c:y val="9.4594594594594725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217472"/>
        <c:crosses val="autoZero"/>
        <c:crossBetween val="between"/>
        <c:majorUnit val="1"/>
      </c:valAx>
      <c:spPr>
        <a:noFill/>
        <a:ln w="25400">
          <a:noFill/>
        </a:ln>
      </c:spPr>
    </c:plotArea>
    <c:legend>
      <c:legendPos val="r"/>
      <c:layout>
        <c:manualLayout>
          <c:xMode val="edge"/>
          <c:yMode val="edge"/>
          <c:x val="0.63452615079413677"/>
          <c:y val="0.18725868725868725"/>
          <c:w val="0.32348399684876128"/>
          <c:h val="0.14864864864864866"/>
        </c:manualLayout>
      </c:layout>
      <c:overlay val="0"/>
      <c:spPr>
        <a:noFill/>
        <a:ln w="25400">
          <a:noFill/>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PM10 nef. si grav. - Evolutia concentratiilor medii anuale 
2008-2016 in raport cu valoarea limita anuala pentru 
protectia sanatatii umane</a:t>
            </a:r>
          </a:p>
        </c:rich>
      </c:tx>
      <c:layout>
        <c:manualLayout>
          <c:xMode val="edge"/>
          <c:yMode val="edge"/>
          <c:x val="0.23224484964262834"/>
          <c:y val="1.9305019305019323E-3"/>
        </c:manualLayout>
      </c:layout>
      <c:overlay val="0"/>
      <c:spPr>
        <a:noFill/>
        <a:ln w="25400">
          <a:noFill/>
        </a:ln>
      </c:spPr>
    </c:title>
    <c:autoTitleDeleted val="0"/>
    <c:plotArea>
      <c:layout>
        <c:manualLayout>
          <c:layoutTarget val="inner"/>
          <c:xMode val="edge"/>
          <c:yMode val="edge"/>
          <c:x val="4.8211545164531147E-2"/>
          <c:y val="0.1756756756756756"/>
          <c:w val="0.9393475251411878"/>
          <c:h val="0.73552123552123561"/>
        </c:manualLayout>
      </c:layout>
      <c:barChart>
        <c:barDir val="col"/>
        <c:grouping val="clustered"/>
        <c:varyColors val="0"/>
        <c:ser>
          <c:idx val="0"/>
          <c:order val="0"/>
          <c:tx>
            <c:strRef>
              <c:f>Data!$A$119</c:f>
              <c:strCache>
                <c:ptCount val="1"/>
                <c:pt idx="0">
                  <c:v>CT-1 nef</c:v>
                </c:pt>
              </c:strCache>
            </c:strRef>
          </c:tx>
          <c:spPr>
            <a:solidFill>
              <a:srgbClr val="333399"/>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Data!$B$119:$K$119</c:f>
              <c:numCache>
                <c:formatCode>General</c:formatCode>
                <c:ptCount val="10"/>
                <c:pt idx="1">
                  <c:v>24.417142683758748</c:v>
                </c:pt>
                <c:pt idx="2">
                  <c:v>24.651249696745374</c:v>
                </c:pt>
                <c:pt idx="4">
                  <c:v>32.627736171295439</c:v>
                </c:pt>
                <c:pt idx="9">
                  <c:v>21.88</c:v>
                </c:pt>
              </c:numCache>
            </c:numRef>
          </c:val>
        </c:ser>
        <c:ser>
          <c:idx val="1"/>
          <c:order val="1"/>
          <c:tx>
            <c:strRef>
              <c:f>Data!$A$120</c:f>
              <c:strCache>
                <c:ptCount val="1"/>
                <c:pt idx="0">
                  <c:v>CT-1 grav</c:v>
                </c:pt>
              </c:strCache>
            </c:strRef>
          </c:tx>
          <c:spPr>
            <a:solidFill>
              <a:srgbClr val="0000FF"/>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Data!$B$120:$K$120</c:f>
              <c:numCache>
                <c:formatCode>General</c:formatCode>
                <c:ptCount val="10"/>
                <c:pt idx="1">
                  <c:v>23.423265682685077</c:v>
                </c:pt>
                <c:pt idx="2">
                  <c:v>31.313900009310476</c:v>
                </c:pt>
                <c:pt idx="4">
                  <c:v>40.322521943759611</c:v>
                </c:pt>
                <c:pt idx="5">
                  <c:v>36.193487912314929</c:v>
                </c:pt>
                <c:pt idx="9">
                  <c:v>28.84</c:v>
                </c:pt>
              </c:numCache>
            </c:numRef>
          </c:val>
        </c:ser>
        <c:ser>
          <c:idx val="2"/>
          <c:order val="2"/>
          <c:tx>
            <c:strRef>
              <c:f>Data!$A$121</c:f>
              <c:strCache>
                <c:ptCount val="1"/>
                <c:pt idx="0">
                  <c:v>CT-3 nef</c:v>
                </c:pt>
              </c:strCache>
            </c:strRef>
          </c:tx>
          <c:spPr>
            <a:solidFill>
              <a:srgbClr val="99CC00"/>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Data!$B$121:$K$121</c:f>
              <c:numCache>
                <c:formatCode>General</c:formatCode>
                <c:ptCount val="10"/>
                <c:pt idx="2">
                  <c:v>21.899371473835515</c:v>
                </c:pt>
                <c:pt idx="3">
                  <c:v>19.007254273418649</c:v>
                </c:pt>
                <c:pt idx="4">
                  <c:v>20.7005847674689</c:v>
                </c:pt>
                <c:pt idx="5">
                  <c:v>21.285917752289198</c:v>
                </c:pt>
                <c:pt idx="6">
                  <c:v>19.805047686527416</c:v>
                </c:pt>
                <c:pt idx="9">
                  <c:v>21.57</c:v>
                </c:pt>
              </c:numCache>
            </c:numRef>
          </c:val>
        </c:ser>
        <c:ser>
          <c:idx val="3"/>
          <c:order val="3"/>
          <c:tx>
            <c:strRef>
              <c:f>Data!$A$122</c:f>
              <c:strCache>
                <c:ptCount val="1"/>
                <c:pt idx="0">
                  <c:v>CT-3 grav</c:v>
                </c:pt>
              </c:strCache>
            </c:strRef>
          </c:tx>
          <c:spPr>
            <a:solidFill>
              <a:srgbClr val="008000"/>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Data!$B$122:$K$122</c:f>
              <c:numCache>
                <c:formatCode>General</c:formatCode>
                <c:ptCount val="10"/>
                <c:pt idx="2">
                  <c:v>19.635292674635018</c:v>
                </c:pt>
                <c:pt idx="5">
                  <c:v>22.950920651331899</c:v>
                </c:pt>
                <c:pt idx="9">
                  <c:v>23.4</c:v>
                </c:pt>
              </c:numCache>
            </c:numRef>
          </c:val>
        </c:ser>
        <c:ser>
          <c:idx val="4"/>
          <c:order val="4"/>
          <c:tx>
            <c:strRef>
              <c:f>Data!$A$123</c:f>
              <c:strCache>
                <c:ptCount val="1"/>
                <c:pt idx="0">
                  <c:v>CT-4 nef</c:v>
                </c:pt>
              </c:strCache>
            </c:strRef>
          </c:tx>
          <c:spPr>
            <a:solidFill>
              <a:srgbClr val="FFCC00"/>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Data!$B$123:$K$123</c:f>
              <c:numCache>
                <c:formatCode>General</c:formatCode>
                <c:ptCount val="10"/>
                <c:pt idx="1">
                  <c:v>28.863653469306652</c:v>
                </c:pt>
                <c:pt idx="3">
                  <c:v>21.242456448990573</c:v>
                </c:pt>
                <c:pt idx="9">
                  <c:v>18.12</c:v>
                </c:pt>
              </c:numCache>
            </c:numRef>
          </c:val>
        </c:ser>
        <c:ser>
          <c:idx val="5"/>
          <c:order val="5"/>
          <c:tx>
            <c:strRef>
              <c:f>Data!$A$124</c:f>
              <c:strCache>
                <c:ptCount val="1"/>
                <c:pt idx="0">
                  <c:v>CT-4 grav</c:v>
                </c:pt>
              </c:strCache>
            </c:strRef>
          </c:tx>
          <c:spPr>
            <a:solidFill>
              <a:srgbClr val="FFFF00"/>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Data!$B$124:$K$124</c:f>
              <c:numCache>
                <c:formatCode>General</c:formatCode>
                <c:ptCount val="10"/>
                <c:pt idx="1">
                  <c:v>17.905156475832374</c:v>
                </c:pt>
                <c:pt idx="2">
                  <c:v>19.488662084989649</c:v>
                </c:pt>
                <c:pt idx="5">
                  <c:v>22.427602691719194</c:v>
                </c:pt>
                <c:pt idx="7">
                  <c:v>22.96</c:v>
                </c:pt>
                <c:pt idx="8">
                  <c:v>18.530999999999999</c:v>
                </c:pt>
                <c:pt idx="9">
                  <c:v>20.6</c:v>
                </c:pt>
              </c:numCache>
            </c:numRef>
          </c:val>
        </c:ser>
        <c:ser>
          <c:idx val="6"/>
          <c:order val="6"/>
          <c:tx>
            <c:strRef>
              <c:f>Data!$A$125</c:f>
              <c:strCache>
                <c:ptCount val="1"/>
                <c:pt idx="0">
                  <c:v>CT-5 nef</c:v>
                </c:pt>
              </c:strCache>
            </c:strRef>
          </c:tx>
          <c:spPr>
            <a:solidFill>
              <a:srgbClr val="FF99CC"/>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Data!$B$125:$K$125</c:f>
              <c:numCache>
                <c:formatCode>General</c:formatCode>
                <c:ptCount val="10"/>
                <c:pt idx="0">
                  <c:v>30.312261244612916</c:v>
                </c:pt>
                <c:pt idx="1">
                  <c:v>19.708446730051186</c:v>
                </c:pt>
                <c:pt idx="3">
                  <c:v>23.202288931122474</c:v>
                </c:pt>
                <c:pt idx="4">
                  <c:v>32.172578479893289</c:v>
                </c:pt>
                <c:pt idx="9">
                  <c:v>18.260000000000002</c:v>
                </c:pt>
              </c:numCache>
            </c:numRef>
          </c:val>
        </c:ser>
        <c:ser>
          <c:idx val="7"/>
          <c:order val="7"/>
          <c:tx>
            <c:strRef>
              <c:f>Data!$A$126</c:f>
              <c:strCache>
                <c:ptCount val="1"/>
                <c:pt idx="0">
                  <c:v>CT-5 grav </c:v>
                </c:pt>
              </c:strCache>
            </c:strRef>
          </c:tx>
          <c:spPr>
            <a:solidFill>
              <a:srgbClr val="FF00FF"/>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Data!$B$126:$K$126</c:f>
              <c:numCache>
                <c:formatCode>General</c:formatCode>
                <c:ptCount val="10"/>
                <c:pt idx="1">
                  <c:v>22.011473770722677</c:v>
                </c:pt>
                <c:pt idx="5">
                  <c:v>28.366131452740401</c:v>
                </c:pt>
                <c:pt idx="9">
                  <c:v>23.95</c:v>
                </c:pt>
              </c:numCache>
            </c:numRef>
          </c:val>
        </c:ser>
        <c:ser>
          <c:idx val="8"/>
          <c:order val="8"/>
          <c:tx>
            <c:strRef>
              <c:f>Data!$A$127</c:f>
              <c:strCache>
                <c:ptCount val="1"/>
                <c:pt idx="0">
                  <c:v>CT-6 nef</c:v>
                </c:pt>
              </c:strCache>
            </c:strRef>
          </c:tx>
          <c:spPr>
            <a:solidFill>
              <a:srgbClr val="800080"/>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Data!$B$127:$K$127</c:f>
              <c:numCache>
                <c:formatCode>General</c:formatCode>
                <c:ptCount val="10"/>
                <c:pt idx="1">
                  <c:v>24.379547722466384</c:v>
                </c:pt>
                <c:pt idx="2">
                  <c:v>28.216336275910436</c:v>
                </c:pt>
                <c:pt idx="5">
                  <c:v>25.55343545906689</c:v>
                </c:pt>
                <c:pt idx="9">
                  <c:v>18.53</c:v>
                </c:pt>
              </c:numCache>
            </c:numRef>
          </c:val>
        </c:ser>
        <c:ser>
          <c:idx val="9"/>
          <c:order val="9"/>
          <c:tx>
            <c:strRef>
              <c:f>Data!$A$128</c:f>
              <c:strCache>
                <c:ptCount val="1"/>
                <c:pt idx="0">
                  <c:v>CT-7 nef</c:v>
                </c:pt>
              </c:strCache>
            </c:strRef>
          </c:tx>
          <c:spPr>
            <a:solidFill>
              <a:srgbClr val="C0C0C0"/>
            </a:solidFill>
            <a:ln w="25400">
              <a:noFill/>
            </a:ln>
          </c:spPr>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Data!$B$128:$K$128</c:f>
              <c:numCache>
                <c:formatCode>General</c:formatCode>
                <c:ptCount val="10"/>
                <c:pt idx="0">
                  <c:v>26.795604415649244</c:v>
                </c:pt>
                <c:pt idx="1">
                  <c:v>25.013507145103503</c:v>
                </c:pt>
                <c:pt idx="2">
                  <c:v>26.3238079587851</c:v>
                </c:pt>
                <c:pt idx="3">
                  <c:v>24.362257504425912</c:v>
                </c:pt>
                <c:pt idx="5">
                  <c:v>26.727624798125959</c:v>
                </c:pt>
                <c:pt idx="7">
                  <c:v>30.51</c:v>
                </c:pt>
                <c:pt idx="9">
                  <c:v>23.26</c:v>
                </c:pt>
              </c:numCache>
            </c:numRef>
          </c:val>
        </c:ser>
        <c:ser>
          <c:idx val="10"/>
          <c:order val="10"/>
          <c:tx>
            <c:strRef>
              <c:f>Data!$A$129</c:f>
              <c:strCache>
                <c:ptCount val="1"/>
                <c:pt idx="0">
                  <c:v>CT-7 grav </c:v>
                </c:pt>
              </c:strCache>
            </c:strRef>
          </c:tx>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Data!$B$129:$K$129</c:f>
              <c:numCache>
                <c:formatCode>General</c:formatCode>
                <c:ptCount val="10"/>
                <c:pt idx="2">
                  <c:v>28.925558361750429</c:v>
                </c:pt>
                <c:pt idx="5">
                  <c:v>28.827587316050849</c:v>
                </c:pt>
                <c:pt idx="7">
                  <c:v>25.81</c:v>
                </c:pt>
                <c:pt idx="9">
                  <c:v>24.12</c:v>
                </c:pt>
              </c:numCache>
            </c:numRef>
          </c:val>
        </c:ser>
        <c:ser>
          <c:idx val="11"/>
          <c:order val="11"/>
          <c:tx>
            <c:strRef>
              <c:f>Data!$A$130</c:f>
              <c:strCache>
                <c:ptCount val="1"/>
                <c:pt idx="0">
                  <c:v>val. lim. anuala prot. sanatatii</c:v>
                </c:pt>
              </c:strCache>
            </c:strRef>
          </c:tx>
          <c:invertIfNegative val="0"/>
          <c:cat>
            <c:strRef>
              <c:f>Data!$B$118:$K$118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Data!$B$130:$K$130</c:f>
              <c:numCache>
                <c:formatCode>General</c:formatCode>
                <c:ptCount val="10"/>
                <c:pt idx="0">
                  <c:v>40</c:v>
                </c:pt>
                <c:pt idx="1">
                  <c:v>40</c:v>
                </c:pt>
                <c:pt idx="2">
                  <c:v>40</c:v>
                </c:pt>
                <c:pt idx="3">
                  <c:v>40</c:v>
                </c:pt>
                <c:pt idx="4">
                  <c:v>40</c:v>
                </c:pt>
                <c:pt idx="5">
                  <c:v>40</c:v>
                </c:pt>
                <c:pt idx="6">
                  <c:v>40</c:v>
                </c:pt>
                <c:pt idx="7">
                  <c:v>40</c:v>
                </c:pt>
                <c:pt idx="8">
                  <c:v>40</c:v>
                </c:pt>
              </c:numCache>
            </c:numRef>
          </c:val>
        </c:ser>
        <c:dLbls>
          <c:showLegendKey val="0"/>
          <c:showVal val="0"/>
          <c:showCatName val="0"/>
          <c:showSerName val="0"/>
          <c:showPercent val="0"/>
          <c:showBubbleSize val="0"/>
        </c:dLbls>
        <c:gapWidth val="150"/>
        <c:axId val="304294144"/>
        <c:axId val="304308224"/>
      </c:barChart>
      <c:catAx>
        <c:axId val="304294144"/>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4308224"/>
        <c:crosses val="autoZero"/>
        <c:auto val="1"/>
        <c:lblAlgn val="ctr"/>
        <c:lblOffset val="100"/>
        <c:tickLblSkip val="1"/>
        <c:tickMarkSkip val="1"/>
        <c:noMultiLvlLbl val="0"/>
      </c:catAx>
      <c:valAx>
        <c:axId val="304308224"/>
        <c:scaling>
          <c:orientation val="minMax"/>
          <c:max val="60"/>
        </c:scaling>
        <c:delete val="0"/>
        <c:axPos val="l"/>
        <c:majorGridlines>
          <c:spPr>
            <a:ln w="3175">
              <a:solidFill>
                <a:srgbClr val="808080"/>
              </a:solidFill>
              <a:prstDash val="sysDash"/>
            </a:ln>
          </c:spPr>
        </c:majorGridlines>
        <c:title>
          <c:tx>
            <c:rich>
              <a:bodyPr rot="0" vert="horz"/>
              <a:lstStyle/>
              <a:p>
                <a:pPr algn="ctr">
                  <a:defRPr sz="1000" b="0" i="0" u="none" strike="noStrike" baseline="0">
                    <a:solidFill>
                      <a:srgbClr val="000000"/>
                    </a:solidFill>
                    <a:latin typeface="Arial"/>
                    <a:ea typeface="Arial"/>
                    <a:cs typeface="Arial"/>
                  </a:defRPr>
                </a:pPr>
                <a:r>
                  <a:rPr lang="en-US"/>
                  <a:t>µg/m3</a:t>
                </a:r>
              </a:p>
            </c:rich>
          </c:tx>
          <c:layout>
            <c:manualLayout>
              <c:xMode val="edge"/>
              <c:yMode val="edge"/>
              <c:x val="4.8211508553654706E-2"/>
              <c:y val="0.125482625482625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4294144"/>
        <c:crosses val="autoZero"/>
        <c:crossBetween val="between"/>
        <c:majorUnit val="5"/>
      </c:valAx>
      <c:spPr>
        <a:noFill/>
        <a:ln w="25400">
          <a:noFill/>
        </a:ln>
      </c:spPr>
    </c:plotArea>
    <c:legend>
      <c:legendPos val="r"/>
      <c:layout>
        <c:manualLayout>
          <c:xMode val="edge"/>
          <c:yMode val="edge"/>
          <c:x val="0.66251992995432341"/>
          <c:y val="0.13127413127413126"/>
          <c:w val="0.23099333423135496"/>
          <c:h val="0.44326270027057435"/>
        </c:manualLayout>
      </c:layout>
      <c:overlay val="0"/>
      <c:spPr>
        <a:noFill/>
        <a:ln w="25400">
          <a:noFill/>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PM2,5 nef. si grav. - Evolutia concentratiilor medii anuale 
2008-2016 in raport cu valoarea limita anuala </a:t>
            </a:r>
          </a:p>
        </c:rich>
      </c:tx>
      <c:layout>
        <c:manualLayout>
          <c:xMode val="edge"/>
          <c:yMode val="edge"/>
          <c:x val="0.1648524183310679"/>
          <c:y val="9.6525096525096679E-3"/>
        </c:manualLayout>
      </c:layout>
      <c:overlay val="0"/>
      <c:spPr>
        <a:noFill/>
        <a:ln w="25400">
          <a:noFill/>
        </a:ln>
      </c:spPr>
    </c:title>
    <c:autoTitleDeleted val="0"/>
    <c:plotArea>
      <c:layout>
        <c:manualLayout>
          <c:layoutTarget val="inner"/>
          <c:xMode val="edge"/>
          <c:yMode val="edge"/>
          <c:x val="4.8211545164531147E-2"/>
          <c:y val="0.1756756756756756"/>
          <c:w val="0.9393475251411878"/>
          <c:h val="0.73552123552123561"/>
        </c:manualLayout>
      </c:layout>
      <c:barChart>
        <c:barDir val="col"/>
        <c:grouping val="clustered"/>
        <c:varyColors val="0"/>
        <c:ser>
          <c:idx val="0"/>
          <c:order val="0"/>
          <c:tx>
            <c:strRef>
              <c:f>Data!$A$88</c:f>
              <c:strCache>
                <c:ptCount val="1"/>
                <c:pt idx="0">
                  <c:v>CT-2 nef</c:v>
                </c:pt>
              </c:strCache>
            </c:strRef>
          </c:tx>
          <c:spPr>
            <a:solidFill>
              <a:srgbClr val="800080"/>
            </a:solidFill>
            <a:ln w="25400">
              <a:noFill/>
            </a:ln>
          </c:spPr>
          <c:invertIfNegative val="0"/>
          <c:cat>
            <c:strRef>
              <c:f>Data!$B$87:$J$87</c:f>
              <c:strCache>
                <c:ptCount val="9"/>
                <c:pt idx="0">
                  <c:v>2009</c:v>
                </c:pt>
                <c:pt idx="1">
                  <c:v>2010</c:v>
                </c:pt>
                <c:pt idx="2">
                  <c:v>2011</c:v>
                </c:pt>
                <c:pt idx="3">
                  <c:v>2012</c:v>
                </c:pt>
                <c:pt idx="4">
                  <c:v>2013</c:v>
                </c:pt>
                <c:pt idx="5">
                  <c:v>2014</c:v>
                </c:pt>
                <c:pt idx="6">
                  <c:v>2015</c:v>
                </c:pt>
                <c:pt idx="7">
                  <c:v>2016</c:v>
                </c:pt>
                <c:pt idx="8">
                  <c:v>2017</c:v>
                </c:pt>
              </c:strCache>
            </c:strRef>
          </c:cat>
          <c:val>
            <c:numRef>
              <c:f>Data!$B$88:$J$88</c:f>
              <c:numCache>
                <c:formatCode>General</c:formatCode>
                <c:ptCount val="9"/>
                <c:pt idx="0">
                  <c:v>13.79</c:v>
                </c:pt>
                <c:pt idx="1">
                  <c:v>15.73</c:v>
                </c:pt>
                <c:pt idx="2">
                  <c:v>17.32</c:v>
                </c:pt>
                <c:pt idx="3">
                  <c:v>18.2</c:v>
                </c:pt>
                <c:pt idx="8">
                  <c:v>18.89</c:v>
                </c:pt>
              </c:numCache>
            </c:numRef>
          </c:val>
        </c:ser>
        <c:ser>
          <c:idx val="1"/>
          <c:order val="1"/>
          <c:tx>
            <c:strRef>
              <c:f>Data!$A$89</c:f>
              <c:strCache>
                <c:ptCount val="1"/>
                <c:pt idx="0">
                  <c:v>CT-2 grav</c:v>
                </c:pt>
              </c:strCache>
            </c:strRef>
          </c:tx>
          <c:spPr>
            <a:solidFill>
              <a:srgbClr val="FF99CC"/>
            </a:solidFill>
            <a:ln w="25400">
              <a:noFill/>
            </a:ln>
          </c:spPr>
          <c:invertIfNegative val="0"/>
          <c:cat>
            <c:strRef>
              <c:f>Data!$B$87:$J$87</c:f>
              <c:strCache>
                <c:ptCount val="9"/>
                <c:pt idx="0">
                  <c:v>2009</c:v>
                </c:pt>
                <c:pt idx="1">
                  <c:v>2010</c:v>
                </c:pt>
                <c:pt idx="2">
                  <c:v>2011</c:v>
                </c:pt>
                <c:pt idx="3">
                  <c:v>2012</c:v>
                </c:pt>
                <c:pt idx="4">
                  <c:v>2013</c:v>
                </c:pt>
                <c:pt idx="5">
                  <c:v>2014</c:v>
                </c:pt>
                <c:pt idx="6">
                  <c:v>2015</c:v>
                </c:pt>
                <c:pt idx="7">
                  <c:v>2016</c:v>
                </c:pt>
                <c:pt idx="8">
                  <c:v>2017</c:v>
                </c:pt>
              </c:strCache>
            </c:strRef>
          </c:cat>
          <c:val>
            <c:numRef>
              <c:f>Data!$B$89:$J$89</c:f>
              <c:numCache>
                <c:formatCode>General</c:formatCode>
                <c:ptCount val="9"/>
                <c:pt idx="0">
                  <c:v>13</c:v>
                </c:pt>
                <c:pt idx="3">
                  <c:v>16.28</c:v>
                </c:pt>
                <c:pt idx="8">
                  <c:v>12.29</c:v>
                </c:pt>
              </c:numCache>
            </c:numRef>
          </c:val>
        </c:ser>
        <c:dLbls>
          <c:showLegendKey val="0"/>
          <c:showVal val="0"/>
          <c:showCatName val="0"/>
          <c:showSerName val="0"/>
          <c:showPercent val="0"/>
          <c:showBubbleSize val="0"/>
        </c:dLbls>
        <c:gapWidth val="150"/>
        <c:axId val="304331008"/>
        <c:axId val="304336896"/>
      </c:barChart>
      <c:lineChart>
        <c:grouping val="standard"/>
        <c:varyColors val="0"/>
        <c:ser>
          <c:idx val="2"/>
          <c:order val="2"/>
          <c:tx>
            <c:strRef>
              <c:f>Data!$A$90</c:f>
              <c:strCache>
                <c:ptCount val="1"/>
                <c:pt idx="0">
                  <c:v>val. lim. anuala</c:v>
                </c:pt>
              </c:strCache>
            </c:strRef>
          </c:tx>
          <c:spPr>
            <a:ln w="38100">
              <a:solidFill>
                <a:srgbClr val="FF0000"/>
              </a:solidFill>
              <a:prstDash val="solid"/>
            </a:ln>
          </c:spPr>
          <c:marker>
            <c:symbol val="none"/>
          </c:marker>
          <c:cat>
            <c:strRef>
              <c:f>Data!$B$87:$J$87</c:f>
              <c:strCache>
                <c:ptCount val="9"/>
                <c:pt idx="0">
                  <c:v>2009</c:v>
                </c:pt>
                <c:pt idx="1">
                  <c:v>2010</c:v>
                </c:pt>
                <c:pt idx="2">
                  <c:v>2011</c:v>
                </c:pt>
                <c:pt idx="3">
                  <c:v>2012</c:v>
                </c:pt>
                <c:pt idx="4">
                  <c:v>2013</c:v>
                </c:pt>
                <c:pt idx="5">
                  <c:v>2014</c:v>
                </c:pt>
                <c:pt idx="6">
                  <c:v>2015</c:v>
                </c:pt>
                <c:pt idx="7">
                  <c:v>2016</c:v>
                </c:pt>
                <c:pt idx="8">
                  <c:v>2017</c:v>
                </c:pt>
              </c:strCache>
            </c:strRef>
          </c:cat>
          <c:val>
            <c:numRef>
              <c:f>Data!$B$90:$J$90</c:f>
              <c:numCache>
                <c:formatCode>General</c:formatCode>
                <c:ptCount val="9"/>
                <c:pt idx="0">
                  <c:v>25</c:v>
                </c:pt>
                <c:pt idx="1">
                  <c:v>25</c:v>
                </c:pt>
                <c:pt idx="2">
                  <c:v>25</c:v>
                </c:pt>
                <c:pt idx="3">
                  <c:v>25</c:v>
                </c:pt>
                <c:pt idx="4">
                  <c:v>25</c:v>
                </c:pt>
                <c:pt idx="5">
                  <c:v>25</c:v>
                </c:pt>
                <c:pt idx="6">
                  <c:v>25</c:v>
                </c:pt>
                <c:pt idx="7">
                  <c:v>25</c:v>
                </c:pt>
                <c:pt idx="8">
                  <c:v>25</c:v>
                </c:pt>
              </c:numCache>
            </c:numRef>
          </c:val>
          <c:smooth val="0"/>
        </c:ser>
        <c:dLbls>
          <c:showLegendKey val="0"/>
          <c:showVal val="0"/>
          <c:showCatName val="0"/>
          <c:showSerName val="0"/>
          <c:showPercent val="0"/>
          <c:showBubbleSize val="0"/>
        </c:dLbls>
        <c:marker val="1"/>
        <c:smooth val="0"/>
        <c:axId val="304331008"/>
        <c:axId val="304336896"/>
      </c:lineChart>
      <c:catAx>
        <c:axId val="304331008"/>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4336896"/>
        <c:crosses val="autoZero"/>
        <c:auto val="1"/>
        <c:lblAlgn val="ctr"/>
        <c:lblOffset val="100"/>
        <c:tickLblSkip val="1"/>
        <c:tickMarkSkip val="1"/>
        <c:noMultiLvlLbl val="0"/>
      </c:catAx>
      <c:valAx>
        <c:axId val="304336896"/>
        <c:scaling>
          <c:orientation val="minMax"/>
          <c:max val="35"/>
        </c:scaling>
        <c:delete val="0"/>
        <c:axPos val="l"/>
        <c:majorGridlines>
          <c:spPr>
            <a:ln w="3175">
              <a:solidFill>
                <a:srgbClr val="808080"/>
              </a:solidFill>
              <a:prstDash val="sysDash"/>
            </a:ln>
          </c:spPr>
        </c:majorGridlines>
        <c:title>
          <c:tx>
            <c:rich>
              <a:bodyPr rot="0" vert="horz"/>
              <a:lstStyle/>
              <a:p>
                <a:pPr algn="ctr">
                  <a:defRPr sz="1000" b="0" i="0" u="none" strike="noStrike" baseline="0">
                    <a:solidFill>
                      <a:srgbClr val="000000"/>
                    </a:solidFill>
                    <a:latin typeface="Arial"/>
                    <a:ea typeface="Arial"/>
                    <a:cs typeface="Arial"/>
                  </a:defRPr>
                </a:pPr>
                <a:r>
                  <a:rPr lang="en-US"/>
                  <a:t>µg/m3</a:t>
                </a:r>
              </a:p>
            </c:rich>
          </c:tx>
          <c:layout>
            <c:manualLayout>
              <c:xMode val="edge"/>
              <c:yMode val="edge"/>
              <c:x val="4.8211508553654706E-2"/>
              <c:y val="0.125482625482625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4331008"/>
        <c:crosses val="autoZero"/>
        <c:crossBetween val="between"/>
        <c:majorUnit val="5"/>
      </c:valAx>
      <c:spPr>
        <a:noFill/>
        <a:ln w="25400">
          <a:noFill/>
        </a:ln>
      </c:spPr>
    </c:plotArea>
    <c:legend>
      <c:legendPos val="r"/>
      <c:layout>
        <c:manualLayout>
          <c:xMode val="edge"/>
          <c:yMode val="edge"/>
          <c:x val="0.17573888800447388"/>
          <c:y val="0.33011583011583034"/>
          <c:w val="0.46500810260303771"/>
          <c:h val="3.8610038610038588E-2"/>
        </c:manualLayout>
      </c:layout>
      <c:overlay val="0"/>
      <c:spPr>
        <a:noFill/>
        <a:ln w="25400">
          <a:noFill/>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Pb - Evolutia concentratiilor medii anuale inregistrate la statiile de monitorizare in raport cu valoarea limita</a:t>
            </a:r>
          </a:p>
        </c:rich>
      </c:tx>
      <c:layout>
        <c:manualLayout>
          <c:xMode val="edge"/>
          <c:yMode val="edge"/>
          <c:x val="0.14508580343213817"/>
          <c:y val="2.6485788113695216E-2"/>
        </c:manualLayout>
      </c:layout>
      <c:overlay val="0"/>
      <c:spPr>
        <a:noFill/>
        <a:ln w="25400">
          <a:noFill/>
        </a:ln>
      </c:spPr>
    </c:title>
    <c:autoTitleDeleted val="0"/>
    <c:plotArea>
      <c:layout>
        <c:manualLayout>
          <c:layoutTarget val="inner"/>
          <c:xMode val="edge"/>
          <c:yMode val="edge"/>
          <c:x val="5.3042121684867397E-2"/>
          <c:y val="0.14728710045554091"/>
          <c:w val="0.93447737909516349"/>
          <c:h val="0.76550532473603428"/>
        </c:manualLayout>
      </c:layout>
      <c:barChart>
        <c:barDir val="col"/>
        <c:grouping val="clustered"/>
        <c:varyColors val="0"/>
        <c:ser>
          <c:idx val="0"/>
          <c:order val="0"/>
          <c:tx>
            <c:strRef>
              <c:f>Sheet1!$E$354</c:f>
              <c:strCache>
                <c:ptCount val="1"/>
                <c:pt idx="0">
                  <c:v>CT1</c:v>
                </c:pt>
              </c:strCache>
            </c:strRef>
          </c:tx>
          <c:spPr>
            <a:solidFill>
              <a:srgbClr val="000080"/>
            </a:solidFill>
            <a:ln w="25400">
              <a:noFill/>
            </a:ln>
          </c:spPr>
          <c:invertIfNegative val="0"/>
          <c:cat>
            <c:numRef>
              <c:f>Sheet1!$D$355:$D$363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Sheet1!$E$355:$E$363</c:f>
              <c:numCache>
                <c:formatCode>General</c:formatCode>
                <c:ptCount val="9"/>
                <c:pt idx="0">
                  <c:v>0.17680000000000001</c:v>
                </c:pt>
                <c:pt idx="1">
                  <c:v>1.7000000000000001E-2</c:v>
                </c:pt>
                <c:pt idx="2">
                  <c:v>1.4E-2</c:v>
                </c:pt>
                <c:pt idx="3">
                  <c:v>8.0000000000000227E-3</c:v>
                </c:pt>
                <c:pt idx="4">
                  <c:v>3.0000000000000002E-2</c:v>
                </c:pt>
                <c:pt idx="5">
                  <c:v>1.0000000000000005E-2</c:v>
                </c:pt>
              </c:numCache>
            </c:numRef>
          </c:val>
        </c:ser>
        <c:ser>
          <c:idx val="2"/>
          <c:order val="1"/>
          <c:tx>
            <c:strRef>
              <c:f>Sheet1!$F$354</c:f>
              <c:strCache>
                <c:ptCount val="1"/>
                <c:pt idx="0">
                  <c:v>CT3</c:v>
                </c:pt>
              </c:strCache>
            </c:strRef>
          </c:tx>
          <c:spPr>
            <a:solidFill>
              <a:srgbClr val="92D050"/>
            </a:solidFill>
            <a:ln w="25400">
              <a:noFill/>
            </a:ln>
          </c:spPr>
          <c:invertIfNegative val="0"/>
          <c:cat>
            <c:numRef>
              <c:f>Sheet1!$D$355:$D$363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Sheet1!$F$355:$F$363</c:f>
              <c:numCache>
                <c:formatCode>General</c:formatCode>
                <c:ptCount val="9"/>
                <c:pt idx="0">
                  <c:v>6.1199999999999997E-2</c:v>
                </c:pt>
                <c:pt idx="1">
                  <c:v>9.0000000000000028E-3</c:v>
                </c:pt>
                <c:pt idx="2">
                  <c:v>9.0000000000000028E-3</c:v>
                </c:pt>
                <c:pt idx="3">
                  <c:v>9.0000000000000028E-3</c:v>
                </c:pt>
                <c:pt idx="4">
                  <c:v>1.0000000000000005E-2</c:v>
                </c:pt>
                <c:pt idx="5">
                  <c:v>1.0000000000000005E-2</c:v>
                </c:pt>
              </c:numCache>
            </c:numRef>
          </c:val>
        </c:ser>
        <c:ser>
          <c:idx val="3"/>
          <c:order val="2"/>
          <c:tx>
            <c:strRef>
              <c:f>Sheet1!$G$354</c:f>
              <c:strCache>
                <c:ptCount val="1"/>
                <c:pt idx="0">
                  <c:v>CT4</c:v>
                </c:pt>
              </c:strCache>
            </c:strRef>
          </c:tx>
          <c:spPr>
            <a:solidFill>
              <a:srgbClr val="00FFFF"/>
            </a:solidFill>
            <a:ln w="25400">
              <a:noFill/>
            </a:ln>
          </c:spPr>
          <c:invertIfNegative val="0"/>
          <c:cat>
            <c:numRef>
              <c:f>Sheet1!$D$355:$D$363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Sheet1!$G$355:$G$363</c:f>
              <c:numCache>
                <c:formatCode>General</c:formatCode>
                <c:ptCount val="9"/>
                <c:pt idx="1">
                  <c:v>9.0000000000000028E-3</c:v>
                </c:pt>
                <c:pt idx="2">
                  <c:v>1.0000000000000005E-2</c:v>
                </c:pt>
                <c:pt idx="3">
                  <c:v>1.0000000000000005E-2</c:v>
                </c:pt>
                <c:pt idx="4">
                  <c:v>2.0000000000000011E-2</c:v>
                </c:pt>
                <c:pt idx="7">
                  <c:v>8.3333333333333367E-3</c:v>
                </c:pt>
              </c:numCache>
            </c:numRef>
          </c:val>
        </c:ser>
        <c:ser>
          <c:idx val="4"/>
          <c:order val="3"/>
          <c:tx>
            <c:strRef>
              <c:f>Sheet1!$H$354</c:f>
              <c:strCache>
                <c:ptCount val="1"/>
                <c:pt idx="0">
                  <c:v>CT5</c:v>
                </c:pt>
              </c:strCache>
            </c:strRef>
          </c:tx>
          <c:spPr>
            <a:solidFill>
              <a:srgbClr val="FFCC00"/>
            </a:solidFill>
            <a:ln w="25400">
              <a:noFill/>
            </a:ln>
          </c:spPr>
          <c:invertIfNegative val="0"/>
          <c:cat>
            <c:numRef>
              <c:f>Sheet1!$D$355:$D$363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Sheet1!$H$355:$H$363</c:f>
              <c:numCache>
                <c:formatCode>General</c:formatCode>
                <c:ptCount val="9"/>
                <c:pt idx="0">
                  <c:v>2.8299999999999999E-2</c:v>
                </c:pt>
                <c:pt idx="1">
                  <c:v>1.7999999999999999E-2</c:v>
                </c:pt>
                <c:pt idx="2">
                  <c:v>1.7000000000000001E-2</c:v>
                </c:pt>
                <c:pt idx="3">
                  <c:v>1.2999999999999998E-2</c:v>
                </c:pt>
                <c:pt idx="4">
                  <c:v>3.0000000000000002E-2</c:v>
                </c:pt>
                <c:pt idx="5">
                  <c:v>1.0000000000000005E-2</c:v>
                </c:pt>
              </c:numCache>
            </c:numRef>
          </c:val>
        </c:ser>
        <c:ser>
          <c:idx val="6"/>
          <c:order val="4"/>
          <c:tx>
            <c:strRef>
              <c:f>Sheet1!$I$354</c:f>
              <c:strCache>
                <c:ptCount val="1"/>
                <c:pt idx="0">
                  <c:v>CT7</c:v>
                </c:pt>
              </c:strCache>
            </c:strRef>
          </c:tx>
          <c:spPr>
            <a:solidFill>
              <a:srgbClr val="FF99FF"/>
            </a:solidFill>
            <a:ln w="25400">
              <a:noFill/>
            </a:ln>
          </c:spPr>
          <c:invertIfNegative val="0"/>
          <c:cat>
            <c:numRef>
              <c:f>Sheet1!$D$355:$D$363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Sheet1!$I$355:$I$363</c:f>
              <c:numCache>
                <c:formatCode>General</c:formatCode>
                <c:ptCount val="9"/>
                <c:pt idx="0">
                  <c:v>1.8300000000000021E-2</c:v>
                </c:pt>
                <c:pt idx="1">
                  <c:v>1.7000000000000001E-2</c:v>
                </c:pt>
                <c:pt idx="2">
                  <c:v>1.6000000000000021E-2</c:v>
                </c:pt>
                <c:pt idx="3">
                  <c:v>1.2999999999999998E-2</c:v>
                </c:pt>
                <c:pt idx="4">
                  <c:v>2.0000000000000011E-2</c:v>
                </c:pt>
                <c:pt idx="5">
                  <c:v>1.0000000000000005E-2</c:v>
                </c:pt>
                <c:pt idx="7">
                  <c:v>9.6666666666667418E-3</c:v>
                </c:pt>
              </c:numCache>
            </c:numRef>
          </c:val>
        </c:ser>
        <c:dLbls>
          <c:showLegendKey val="0"/>
          <c:showVal val="0"/>
          <c:showCatName val="0"/>
          <c:showSerName val="0"/>
          <c:showPercent val="0"/>
          <c:showBubbleSize val="0"/>
        </c:dLbls>
        <c:gapWidth val="150"/>
        <c:axId val="304444160"/>
        <c:axId val="304445696"/>
      </c:barChart>
      <c:lineChart>
        <c:grouping val="standard"/>
        <c:varyColors val="0"/>
        <c:ser>
          <c:idx val="1"/>
          <c:order val="5"/>
          <c:tx>
            <c:strRef>
              <c:f>Sheet1!$J$354</c:f>
              <c:strCache>
                <c:ptCount val="1"/>
                <c:pt idx="0">
                  <c:v>Valoarea limita anuala</c:v>
                </c:pt>
              </c:strCache>
            </c:strRef>
          </c:tx>
          <c:spPr>
            <a:ln>
              <a:solidFill>
                <a:srgbClr val="FF0000"/>
              </a:solidFill>
            </a:ln>
          </c:spPr>
          <c:marker>
            <c:symbol val="none"/>
          </c:marker>
          <c:cat>
            <c:numRef>
              <c:f>Sheet1!$D$355:$D$363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Sheet1!$J$355:$J$363</c:f>
              <c:numCache>
                <c:formatCode>General</c:formatCode>
                <c:ptCount val="9"/>
                <c:pt idx="0">
                  <c:v>0.5</c:v>
                </c:pt>
                <c:pt idx="1">
                  <c:v>0.5</c:v>
                </c:pt>
                <c:pt idx="2">
                  <c:v>0.5</c:v>
                </c:pt>
                <c:pt idx="3">
                  <c:v>0.5</c:v>
                </c:pt>
                <c:pt idx="4">
                  <c:v>0.5</c:v>
                </c:pt>
                <c:pt idx="5">
                  <c:v>0.5</c:v>
                </c:pt>
                <c:pt idx="6">
                  <c:v>0.5</c:v>
                </c:pt>
                <c:pt idx="7">
                  <c:v>0.5</c:v>
                </c:pt>
              </c:numCache>
            </c:numRef>
          </c:val>
          <c:smooth val="0"/>
        </c:ser>
        <c:dLbls>
          <c:showLegendKey val="0"/>
          <c:showVal val="0"/>
          <c:showCatName val="0"/>
          <c:showSerName val="0"/>
          <c:showPercent val="0"/>
          <c:showBubbleSize val="0"/>
        </c:dLbls>
        <c:marker val="1"/>
        <c:smooth val="0"/>
        <c:axId val="304444160"/>
        <c:axId val="304445696"/>
      </c:lineChart>
      <c:catAx>
        <c:axId val="304444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445696"/>
        <c:crosses val="autoZero"/>
        <c:auto val="1"/>
        <c:lblAlgn val="ctr"/>
        <c:lblOffset val="100"/>
        <c:tickLblSkip val="1"/>
        <c:tickMarkSkip val="1"/>
        <c:noMultiLvlLbl val="0"/>
      </c:catAx>
      <c:valAx>
        <c:axId val="304445696"/>
        <c:scaling>
          <c:orientation val="minMax"/>
          <c:max val="0.70000000000000062"/>
        </c:scaling>
        <c:delete val="0"/>
        <c:axPos val="l"/>
        <c:majorGridlines>
          <c:spPr>
            <a:ln w="3175">
              <a:solidFill>
                <a:srgbClr val="808080"/>
              </a:solidFill>
              <a:prstDash val="sysDash"/>
            </a:ln>
          </c:spPr>
        </c:majorGridlines>
        <c:title>
          <c:tx>
            <c:rich>
              <a:bodyPr rot="0" vert="horz"/>
              <a:lstStyle/>
              <a:p>
                <a:pPr algn="ctr">
                  <a:defRPr sz="925" b="0" i="0" u="none" strike="noStrike" baseline="0">
                    <a:solidFill>
                      <a:srgbClr val="000000"/>
                    </a:solidFill>
                    <a:latin typeface="Arial"/>
                    <a:ea typeface="Arial"/>
                    <a:cs typeface="Arial"/>
                  </a:defRPr>
                </a:pPr>
                <a:r>
                  <a:rPr lang="en-US"/>
                  <a:t>ug/m3</a:t>
                </a:r>
              </a:p>
            </c:rich>
          </c:tx>
          <c:layout>
            <c:manualLayout>
              <c:xMode val="edge"/>
              <c:yMode val="edge"/>
              <c:x val="4.0041601664066555E-2"/>
              <c:y val="9.6253433437099564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444160"/>
        <c:crosses val="autoZero"/>
        <c:crossBetween val="between"/>
      </c:valAx>
      <c:spPr>
        <a:noFill/>
        <a:ln w="25400">
          <a:noFill/>
        </a:ln>
      </c:spPr>
    </c:plotArea>
    <c:legend>
      <c:legendPos val="r"/>
      <c:layout>
        <c:manualLayout>
          <c:xMode val="edge"/>
          <c:yMode val="edge"/>
          <c:x val="0.13520540821632956"/>
          <c:y val="0.50904453803739669"/>
          <c:w val="0.78679147165887287"/>
          <c:h val="4.1343872713585056E-2"/>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Cd - Evolutia concentratiilor medii anuale inregistrate la statiile de monitorizare in raport cu valoarea limita</a:t>
            </a:r>
          </a:p>
        </c:rich>
      </c:tx>
      <c:layout>
        <c:manualLayout>
          <c:xMode val="edge"/>
          <c:yMode val="edge"/>
          <c:x val="0.14508580343213817"/>
          <c:y val="2.6485913398756351E-2"/>
        </c:manualLayout>
      </c:layout>
      <c:overlay val="0"/>
      <c:spPr>
        <a:noFill/>
        <a:ln w="25400">
          <a:noFill/>
        </a:ln>
      </c:spPr>
    </c:title>
    <c:autoTitleDeleted val="0"/>
    <c:plotArea>
      <c:layout>
        <c:manualLayout>
          <c:layoutTarget val="inner"/>
          <c:xMode val="edge"/>
          <c:yMode val="edge"/>
          <c:x val="5.3042121684867397E-2"/>
          <c:y val="0.14728710045554091"/>
          <c:w val="0.93447737909516349"/>
          <c:h val="0.76550532473603428"/>
        </c:manualLayout>
      </c:layout>
      <c:barChart>
        <c:barDir val="col"/>
        <c:grouping val="clustered"/>
        <c:varyColors val="0"/>
        <c:ser>
          <c:idx val="0"/>
          <c:order val="0"/>
          <c:tx>
            <c:strRef>
              <c:f>Sheet1!$E$403</c:f>
              <c:strCache>
                <c:ptCount val="1"/>
                <c:pt idx="0">
                  <c:v>CT1</c:v>
                </c:pt>
              </c:strCache>
            </c:strRef>
          </c:tx>
          <c:spPr>
            <a:solidFill>
              <a:srgbClr val="000080"/>
            </a:solidFill>
            <a:ln w="25400">
              <a:noFill/>
            </a:ln>
          </c:spPr>
          <c:invertIfNegative val="0"/>
          <c:cat>
            <c:numRef>
              <c:f>Sheet1!$D$404:$D$412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Sheet1!$E$404:$E$412</c:f>
              <c:numCache>
                <c:formatCode>General</c:formatCode>
                <c:ptCount val="9"/>
                <c:pt idx="1">
                  <c:v>0.37600000000000133</c:v>
                </c:pt>
                <c:pt idx="2">
                  <c:v>0.44400000000000001</c:v>
                </c:pt>
                <c:pt idx="3">
                  <c:v>0.33300000000000174</c:v>
                </c:pt>
                <c:pt idx="4">
                  <c:v>0.76000000000000301</c:v>
                </c:pt>
                <c:pt idx="5">
                  <c:v>0.58000000000000007</c:v>
                </c:pt>
              </c:numCache>
            </c:numRef>
          </c:val>
        </c:ser>
        <c:ser>
          <c:idx val="2"/>
          <c:order val="1"/>
          <c:tx>
            <c:strRef>
              <c:f>Sheet1!$F$403</c:f>
              <c:strCache>
                <c:ptCount val="1"/>
                <c:pt idx="0">
                  <c:v>CT3</c:v>
                </c:pt>
              </c:strCache>
            </c:strRef>
          </c:tx>
          <c:spPr>
            <a:solidFill>
              <a:srgbClr val="92D050"/>
            </a:solidFill>
            <a:ln w="25400">
              <a:noFill/>
            </a:ln>
          </c:spPr>
          <c:invertIfNegative val="0"/>
          <c:cat>
            <c:numRef>
              <c:f>Sheet1!$D$404:$D$412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Sheet1!$F$404:$F$412</c:f>
              <c:numCache>
                <c:formatCode>General</c:formatCode>
                <c:ptCount val="9"/>
                <c:pt idx="1">
                  <c:v>0.17400000000000004</c:v>
                </c:pt>
              </c:numCache>
            </c:numRef>
          </c:val>
        </c:ser>
        <c:ser>
          <c:idx val="3"/>
          <c:order val="2"/>
          <c:tx>
            <c:strRef>
              <c:f>Sheet1!$G$403</c:f>
              <c:strCache>
                <c:ptCount val="1"/>
                <c:pt idx="0">
                  <c:v>CT4</c:v>
                </c:pt>
              </c:strCache>
            </c:strRef>
          </c:tx>
          <c:spPr>
            <a:solidFill>
              <a:srgbClr val="00FFFF"/>
            </a:solidFill>
            <a:ln w="25400">
              <a:noFill/>
            </a:ln>
          </c:spPr>
          <c:invertIfNegative val="0"/>
          <c:cat>
            <c:numRef>
              <c:f>Sheet1!$D$404:$D$412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Sheet1!$G$404:$G$412</c:f>
              <c:numCache>
                <c:formatCode>General</c:formatCode>
                <c:ptCount val="9"/>
                <c:pt idx="1">
                  <c:v>0.18400000000000041</c:v>
                </c:pt>
              </c:numCache>
            </c:numRef>
          </c:val>
        </c:ser>
        <c:ser>
          <c:idx val="4"/>
          <c:order val="3"/>
          <c:tx>
            <c:strRef>
              <c:f>Sheet1!$H$403</c:f>
              <c:strCache>
                <c:ptCount val="1"/>
                <c:pt idx="0">
                  <c:v>CT5</c:v>
                </c:pt>
              </c:strCache>
            </c:strRef>
          </c:tx>
          <c:spPr>
            <a:solidFill>
              <a:srgbClr val="FFCC00"/>
            </a:solidFill>
            <a:ln w="25400">
              <a:noFill/>
            </a:ln>
          </c:spPr>
          <c:invertIfNegative val="0"/>
          <c:cat>
            <c:numRef>
              <c:f>Sheet1!$D$404:$D$412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Sheet1!$H$404:$H$412</c:f>
              <c:numCache>
                <c:formatCode>General</c:formatCode>
                <c:ptCount val="9"/>
                <c:pt idx="1">
                  <c:v>0.254</c:v>
                </c:pt>
                <c:pt idx="3">
                  <c:v>0.47100000000000031</c:v>
                </c:pt>
                <c:pt idx="4">
                  <c:v>0.45</c:v>
                </c:pt>
                <c:pt idx="5">
                  <c:v>0.96000000000000063</c:v>
                </c:pt>
              </c:numCache>
            </c:numRef>
          </c:val>
        </c:ser>
        <c:ser>
          <c:idx val="6"/>
          <c:order val="4"/>
          <c:tx>
            <c:strRef>
              <c:f>Sheet1!$I$403</c:f>
              <c:strCache>
                <c:ptCount val="1"/>
                <c:pt idx="0">
                  <c:v>CT7</c:v>
                </c:pt>
              </c:strCache>
            </c:strRef>
          </c:tx>
          <c:spPr>
            <a:solidFill>
              <a:srgbClr val="FF99FF"/>
            </a:solidFill>
            <a:ln w="25400">
              <a:noFill/>
            </a:ln>
          </c:spPr>
          <c:invertIfNegative val="0"/>
          <c:cat>
            <c:numRef>
              <c:f>Sheet1!$D$404:$D$412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Sheet1!$I$404:$I$412</c:f>
              <c:numCache>
                <c:formatCode>General</c:formatCode>
                <c:ptCount val="9"/>
                <c:pt idx="1">
                  <c:v>0.28800000000000031</c:v>
                </c:pt>
                <c:pt idx="2">
                  <c:v>0.57500000000000062</c:v>
                </c:pt>
                <c:pt idx="3">
                  <c:v>0.46600000000000008</c:v>
                </c:pt>
                <c:pt idx="4">
                  <c:v>0.69000000000000061</c:v>
                </c:pt>
                <c:pt idx="5">
                  <c:v>0.94000000000000061</c:v>
                </c:pt>
                <c:pt idx="7">
                  <c:v>0.46800000000000008</c:v>
                </c:pt>
              </c:numCache>
            </c:numRef>
          </c:val>
        </c:ser>
        <c:dLbls>
          <c:showLegendKey val="0"/>
          <c:showVal val="0"/>
          <c:showCatName val="0"/>
          <c:showSerName val="0"/>
          <c:showPercent val="0"/>
          <c:showBubbleSize val="0"/>
        </c:dLbls>
        <c:gapWidth val="150"/>
        <c:axId val="304352256"/>
        <c:axId val="304366336"/>
      </c:barChart>
      <c:lineChart>
        <c:grouping val="standard"/>
        <c:varyColors val="0"/>
        <c:ser>
          <c:idx val="1"/>
          <c:order val="5"/>
          <c:tx>
            <c:strRef>
              <c:f>Sheet1!$J$403</c:f>
              <c:strCache>
                <c:ptCount val="1"/>
                <c:pt idx="0">
                  <c:v>Valoarea limita anuala</c:v>
                </c:pt>
              </c:strCache>
            </c:strRef>
          </c:tx>
          <c:spPr>
            <a:ln>
              <a:solidFill>
                <a:srgbClr val="FF0000"/>
              </a:solidFill>
            </a:ln>
          </c:spPr>
          <c:marker>
            <c:symbol val="none"/>
          </c:marker>
          <c:cat>
            <c:numRef>
              <c:f>Sheet1!$D$404:$D$412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Sheet1!$J$404:$J$412</c:f>
              <c:numCache>
                <c:formatCode>General</c:formatCode>
                <c:ptCount val="9"/>
                <c:pt idx="0">
                  <c:v>5</c:v>
                </c:pt>
                <c:pt idx="1">
                  <c:v>5</c:v>
                </c:pt>
                <c:pt idx="2">
                  <c:v>5</c:v>
                </c:pt>
                <c:pt idx="3">
                  <c:v>5</c:v>
                </c:pt>
                <c:pt idx="4">
                  <c:v>5</c:v>
                </c:pt>
                <c:pt idx="5">
                  <c:v>5</c:v>
                </c:pt>
                <c:pt idx="6">
                  <c:v>5</c:v>
                </c:pt>
                <c:pt idx="7">
                  <c:v>5</c:v>
                </c:pt>
              </c:numCache>
            </c:numRef>
          </c:val>
          <c:smooth val="0"/>
        </c:ser>
        <c:dLbls>
          <c:showLegendKey val="0"/>
          <c:showVal val="0"/>
          <c:showCatName val="0"/>
          <c:showSerName val="0"/>
          <c:showPercent val="0"/>
          <c:showBubbleSize val="0"/>
        </c:dLbls>
        <c:marker val="1"/>
        <c:smooth val="0"/>
        <c:axId val="304352256"/>
        <c:axId val="304366336"/>
      </c:lineChart>
      <c:catAx>
        <c:axId val="304352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366336"/>
        <c:crosses val="autoZero"/>
        <c:auto val="1"/>
        <c:lblAlgn val="ctr"/>
        <c:lblOffset val="100"/>
        <c:tickLblSkip val="1"/>
        <c:tickMarkSkip val="1"/>
        <c:noMultiLvlLbl val="0"/>
      </c:catAx>
      <c:valAx>
        <c:axId val="304366336"/>
        <c:scaling>
          <c:orientation val="minMax"/>
          <c:max val="7"/>
        </c:scaling>
        <c:delete val="0"/>
        <c:axPos val="l"/>
        <c:majorGridlines>
          <c:spPr>
            <a:ln w="3175">
              <a:solidFill>
                <a:srgbClr val="808080"/>
              </a:solidFill>
              <a:prstDash val="sysDash"/>
            </a:ln>
          </c:spPr>
        </c:majorGridlines>
        <c:title>
          <c:tx>
            <c:rich>
              <a:bodyPr rot="0" vert="horz"/>
              <a:lstStyle/>
              <a:p>
                <a:pPr algn="ctr">
                  <a:defRPr sz="925" b="0" i="0" u="none" strike="noStrike" baseline="0">
                    <a:solidFill>
                      <a:srgbClr val="000000"/>
                    </a:solidFill>
                    <a:latin typeface="Arial"/>
                    <a:ea typeface="Arial"/>
                    <a:cs typeface="Arial"/>
                  </a:defRPr>
                </a:pPr>
                <a:r>
                  <a:rPr lang="en-US"/>
                  <a:t>ng/m3</a:t>
                </a:r>
              </a:p>
            </c:rich>
          </c:tx>
          <c:layout>
            <c:manualLayout>
              <c:xMode val="edge"/>
              <c:yMode val="edge"/>
              <c:x val="4.0041601664066555E-2"/>
              <c:y val="9.6253313163440796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352256"/>
        <c:crosses val="autoZero"/>
        <c:crossBetween val="between"/>
        <c:majorUnit val="1"/>
      </c:valAx>
      <c:spPr>
        <a:noFill/>
        <a:ln w="25400">
          <a:noFill/>
        </a:ln>
      </c:spPr>
    </c:plotArea>
    <c:legend>
      <c:legendPos val="r"/>
      <c:layout>
        <c:manualLayout>
          <c:xMode val="edge"/>
          <c:yMode val="edge"/>
          <c:x val="0.13520540821632956"/>
          <c:y val="0.5090446452814088"/>
          <c:w val="0.78679147165887287"/>
          <c:h val="4.1343883738670567E-2"/>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Ni- Evolutia concentratiilor medii anuale inregistrate la statiile de monitorizare in raport cu valoarea limita</a:t>
            </a:r>
          </a:p>
        </c:rich>
      </c:tx>
      <c:layout>
        <c:manualLayout>
          <c:xMode val="edge"/>
          <c:yMode val="edge"/>
          <c:x val="0.14508580343213817"/>
          <c:y val="2.6485749333552626E-2"/>
        </c:manualLayout>
      </c:layout>
      <c:overlay val="0"/>
      <c:spPr>
        <a:noFill/>
        <a:ln w="25400">
          <a:noFill/>
        </a:ln>
      </c:spPr>
    </c:title>
    <c:autoTitleDeleted val="0"/>
    <c:plotArea>
      <c:layout>
        <c:manualLayout>
          <c:layoutTarget val="inner"/>
          <c:xMode val="edge"/>
          <c:yMode val="edge"/>
          <c:x val="5.3042121684867397E-2"/>
          <c:y val="0.14728710045554091"/>
          <c:w val="0.93447737909516349"/>
          <c:h val="0.76550532473603428"/>
        </c:manualLayout>
      </c:layout>
      <c:barChart>
        <c:barDir val="col"/>
        <c:grouping val="clustered"/>
        <c:varyColors val="0"/>
        <c:ser>
          <c:idx val="0"/>
          <c:order val="0"/>
          <c:tx>
            <c:strRef>
              <c:f>Sheet1!$E$442</c:f>
              <c:strCache>
                <c:ptCount val="1"/>
                <c:pt idx="0">
                  <c:v>CT1</c:v>
                </c:pt>
              </c:strCache>
            </c:strRef>
          </c:tx>
          <c:spPr>
            <a:solidFill>
              <a:srgbClr val="000080"/>
            </a:solidFill>
            <a:ln w="25400">
              <a:noFill/>
            </a:ln>
          </c:spPr>
          <c:invertIfNegative val="0"/>
          <c:cat>
            <c:numRef>
              <c:f>Sheet1!$D$443:$D$451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Sheet1!$E$443:$E$451</c:f>
              <c:numCache>
                <c:formatCode>General</c:formatCode>
                <c:ptCount val="9"/>
                <c:pt idx="1">
                  <c:v>1.534</c:v>
                </c:pt>
                <c:pt idx="2">
                  <c:v>3.2269999999999999</c:v>
                </c:pt>
                <c:pt idx="3">
                  <c:v>2.5609999999999999</c:v>
                </c:pt>
                <c:pt idx="4">
                  <c:v>3.4899999999999998</c:v>
                </c:pt>
                <c:pt idx="5">
                  <c:v>3.3499999999999988</c:v>
                </c:pt>
              </c:numCache>
            </c:numRef>
          </c:val>
        </c:ser>
        <c:ser>
          <c:idx val="2"/>
          <c:order val="1"/>
          <c:tx>
            <c:strRef>
              <c:f>Sheet1!$F$442</c:f>
              <c:strCache>
                <c:ptCount val="1"/>
                <c:pt idx="0">
                  <c:v>CT3</c:v>
                </c:pt>
              </c:strCache>
            </c:strRef>
          </c:tx>
          <c:spPr>
            <a:solidFill>
              <a:srgbClr val="92D050"/>
            </a:solidFill>
            <a:ln w="25400">
              <a:noFill/>
            </a:ln>
          </c:spPr>
          <c:invertIfNegative val="0"/>
          <c:cat>
            <c:numRef>
              <c:f>Sheet1!$D$443:$D$451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Sheet1!$F$443:$F$451</c:f>
              <c:numCache>
                <c:formatCode>General</c:formatCode>
                <c:ptCount val="9"/>
                <c:pt idx="1">
                  <c:v>2.5149999999999997</c:v>
                </c:pt>
                <c:pt idx="2">
                  <c:v>2.8819999999999997</c:v>
                </c:pt>
                <c:pt idx="3">
                  <c:v>2.5880000000000001</c:v>
                </c:pt>
                <c:pt idx="4">
                  <c:v>2.64</c:v>
                </c:pt>
                <c:pt idx="5">
                  <c:v>0.98</c:v>
                </c:pt>
              </c:numCache>
            </c:numRef>
          </c:val>
        </c:ser>
        <c:ser>
          <c:idx val="3"/>
          <c:order val="2"/>
          <c:tx>
            <c:strRef>
              <c:f>Sheet1!$G$442</c:f>
              <c:strCache>
                <c:ptCount val="1"/>
                <c:pt idx="0">
                  <c:v>CT4</c:v>
                </c:pt>
              </c:strCache>
            </c:strRef>
          </c:tx>
          <c:spPr>
            <a:solidFill>
              <a:srgbClr val="00FFFF"/>
            </a:solidFill>
            <a:ln w="25400">
              <a:noFill/>
            </a:ln>
          </c:spPr>
          <c:invertIfNegative val="0"/>
          <c:cat>
            <c:numRef>
              <c:f>Sheet1!$D$443:$D$451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Sheet1!$G$443:$G$451</c:f>
              <c:numCache>
                <c:formatCode>General</c:formatCode>
                <c:ptCount val="9"/>
                <c:pt idx="1">
                  <c:v>1.718</c:v>
                </c:pt>
              </c:numCache>
            </c:numRef>
          </c:val>
        </c:ser>
        <c:ser>
          <c:idx val="4"/>
          <c:order val="3"/>
          <c:tx>
            <c:strRef>
              <c:f>Sheet1!$H$442</c:f>
              <c:strCache>
                <c:ptCount val="1"/>
                <c:pt idx="0">
                  <c:v>CT5</c:v>
                </c:pt>
              </c:strCache>
            </c:strRef>
          </c:tx>
          <c:spPr>
            <a:solidFill>
              <a:srgbClr val="FFCC00"/>
            </a:solidFill>
            <a:ln w="25400">
              <a:noFill/>
            </a:ln>
          </c:spPr>
          <c:invertIfNegative val="0"/>
          <c:cat>
            <c:numRef>
              <c:f>Sheet1!$D$443:$D$451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Sheet1!$H$443:$H$451</c:f>
              <c:numCache>
                <c:formatCode>General</c:formatCode>
                <c:ptCount val="9"/>
                <c:pt idx="1">
                  <c:v>2.1930000000000001</c:v>
                </c:pt>
                <c:pt idx="3">
                  <c:v>3.0379999999999998</c:v>
                </c:pt>
                <c:pt idx="4">
                  <c:v>3.62</c:v>
                </c:pt>
                <c:pt idx="5">
                  <c:v>2.3699999999999997</c:v>
                </c:pt>
              </c:numCache>
            </c:numRef>
          </c:val>
        </c:ser>
        <c:ser>
          <c:idx val="6"/>
          <c:order val="4"/>
          <c:tx>
            <c:strRef>
              <c:f>Sheet1!$I$442</c:f>
              <c:strCache>
                <c:ptCount val="1"/>
                <c:pt idx="0">
                  <c:v>CT7</c:v>
                </c:pt>
              </c:strCache>
            </c:strRef>
          </c:tx>
          <c:spPr>
            <a:solidFill>
              <a:srgbClr val="FF99FF"/>
            </a:solidFill>
            <a:ln w="25400">
              <a:noFill/>
            </a:ln>
          </c:spPr>
          <c:invertIfNegative val="0"/>
          <c:cat>
            <c:numRef>
              <c:f>Sheet1!$D$443:$D$451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Sheet1!$I$443:$I$451</c:f>
              <c:numCache>
                <c:formatCode>General</c:formatCode>
                <c:ptCount val="9"/>
                <c:pt idx="1">
                  <c:v>2.2629999999999999</c:v>
                </c:pt>
                <c:pt idx="2">
                  <c:v>3.6949999999999998</c:v>
                </c:pt>
                <c:pt idx="3">
                  <c:v>3.32</c:v>
                </c:pt>
                <c:pt idx="4">
                  <c:v>4.5599999999999996</c:v>
                </c:pt>
                <c:pt idx="5">
                  <c:v>1.1399999999999941</c:v>
                </c:pt>
                <c:pt idx="7">
                  <c:v>3.1040000000000001</c:v>
                </c:pt>
              </c:numCache>
            </c:numRef>
          </c:val>
        </c:ser>
        <c:dLbls>
          <c:showLegendKey val="0"/>
          <c:showVal val="0"/>
          <c:showCatName val="0"/>
          <c:showSerName val="0"/>
          <c:showPercent val="0"/>
          <c:showBubbleSize val="0"/>
        </c:dLbls>
        <c:gapWidth val="150"/>
        <c:axId val="304485888"/>
        <c:axId val="304487424"/>
      </c:barChart>
      <c:lineChart>
        <c:grouping val="standard"/>
        <c:varyColors val="0"/>
        <c:ser>
          <c:idx val="1"/>
          <c:order val="5"/>
          <c:tx>
            <c:strRef>
              <c:f>Sheet1!$J$442</c:f>
              <c:strCache>
                <c:ptCount val="1"/>
                <c:pt idx="0">
                  <c:v>Valoarea limita anuala</c:v>
                </c:pt>
              </c:strCache>
            </c:strRef>
          </c:tx>
          <c:spPr>
            <a:ln>
              <a:solidFill>
                <a:srgbClr val="FF0000"/>
              </a:solidFill>
            </a:ln>
          </c:spPr>
          <c:marker>
            <c:symbol val="none"/>
          </c:marker>
          <c:cat>
            <c:numRef>
              <c:f>Sheet1!$D$443:$D$451</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Sheet1!$J$443:$J$451</c:f>
              <c:numCache>
                <c:formatCode>General</c:formatCode>
                <c:ptCount val="9"/>
                <c:pt idx="0">
                  <c:v>20</c:v>
                </c:pt>
                <c:pt idx="1">
                  <c:v>20</c:v>
                </c:pt>
                <c:pt idx="2">
                  <c:v>20</c:v>
                </c:pt>
                <c:pt idx="3">
                  <c:v>20</c:v>
                </c:pt>
                <c:pt idx="4">
                  <c:v>20</c:v>
                </c:pt>
                <c:pt idx="5">
                  <c:v>20</c:v>
                </c:pt>
                <c:pt idx="6">
                  <c:v>20</c:v>
                </c:pt>
                <c:pt idx="7">
                  <c:v>20</c:v>
                </c:pt>
              </c:numCache>
            </c:numRef>
          </c:val>
          <c:smooth val="0"/>
        </c:ser>
        <c:dLbls>
          <c:showLegendKey val="0"/>
          <c:showVal val="0"/>
          <c:showCatName val="0"/>
          <c:showSerName val="0"/>
          <c:showPercent val="0"/>
          <c:showBubbleSize val="0"/>
        </c:dLbls>
        <c:marker val="1"/>
        <c:smooth val="0"/>
        <c:axId val="304485888"/>
        <c:axId val="304487424"/>
      </c:lineChart>
      <c:catAx>
        <c:axId val="3044858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487424"/>
        <c:crosses val="autoZero"/>
        <c:auto val="1"/>
        <c:lblAlgn val="ctr"/>
        <c:lblOffset val="100"/>
        <c:tickLblSkip val="1"/>
        <c:tickMarkSkip val="1"/>
        <c:noMultiLvlLbl val="0"/>
      </c:catAx>
      <c:valAx>
        <c:axId val="304487424"/>
        <c:scaling>
          <c:orientation val="minMax"/>
          <c:max val="22"/>
        </c:scaling>
        <c:delete val="0"/>
        <c:axPos val="l"/>
        <c:majorGridlines>
          <c:spPr>
            <a:ln w="3175">
              <a:solidFill>
                <a:srgbClr val="808080"/>
              </a:solidFill>
              <a:prstDash val="sysDash"/>
            </a:ln>
          </c:spPr>
        </c:majorGridlines>
        <c:title>
          <c:tx>
            <c:rich>
              <a:bodyPr rot="0" vert="horz"/>
              <a:lstStyle/>
              <a:p>
                <a:pPr algn="ctr">
                  <a:defRPr sz="925" b="0" i="0" u="none" strike="noStrike" baseline="0">
                    <a:solidFill>
                      <a:srgbClr val="000000"/>
                    </a:solidFill>
                    <a:latin typeface="Arial"/>
                    <a:ea typeface="Arial"/>
                    <a:cs typeface="Arial"/>
                  </a:defRPr>
                </a:pPr>
                <a:r>
                  <a:rPr lang="en-US"/>
                  <a:t>ng/m3</a:t>
                </a:r>
              </a:p>
            </c:rich>
          </c:tx>
          <c:layout>
            <c:manualLayout>
              <c:xMode val="edge"/>
              <c:yMode val="edge"/>
              <c:x val="4.0041601664066555E-2"/>
              <c:y val="9.6253503560096765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485888"/>
        <c:crosses val="autoZero"/>
        <c:crossBetween val="between"/>
        <c:majorUnit val="2"/>
      </c:valAx>
      <c:spPr>
        <a:noFill/>
        <a:ln w="25400">
          <a:noFill/>
        </a:ln>
      </c:spPr>
    </c:plotArea>
    <c:legend>
      <c:legendPos val="r"/>
      <c:layout>
        <c:manualLayout>
          <c:xMode val="edge"/>
          <c:yMode val="edge"/>
          <c:x val="0.13520540821632956"/>
          <c:y val="0.50904463312843506"/>
          <c:w val="0.78679147165887287"/>
          <c:h val="4.1343996491300161E-2"/>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As- Evolutia concentratiilor medii anuale inregistrate la statiile de monitorizare in raport cu valoarea limita</a:t>
            </a:r>
          </a:p>
        </c:rich>
      </c:tx>
      <c:layout>
        <c:manualLayout>
          <c:xMode val="edge"/>
          <c:yMode val="edge"/>
          <c:x val="0.14508580343213817"/>
          <c:y val="2.6485749333552626E-2"/>
        </c:manualLayout>
      </c:layout>
      <c:overlay val="0"/>
      <c:spPr>
        <a:noFill/>
        <a:ln w="25400">
          <a:noFill/>
        </a:ln>
      </c:spPr>
    </c:title>
    <c:autoTitleDeleted val="0"/>
    <c:plotArea>
      <c:layout>
        <c:manualLayout>
          <c:layoutTarget val="inner"/>
          <c:xMode val="edge"/>
          <c:yMode val="edge"/>
          <c:x val="5.3042121684867397E-2"/>
          <c:y val="0.14728710045554091"/>
          <c:w val="0.93447737909516349"/>
          <c:h val="0.76550532473603428"/>
        </c:manualLayout>
      </c:layout>
      <c:barChart>
        <c:barDir val="col"/>
        <c:grouping val="clustered"/>
        <c:varyColors val="0"/>
        <c:ser>
          <c:idx val="0"/>
          <c:order val="0"/>
          <c:tx>
            <c:strRef>
              <c:f>Sheet1!$E$479</c:f>
              <c:strCache>
                <c:ptCount val="1"/>
                <c:pt idx="0">
                  <c:v>CT1</c:v>
                </c:pt>
              </c:strCache>
            </c:strRef>
          </c:tx>
          <c:spPr>
            <a:solidFill>
              <a:srgbClr val="000080"/>
            </a:solidFill>
            <a:ln w="25400">
              <a:noFill/>
            </a:ln>
          </c:spPr>
          <c:invertIfNegative val="0"/>
          <c:cat>
            <c:numRef>
              <c:f>Sheet1!$D$480:$D$488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Sheet1!$E$480:$E$488</c:f>
              <c:numCache>
                <c:formatCode>General</c:formatCode>
                <c:ptCount val="9"/>
                <c:pt idx="1">
                  <c:v>0.24300000000000024</c:v>
                </c:pt>
              </c:numCache>
            </c:numRef>
          </c:val>
        </c:ser>
        <c:ser>
          <c:idx val="2"/>
          <c:order val="1"/>
          <c:tx>
            <c:strRef>
              <c:f>Sheet1!$F$479</c:f>
              <c:strCache>
                <c:ptCount val="1"/>
                <c:pt idx="0">
                  <c:v>CT3</c:v>
                </c:pt>
              </c:strCache>
            </c:strRef>
          </c:tx>
          <c:spPr>
            <a:solidFill>
              <a:srgbClr val="92D050"/>
            </a:solidFill>
            <a:ln w="25400">
              <a:noFill/>
            </a:ln>
          </c:spPr>
          <c:invertIfNegative val="0"/>
          <c:cat>
            <c:numRef>
              <c:f>Sheet1!$D$480:$D$488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Sheet1!$F$480:$F$488</c:f>
              <c:numCache>
                <c:formatCode>General</c:formatCode>
                <c:ptCount val="9"/>
                <c:pt idx="1">
                  <c:v>0.13600000000000001</c:v>
                </c:pt>
              </c:numCache>
            </c:numRef>
          </c:val>
        </c:ser>
        <c:ser>
          <c:idx val="3"/>
          <c:order val="2"/>
          <c:tx>
            <c:strRef>
              <c:f>Sheet1!$G$479</c:f>
              <c:strCache>
                <c:ptCount val="1"/>
                <c:pt idx="0">
                  <c:v>CT4</c:v>
                </c:pt>
              </c:strCache>
            </c:strRef>
          </c:tx>
          <c:spPr>
            <a:solidFill>
              <a:srgbClr val="00FFFF"/>
            </a:solidFill>
            <a:ln w="25400">
              <a:noFill/>
            </a:ln>
          </c:spPr>
          <c:invertIfNegative val="0"/>
          <c:cat>
            <c:numRef>
              <c:f>Sheet1!$D$480:$D$488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Sheet1!$G$480:$G$488</c:f>
              <c:numCache>
                <c:formatCode>General</c:formatCode>
                <c:ptCount val="9"/>
                <c:pt idx="1">
                  <c:v>0.16700000000000001</c:v>
                </c:pt>
              </c:numCache>
            </c:numRef>
          </c:val>
        </c:ser>
        <c:ser>
          <c:idx val="4"/>
          <c:order val="3"/>
          <c:tx>
            <c:strRef>
              <c:f>Sheet1!$H$479</c:f>
              <c:strCache>
                <c:ptCount val="1"/>
                <c:pt idx="0">
                  <c:v>CT5</c:v>
                </c:pt>
              </c:strCache>
            </c:strRef>
          </c:tx>
          <c:spPr>
            <a:solidFill>
              <a:srgbClr val="FFCC00"/>
            </a:solidFill>
            <a:ln w="25400">
              <a:noFill/>
            </a:ln>
          </c:spPr>
          <c:invertIfNegative val="0"/>
          <c:cat>
            <c:numRef>
              <c:f>Sheet1!$D$480:$D$488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Sheet1!$H$480:$H$488</c:f>
              <c:numCache>
                <c:formatCode>General</c:formatCode>
                <c:ptCount val="9"/>
                <c:pt idx="1">
                  <c:v>0.253</c:v>
                </c:pt>
              </c:numCache>
            </c:numRef>
          </c:val>
        </c:ser>
        <c:ser>
          <c:idx val="6"/>
          <c:order val="4"/>
          <c:tx>
            <c:strRef>
              <c:f>Sheet1!$I$479</c:f>
              <c:strCache>
                <c:ptCount val="1"/>
                <c:pt idx="0">
                  <c:v>CT7</c:v>
                </c:pt>
              </c:strCache>
            </c:strRef>
          </c:tx>
          <c:spPr>
            <a:solidFill>
              <a:srgbClr val="FF99FF"/>
            </a:solidFill>
            <a:ln w="25400">
              <a:noFill/>
            </a:ln>
          </c:spPr>
          <c:invertIfNegative val="0"/>
          <c:cat>
            <c:numRef>
              <c:f>Sheet1!$D$480:$D$488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Sheet1!$I$480:$I$488</c:f>
              <c:numCache>
                <c:formatCode>General</c:formatCode>
                <c:ptCount val="9"/>
                <c:pt idx="1">
                  <c:v>0.27800000000000002</c:v>
                </c:pt>
                <c:pt idx="2">
                  <c:v>1.004</c:v>
                </c:pt>
                <c:pt idx="3">
                  <c:v>1.1579999999999941</c:v>
                </c:pt>
                <c:pt idx="4">
                  <c:v>0.68</c:v>
                </c:pt>
                <c:pt idx="5">
                  <c:v>0.630000000000003</c:v>
                </c:pt>
                <c:pt idx="7">
                  <c:v>0.64800000000000302</c:v>
                </c:pt>
              </c:numCache>
            </c:numRef>
          </c:val>
        </c:ser>
        <c:dLbls>
          <c:showLegendKey val="0"/>
          <c:showVal val="0"/>
          <c:showCatName val="0"/>
          <c:showSerName val="0"/>
          <c:showPercent val="0"/>
          <c:showBubbleSize val="0"/>
        </c:dLbls>
        <c:gapWidth val="150"/>
        <c:axId val="304545792"/>
        <c:axId val="304547328"/>
      </c:barChart>
      <c:lineChart>
        <c:grouping val="standard"/>
        <c:varyColors val="0"/>
        <c:ser>
          <c:idx val="1"/>
          <c:order val="5"/>
          <c:tx>
            <c:strRef>
              <c:f>Sheet1!$J$479</c:f>
              <c:strCache>
                <c:ptCount val="1"/>
                <c:pt idx="0">
                  <c:v>Valoarea limita anuala</c:v>
                </c:pt>
              </c:strCache>
            </c:strRef>
          </c:tx>
          <c:spPr>
            <a:ln>
              <a:solidFill>
                <a:srgbClr val="FF0000"/>
              </a:solidFill>
            </a:ln>
          </c:spPr>
          <c:marker>
            <c:symbol val="none"/>
          </c:marker>
          <c:cat>
            <c:numRef>
              <c:f>Sheet1!$D$480:$D$488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Sheet1!$J$480:$J$488</c:f>
              <c:numCache>
                <c:formatCode>General</c:formatCode>
                <c:ptCount val="9"/>
                <c:pt idx="0">
                  <c:v>6</c:v>
                </c:pt>
                <c:pt idx="1">
                  <c:v>6</c:v>
                </c:pt>
                <c:pt idx="2">
                  <c:v>6</c:v>
                </c:pt>
                <c:pt idx="3">
                  <c:v>6</c:v>
                </c:pt>
                <c:pt idx="4">
                  <c:v>6</c:v>
                </c:pt>
                <c:pt idx="5">
                  <c:v>6</c:v>
                </c:pt>
                <c:pt idx="6">
                  <c:v>6</c:v>
                </c:pt>
                <c:pt idx="7">
                  <c:v>6</c:v>
                </c:pt>
              </c:numCache>
            </c:numRef>
          </c:val>
          <c:smooth val="0"/>
        </c:ser>
        <c:dLbls>
          <c:showLegendKey val="0"/>
          <c:showVal val="0"/>
          <c:showCatName val="0"/>
          <c:showSerName val="0"/>
          <c:showPercent val="0"/>
          <c:showBubbleSize val="0"/>
        </c:dLbls>
        <c:marker val="1"/>
        <c:smooth val="0"/>
        <c:axId val="304545792"/>
        <c:axId val="304547328"/>
      </c:lineChart>
      <c:catAx>
        <c:axId val="3045457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547328"/>
        <c:crosses val="autoZero"/>
        <c:auto val="1"/>
        <c:lblAlgn val="ctr"/>
        <c:lblOffset val="100"/>
        <c:tickLblSkip val="1"/>
        <c:tickMarkSkip val="1"/>
        <c:noMultiLvlLbl val="0"/>
      </c:catAx>
      <c:valAx>
        <c:axId val="304547328"/>
        <c:scaling>
          <c:orientation val="minMax"/>
          <c:max val="8"/>
        </c:scaling>
        <c:delete val="0"/>
        <c:axPos val="l"/>
        <c:majorGridlines>
          <c:spPr>
            <a:ln w="3175">
              <a:solidFill>
                <a:srgbClr val="808080"/>
              </a:solidFill>
              <a:prstDash val="sysDash"/>
            </a:ln>
          </c:spPr>
        </c:majorGridlines>
        <c:title>
          <c:tx>
            <c:rich>
              <a:bodyPr rot="0" vert="horz"/>
              <a:lstStyle/>
              <a:p>
                <a:pPr algn="ctr">
                  <a:defRPr sz="925" b="0" i="0" u="none" strike="noStrike" baseline="0">
                    <a:solidFill>
                      <a:srgbClr val="000000"/>
                    </a:solidFill>
                    <a:latin typeface="Arial"/>
                    <a:ea typeface="Arial"/>
                    <a:cs typeface="Arial"/>
                  </a:defRPr>
                </a:pPr>
                <a:r>
                  <a:rPr lang="en-US"/>
                  <a:t>ng/m3</a:t>
                </a:r>
              </a:p>
            </c:rich>
          </c:tx>
          <c:layout>
            <c:manualLayout>
              <c:xMode val="edge"/>
              <c:yMode val="edge"/>
              <c:x val="4.0041601664066555E-2"/>
              <c:y val="9.6253503560096765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545792"/>
        <c:crosses val="autoZero"/>
        <c:crossBetween val="between"/>
        <c:majorUnit val="1"/>
      </c:valAx>
      <c:spPr>
        <a:noFill/>
        <a:ln w="25400">
          <a:noFill/>
        </a:ln>
      </c:spPr>
    </c:plotArea>
    <c:legend>
      <c:legendPos val="r"/>
      <c:layout>
        <c:manualLayout>
          <c:xMode val="edge"/>
          <c:yMode val="edge"/>
          <c:x val="0.13312532501300037"/>
          <c:y val="0.24794802738430657"/>
          <c:w val="0.78679147165887287"/>
          <c:h val="4.1343996491300189E-2"/>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Concentratii medii anuale statia CT1</a:t>
            </a:r>
          </a:p>
        </c:rich>
      </c:tx>
      <c:layout>
        <c:manualLayout>
          <c:xMode val="edge"/>
          <c:yMode val="edge"/>
          <c:x val="0.32981927710843412"/>
          <c:y val="2.2745098039215692E-2"/>
        </c:manualLayout>
      </c:layout>
      <c:overlay val="0"/>
      <c:spPr>
        <a:noFill/>
        <a:ln w="25400">
          <a:noFill/>
        </a:ln>
      </c:spPr>
    </c:title>
    <c:autoTitleDeleted val="0"/>
    <c:plotArea>
      <c:layout>
        <c:manualLayout>
          <c:layoutTarget val="inner"/>
          <c:xMode val="edge"/>
          <c:yMode val="edge"/>
          <c:x val="4.7530120481927722E-2"/>
          <c:y val="0.16470588235294129"/>
          <c:w val="0.93373562639397489"/>
          <c:h val="0.75764705882353012"/>
        </c:manualLayout>
      </c:layout>
      <c:barChart>
        <c:barDir val="col"/>
        <c:grouping val="clustered"/>
        <c:varyColors val="0"/>
        <c:ser>
          <c:idx val="0"/>
          <c:order val="0"/>
          <c:tx>
            <c:strRef>
              <c:f>Sheet1!$A$3</c:f>
              <c:strCache>
                <c:ptCount val="1"/>
                <c:pt idx="0">
                  <c:v>SO2</c:v>
                </c:pt>
              </c:strCache>
            </c:strRef>
          </c:tx>
          <c:spPr>
            <a:solidFill>
              <a:srgbClr val="FFC000"/>
            </a:solidFill>
            <a:ln w="25400">
              <a:noFill/>
            </a:ln>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Sheet1!$B$3:$K$3</c:f>
              <c:numCache>
                <c:formatCode>@</c:formatCode>
                <c:ptCount val="10"/>
                <c:pt idx="0" formatCode="General">
                  <c:v>5.25</c:v>
                </c:pt>
                <c:pt idx="1">
                  <c:v>4.7429293973168454</c:v>
                </c:pt>
                <c:pt idx="9" formatCode="General">
                  <c:v>5.8</c:v>
                </c:pt>
              </c:numCache>
            </c:numRef>
          </c:val>
        </c:ser>
        <c:ser>
          <c:idx val="1"/>
          <c:order val="1"/>
          <c:tx>
            <c:strRef>
              <c:f>Sheet1!$A$4</c:f>
              <c:strCache>
                <c:ptCount val="1"/>
                <c:pt idx="0">
                  <c:v>NO2</c:v>
                </c:pt>
              </c:strCache>
            </c:strRef>
          </c:tx>
          <c:spPr>
            <a:solidFill>
              <a:srgbClr val="002060"/>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Sheet1!$B$4:$K$4</c:f>
              <c:numCache>
                <c:formatCode>General</c:formatCode>
                <c:ptCount val="10"/>
                <c:pt idx="0">
                  <c:v>53.802224445226535</c:v>
                </c:pt>
                <c:pt idx="1">
                  <c:v>37</c:v>
                </c:pt>
                <c:pt idx="4">
                  <c:v>39.332000000000001</c:v>
                </c:pt>
                <c:pt idx="8">
                  <c:v>34.780999999999999</c:v>
                </c:pt>
                <c:pt idx="9">
                  <c:v>38.590000000000003</c:v>
                </c:pt>
              </c:numCache>
            </c:numRef>
          </c:val>
        </c:ser>
        <c:ser>
          <c:idx val="2"/>
          <c:order val="2"/>
          <c:tx>
            <c:strRef>
              <c:f>Sheet1!$A$5</c:f>
              <c:strCache>
                <c:ptCount val="1"/>
                <c:pt idx="0">
                  <c:v>C6H6</c:v>
                </c:pt>
              </c:strCache>
            </c:strRef>
          </c:tx>
          <c:spPr>
            <a:solidFill>
              <a:srgbClr val="FF66FF"/>
            </a:solidFill>
            <a:ln>
              <a:solidFill>
                <a:srgbClr val="FF66FF"/>
              </a:solidFill>
            </a:ln>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Sheet1!$B$5:$K$5</c:f>
              <c:numCache>
                <c:formatCode>General</c:formatCode>
                <c:ptCount val="10"/>
                <c:pt idx="2">
                  <c:v>1.66</c:v>
                </c:pt>
                <c:pt idx="4">
                  <c:v>2.423</c:v>
                </c:pt>
                <c:pt idx="9">
                  <c:v>1.88</c:v>
                </c:pt>
              </c:numCache>
            </c:numRef>
          </c:val>
        </c:ser>
        <c:ser>
          <c:idx val="3"/>
          <c:order val="3"/>
          <c:tx>
            <c:strRef>
              <c:f>Sheet1!$A$6</c:f>
              <c:strCache>
                <c:ptCount val="1"/>
                <c:pt idx="0">
                  <c:v>PM10</c:v>
                </c:pt>
              </c:strCache>
            </c:strRef>
          </c:tx>
          <c:spPr>
            <a:solidFill>
              <a:srgbClr val="FF3300"/>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Sheet1!$B$6:$K$6</c:f>
              <c:numCache>
                <c:formatCode>General</c:formatCode>
                <c:ptCount val="10"/>
                <c:pt idx="0">
                  <c:v>20</c:v>
                </c:pt>
                <c:pt idx="2">
                  <c:v>31</c:v>
                </c:pt>
                <c:pt idx="4">
                  <c:v>39.89</c:v>
                </c:pt>
                <c:pt idx="5">
                  <c:v>36.92</c:v>
                </c:pt>
                <c:pt idx="9">
                  <c:v>28.84</c:v>
                </c:pt>
              </c:numCache>
            </c:numRef>
          </c:val>
        </c:ser>
        <c:dLbls>
          <c:showLegendKey val="0"/>
          <c:showVal val="0"/>
          <c:showCatName val="0"/>
          <c:showSerName val="0"/>
          <c:showPercent val="0"/>
          <c:showBubbleSize val="0"/>
        </c:dLbls>
        <c:gapWidth val="500"/>
        <c:axId val="304615424"/>
        <c:axId val="304616960"/>
      </c:barChart>
      <c:barChart>
        <c:barDir val="col"/>
        <c:grouping val="clustered"/>
        <c:varyColors val="0"/>
        <c:ser>
          <c:idx val="4"/>
          <c:order val="4"/>
          <c:tx>
            <c:strRef>
              <c:f>Sheet1!$A$7</c:f>
              <c:strCache>
                <c:ptCount val="1"/>
                <c:pt idx="0">
                  <c:v>Pb</c:v>
                </c:pt>
              </c:strCache>
            </c:strRef>
          </c:tx>
          <c:spPr>
            <a:solidFill>
              <a:srgbClr val="92D050"/>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Sheet1!$B$7:$K$7</c:f>
              <c:numCache>
                <c:formatCode>General</c:formatCode>
                <c:ptCount val="10"/>
                <c:pt idx="0">
                  <c:v>0.17680000000000001</c:v>
                </c:pt>
                <c:pt idx="1">
                  <c:v>1.7000000000000001E-2</c:v>
                </c:pt>
                <c:pt idx="2">
                  <c:v>1.4E-2</c:v>
                </c:pt>
                <c:pt idx="3">
                  <c:v>8.0000000000000002E-3</c:v>
                </c:pt>
                <c:pt idx="4">
                  <c:v>3.0000000000000001E-3</c:v>
                </c:pt>
                <c:pt idx="5">
                  <c:v>0.01</c:v>
                </c:pt>
              </c:numCache>
            </c:numRef>
          </c:val>
        </c:ser>
        <c:ser>
          <c:idx val="5"/>
          <c:order val="5"/>
          <c:tx>
            <c:strRef>
              <c:f>Sheet1!$A$8</c:f>
              <c:strCache>
                <c:ptCount val="1"/>
                <c:pt idx="0">
                  <c:v>Cd</c:v>
                </c:pt>
              </c:strCache>
            </c:strRef>
          </c:tx>
          <c:spPr>
            <a:solidFill>
              <a:srgbClr val="00FF00"/>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Sheet1!$B$8:$K$8</c:f>
              <c:numCache>
                <c:formatCode>General</c:formatCode>
                <c:ptCount val="10"/>
                <c:pt idx="1">
                  <c:v>0.376</c:v>
                </c:pt>
                <c:pt idx="2">
                  <c:v>0.44400000000000001</c:v>
                </c:pt>
                <c:pt idx="3">
                  <c:v>0.33300000000000002</c:v>
                </c:pt>
                <c:pt idx="4">
                  <c:v>0.76</c:v>
                </c:pt>
                <c:pt idx="5">
                  <c:v>0.57999999999999996</c:v>
                </c:pt>
              </c:numCache>
            </c:numRef>
          </c:val>
        </c:ser>
        <c:ser>
          <c:idx val="6"/>
          <c:order val="6"/>
          <c:tx>
            <c:strRef>
              <c:f>Sheet1!$A$9</c:f>
              <c:strCache>
                <c:ptCount val="1"/>
                <c:pt idx="0">
                  <c:v>Ni</c:v>
                </c:pt>
              </c:strCache>
            </c:strRef>
          </c:tx>
          <c:spPr>
            <a:solidFill>
              <a:srgbClr val="339933"/>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Sheet1!$B$9:$K$9</c:f>
              <c:numCache>
                <c:formatCode>General</c:formatCode>
                <c:ptCount val="10"/>
                <c:pt idx="1">
                  <c:v>1.534</c:v>
                </c:pt>
                <c:pt idx="2">
                  <c:v>3.2269999999999999</c:v>
                </c:pt>
                <c:pt idx="3">
                  <c:v>2.5609999999999999</c:v>
                </c:pt>
                <c:pt idx="4">
                  <c:v>3.49</c:v>
                </c:pt>
                <c:pt idx="5">
                  <c:v>3.35</c:v>
                </c:pt>
              </c:numCache>
            </c:numRef>
          </c:val>
        </c:ser>
        <c:dLbls>
          <c:showLegendKey val="0"/>
          <c:showVal val="0"/>
          <c:showCatName val="0"/>
          <c:showSerName val="0"/>
          <c:showPercent val="0"/>
          <c:showBubbleSize val="0"/>
        </c:dLbls>
        <c:gapWidth val="500"/>
        <c:axId val="304618880"/>
        <c:axId val="304620672"/>
      </c:barChart>
      <c:catAx>
        <c:axId val="3046154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04616960"/>
        <c:crosses val="autoZero"/>
        <c:auto val="1"/>
        <c:lblAlgn val="ctr"/>
        <c:lblOffset val="100"/>
        <c:tickLblSkip val="1"/>
        <c:tickMarkSkip val="1"/>
        <c:noMultiLvlLbl val="0"/>
      </c:catAx>
      <c:valAx>
        <c:axId val="304616960"/>
        <c:scaling>
          <c:orientation val="minMax"/>
          <c:max val="60"/>
          <c:min val="0"/>
        </c:scaling>
        <c:delete val="0"/>
        <c:axPos val="l"/>
        <c:majorGridlines>
          <c:spPr>
            <a:ln w="0">
              <a:solidFill>
                <a:schemeClr val="bg1"/>
              </a:solidFill>
              <a:prstDash val="sysDash"/>
            </a:ln>
          </c:spPr>
        </c:majorGridlines>
        <c:title>
          <c:tx>
            <c:rich>
              <a:bodyPr rot="0" vert="horz"/>
              <a:lstStyle/>
              <a:p>
                <a:pPr algn="ctr">
                  <a:defRPr sz="1100" b="1" i="0" u="none" strike="noStrike" baseline="0">
                    <a:solidFill>
                      <a:srgbClr val="000000"/>
                    </a:solidFill>
                    <a:latin typeface="Arial"/>
                    <a:ea typeface="Arial"/>
                    <a:cs typeface="Arial"/>
                  </a:defRPr>
                </a:pPr>
                <a:r>
                  <a:rPr lang="en-US"/>
                  <a:t>µg/m3</a:t>
                </a:r>
              </a:p>
            </c:rich>
          </c:tx>
          <c:layout>
            <c:manualLayout>
              <c:xMode val="edge"/>
              <c:yMode val="edge"/>
              <c:x val="1.8574297188755019E-2"/>
              <c:y val="8.9411764705882399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04615424"/>
        <c:crosses val="autoZero"/>
        <c:crossBetween val="between"/>
        <c:majorUnit val="5"/>
      </c:valAx>
      <c:catAx>
        <c:axId val="304618880"/>
        <c:scaling>
          <c:orientation val="minMax"/>
        </c:scaling>
        <c:delete val="1"/>
        <c:axPos val="b"/>
        <c:majorTickMark val="out"/>
        <c:minorTickMark val="none"/>
        <c:tickLblPos val="nextTo"/>
        <c:crossAx val="304620672"/>
        <c:crosses val="autoZero"/>
        <c:auto val="1"/>
        <c:lblAlgn val="ctr"/>
        <c:lblOffset val="100"/>
        <c:noMultiLvlLbl val="0"/>
      </c:catAx>
      <c:valAx>
        <c:axId val="304620672"/>
        <c:scaling>
          <c:orientation val="minMax"/>
          <c:max val="4.5"/>
        </c:scaling>
        <c:delete val="0"/>
        <c:axPos val="r"/>
        <c:numFmt formatCode="General" sourceLinked="1"/>
        <c:majorTickMark val="out"/>
        <c:minorTickMark val="none"/>
        <c:tickLblPos val="nextTo"/>
        <c:spPr>
          <a:noFill/>
          <a:ln w="28575">
            <a:solidFill>
              <a:srgbClr val="00B050"/>
            </a:solidFill>
          </a:ln>
        </c:spPr>
        <c:txPr>
          <a:bodyPr rot="0" vert="horz"/>
          <a:lstStyle/>
          <a:p>
            <a:pPr>
              <a:defRPr sz="1000" b="0" i="0" u="none" strike="noStrike" baseline="0">
                <a:solidFill>
                  <a:srgbClr val="339966"/>
                </a:solidFill>
                <a:latin typeface="Arial"/>
                <a:ea typeface="Arial"/>
                <a:cs typeface="Arial"/>
              </a:defRPr>
            </a:pPr>
            <a:endParaRPr lang="en-US"/>
          </a:p>
        </c:txPr>
        <c:crossAx val="304618880"/>
        <c:crosses val="max"/>
        <c:crossBetween val="between"/>
      </c:valAx>
      <c:spPr>
        <a:noFill/>
        <a:ln w="25400">
          <a:noFill/>
        </a:ln>
      </c:spPr>
    </c:plotArea>
    <c:legend>
      <c:legendPos val="r"/>
      <c:layout>
        <c:manualLayout>
          <c:xMode val="edge"/>
          <c:yMode val="edge"/>
          <c:x val="0.68999889321063812"/>
          <c:y val="0.17098039215686292"/>
          <c:w val="7.7069379881731737E-2"/>
          <c:h val="0.39893432144511348"/>
        </c:manualLayout>
      </c:layout>
      <c:overlay val="0"/>
      <c:spPr>
        <a:noFill/>
        <a:ln w="25400">
          <a:noFill/>
        </a:ln>
      </c:spPr>
      <c:txPr>
        <a:bodyPr/>
        <a:lstStyle/>
        <a:p>
          <a:pPr>
            <a:defRPr sz="8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Concentratii medii anuale statia CT4</a:t>
            </a:r>
          </a:p>
        </c:rich>
      </c:tx>
      <c:layout>
        <c:manualLayout>
          <c:xMode val="edge"/>
          <c:yMode val="edge"/>
          <c:x val="0.29769076305220904"/>
          <c:y val="3.215686274509804E-2"/>
        </c:manualLayout>
      </c:layout>
      <c:overlay val="0"/>
      <c:spPr>
        <a:noFill/>
        <a:ln w="25400">
          <a:noFill/>
        </a:ln>
      </c:spPr>
    </c:title>
    <c:autoTitleDeleted val="0"/>
    <c:plotArea>
      <c:layout>
        <c:manualLayout>
          <c:layoutTarget val="inner"/>
          <c:xMode val="edge"/>
          <c:yMode val="edge"/>
          <c:x val="4.0662680504253743E-2"/>
          <c:y val="0.16470588235294129"/>
          <c:w val="0.93373562639397489"/>
          <c:h val="0.75764705882353012"/>
        </c:manualLayout>
      </c:layout>
      <c:barChart>
        <c:barDir val="col"/>
        <c:grouping val="clustered"/>
        <c:varyColors val="0"/>
        <c:ser>
          <c:idx val="0"/>
          <c:order val="0"/>
          <c:tx>
            <c:strRef>
              <c:f>Sheet1!$A$3</c:f>
              <c:strCache>
                <c:ptCount val="1"/>
                <c:pt idx="0">
                  <c:v>SO2</c:v>
                </c:pt>
              </c:strCache>
            </c:strRef>
          </c:tx>
          <c:spPr>
            <a:solidFill>
              <a:srgbClr val="FFC000"/>
            </a:solidFill>
            <a:ln w="25400">
              <a:noFill/>
            </a:ln>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Sheet1!$B$3:$K$3</c:f>
              <c:numCache>
                <c:formatCode>@</c:formatCode>
                <c:ptCount val="10"/>
                <c:pt idx="0" formatCode="General">
                  <c:v>12.92</c:v>
                </c:pt>
                <c:pt idx="1">
                  <c:v>0</c:v>
                </c:pt>
                <c:pt idx="5" formatCode="0.0000">
                  <c:v>7.4</c:v>
                </c:pt>
                <c:pt idx="6" formatCode="0.0000">
                  <c:v>6.89</c:v>
                </c:pt>
                <c:pt idx="9" formatCode="General">
                  <c:v>6.41</c:v>
                </c:pt>
              </c:numCache>
            </c:numRef>
          </c:val>
        </c:ser>
        <c:ser>
          <c:idx val="1"/>
          <c:order val="1"/>
          <c:tx>
            <c:strRef>
              <c:f>Sheet1!$A$4</c:f>
              <c:strCache>
                <c:ptCount val="1"/>
                <c:pt idx="0">
                  <c:v>NO2</c:v>
                </c:pt>
              </c:strCache>
            </c:strRef>
          </c:tx>
          <c:spPr>
            <a:solidFill>
              <a:srgbClr val="002060"/>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Sheet1!$B$4:$K$4</c:f>
              <c:numCache>
                <c:formatCode>General</c:formatCode>
                <c:ptCount val="10"/>
                <c:pt idx="0">
                  <c:v>14</c:v>
                </c:pt>
                <c:pt idx="1">
                  <c:v>17</c:v>
                </c:pt>
                <c:pt idx="5">
                  <c:v>22.25</c:v>
                </c:pt>
                <c:pt idx="9">
                  <c:v>16.18</c:v>
                </c:pt>
              </c:numCache>
            </c:numRef>
          </c:val>
        </c:ser>
        <c:ser>
          <c:idx val="2"/>
          <c:order val="2"/>
          <c:tx>
            <c:strRef>
              <c:f>Sheet1!$A$5</c:f>
              <c:strCache>
                <c:ptCount val="1"/>
                <c:pt idx="0">
                  <c:v>C6H6</c:v>
                </c:pt>
              </c:strCache>
            </c:strRef>
          </c:tx>
          <c:spPr>
            <a:solidFill>
              <a:srgbClr val="FF99FF"/>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Sheet1!$B$5:$K$5</c:f>
              <c:numCache>
                <c:formatCode>General</c:formatCode>
                <c:ptCount val="10"/>
                <c:pt idx="0">
                  <c:v>3.53</c:v>
                </c:pt>
                <c:pt idx="1">
                  <c:v>2.8</c:v>
                </c:pt>
                <c:pt idx="9">
                  <c:v>1.63</c:v>
                </c:pt>
              </c:numCache>
            </c:numRef>
          </c:val>
        </c:ser>
        <c:ser>
          <c:idx val="3"/>
          <c:order val="3"/>
          <c:tx>
            <c:strRef>
              <c:f>Sheet1!$A$6</c:f>
              <c:strCache>
                <c:ptCount val="1"/>
                <c:pt idx="0">
                  <c:v>PM10</c:v>
                </c:pt>
              </c:strCache>
            </c:strRef>
          </c:tx>
          <c:spPr>
            <a:solidFill>
              <a:srgbClr val="FF3300"/>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Sheet1!$B$6:$K$6</c:f>
              <c:numCache>
                <c:formatCode>General</c:formatCode>
                <c:ptCount val="10"/>
                <c:pt idx="2">
                  <c:v>20.5</c:v>
                </c:pt>
                <c:pt idx="5">
                  <c:v>29.11</c:v>
                </c:pt>
                <c:pt idx="7">
                  <c:v>22.96</c:v>
                </c:pt>
                <c:pt idx="8">
                  <c:v>18.530999999999999</c:v>
                </c:pt>
                <c:pt idx="9">
                  <c:v>20.6</c:v>
                </c:pt>
              </c:numCache>
            </c:numRef>
          </c:val>
        </c:ser>
        <c:dLbls>
          <c:showLegendKey val="0"/>
          <c:showVal val="0"/>
          <c:showCatName val="0"/>
          <c:showSerName val="0"/>
          <c:showPercent val="0"/>
          <c:showBubbleSize val="0"/>
        </c:dLbls>
        <c:gapWidth val="500"/>
        <c:axId val="304697344"/>
        <c:axId val="304698880"/>
      </c:barChart>
      <c:barChart>
        <c:barDir val="col"/>
        <c:grouping val="clustered"/>
        <c:varyColors val="0"/>
        <c:ser>
          <c:idx val="4"/>
          <c:order val="4"/>
          <c:tx>
            <c:strRef>
              <c:f>Sheet1!$A$7</c:f>
              <c:strCache>
                <c:ptCount val="1"/>
                <c:pt idx="0">
                  <c:v>Pb</c:v>
                </c:pt>
              </c:strCache>
            </c:strRef>
          </c:tx>
          <c:spPr>
            <a:solidFill>
              <a:srgbClr val="92D050"/>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Sheet1!$B$7:$K$7</c:f>
              <c:numCache>
                <c:formatCode>General</c:formatCode>
                <c:ptCount val="10"/>
                <c:pt idx="1">
                  <c:v>8.9999999999999993E-3</c:v>
                </c:pt>
                <c:pt idx="2">
                  <c:v>0.01</c:v>
                </c:pt>
                <c:pt idx="3">
                  <c:v>0.01</c:v>
                </c:pt>
                <c:pt idx="4">
                  <c:v>0.02</c:v>
                </c:pt>
                <c:pt idx="7">
                  <c:v>8.0000000000000002E-3</c:v>
                </c:pt>
              </c:numCache>
            </c:numRef>
          </c:val>
        </c:ser>
        <c:ser>
          <c:idx val="5"/>
          <c:order val="5"/>
          <c:tx>
            <c:strRef>
              <c:f>Sheet1!$A$8</c:f>
              <c:strCache>
                <c:ptCount val="1"/>
                <c:pt idx="0">
                  <c:v>Cd</c:v>
                </c:pt>
              </c:strCache>
            </c:strRef>
          </c:tx>
          <c:spPr>
            <a:solidFill>
              <a:srgbClr val="00FF00"/>
            </a:solidFill>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Sheet1!$B$8:$K$8</c:f>
              <c:numCache>
                <c:formatCode>General</c:formatCode>
                <c:ptCount val="10"/>
                <c:pt idx="1">
                  <c:v>0.184</c:v>
                </c:pt>
              </c:numCache>
            </c:numRef>
          </c:val>
        </c:ser>
        <c:ser>
          <c:idx val="6"/>
          <c:order val="6"/>
          <c:tx>
            <c:strRef>
              <c:f>Sheet1!$A$9</c:f>
              <c:strCache>
                <c:ptCount val="1"/>
                <c:pt idx="0">
                  <c:v>Ni</c:v>
                </c:pt>
              </c:strCache>
            </c:strRef>
          </c:tx>
          <c:spPr>
            <a:solidFill>
              <a:srgbClr val="CCFF66"/>
            </a:solidFill>
            <a:ln>
              <a:solidFill>
                <a:srgbClr val="006600"/>
              </a:solidFill>
            </a:ln>
          </c:spPr>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Sheet1!$B$9:$K$9</c:f>
              <c:numCache>
                <c:formatCode>General</c:formatCode>
                <c:ptCount val="10"/>
                <c:pt idx="1">
                  <c:v>1.718</c:v>
                </c:pt>
              </c:numCache>
            </c:numRef>
          </c:val>
        </c:ser>
        <c:ser>
          <c:idx val="7"/>
          <c:order val="7"/>
          <c:tx>
            <c:strRef>
              <c:f>Sheet1!$A$10</c:f>
              <c:strCache>
                <c:ptCount val="1"/>
                <c:pt idx="0">
                  <c:v>As</c:v>
                </c:pt>
              </c:strCache>
            </c:strRef>
          </c:tx>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Sheet1!$B$10:$K$10</c:f>
              <c:numCache>
                <c:formatCode>General</c:formatCode>
                <c:ptCount val="10"/>
                <c:pt idx="1">
                  <c:v>0.16700000000000001</c:v>
                </c:pt>
              </c:numCache>
            </c:numRef>
          </c:val>
        </c:ser>
        <c:dLbls>
          <c:showLegendKey val="0"/>
          <c:showVal val="0"/>
          <c:showCatName val="0"/>
          <c:showSerName val="0"/>
          <c:showPercent val="0"/>
          <c:showBubbleSize val="0"/>
        </c:dLbls>
        <c:gapWidth val="500"/>
        <c:axId val="304700800"/>
        <c:axId val="304702592"/>
      </c:barChart>
      <c:catAx>
        <c:axId val="3046973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04698880"/>
        <c:crosses val="autoZero"/>
        <c:auto val="1"/>
        <c:lblAlgn val="ctr"/>
        <c:lblOffset val="100"/>
        <c:tickLblSkip val="1"/>
        <c:tickMarkSkip val="1"/>
        <c:noMultiLvlLbl val="0"/>
      </c:catAx>
      <c:valAx>
        <c:axId val="304698880"/>
        <c:scaling>
          <c:orientation val="minMax"/>
          <c:max val="60"/>
          <c:min val="0"/>
        </c:scaling>
        <c:delete val="0"/>
        <c:axPos val="l"/>
        <c:majorGridlines>
          <c:spPr>
            <a:ln w="0">
              <a:solidFill>
                <a:schemeClr val="bg1"/>
              </a:solidFill>
              <a:prstDash val="sysDash"/>
            </a:ln>
          </c:spPr>
        </c:majorGridlines>
        <c:title>
          <c:tx>
            <c:rich>
              <a:bodyPr rot="0" vert="horz"/>
              <a:lstStyle/>
              <a:p>
                <a:pPr algn="ctr">
                  <a:defRPr sz="1100" b="1" i="0" u="none" strike="noStrike" baseline="0">
                    <a:solidFill>
                      <a:srgbClr val="000000"/>
                    </a:solidFill>
                    <a:latin typeface="Arial"/>
                    <a:ea typeface="Arial"/>
                    <a:cs typeface="Arial"/>
                  </a:defRPr>
                </a:pPr>
                <a:r>
                  <a:rPr lang="en-US"/>
                  <a:t>µg/m3</a:t>
                </a:r>
              </a:p>
            </c:rich>
          </c:tx>
          <c:layout>
            <c:manualLayout>
              <c:xMode val="edge"/>
              <c:yMode val="edge"/>
              <c:x val="1.8574297188755019E-2"/>
              <c:y val="8.9411764705882399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304697344"/>
        <c:crosses val="autoZero"/>
        <c:crossBetween val="between"/>
        <c:majorUnit val="5"/>
      </c:valAx>
      <c:catAx>
        <c:axId val="304700800"/>
        <c:scaling>
          <c:orientation val="minMax"/>
        </c:scaling>
        <c:delete val="1"/>
        <c:axPos val="b"/>
        <c:majorTickMark val="out"/>
        <c:minorTickMark val="none"/>
        <c:tickLblPos val="nextTo"/>
        <c:crossAx val="304702592"/>
        <c:crosses val="autoZero"/>
        <c:auto val="1"/>
        <c:lblAlgn val="ctr"/>
        <c:lblOffset val="100"/>
        <c:noMultiLvlLbl val="0"/>
      </c:catAx>
      <c:valAx>
        <c:axId val="304702592"/>
        <c:scaling>
          <c:orientation val="minMax"/>
        </c:scaling>
        <c:delete val="0"/>
        <c:axPos val="r"/>
        <c:numFmt formatCode="General" sourceLinked="1"/>
        <c:majorTickMark val="out"/>
        <c:minorTickMark val="none"/>
        <c:tickLblPos val="nextTo"/>
        <c:spPr>
          <a:noFill/>
          <a:ln w="28575">
            <a:solidFill>
              <a:srgbClr val="00B050"/>
            </a:solidFill>
          </a:ln>
        </c:spPr>
        <c:txPr>
          <a:bodyPr rot="0" vert="horz"/>
          <a:lstStyle/>
          <a:p>
            <a:pPr>
              <a:defRPr sz="1000" b="0" i="0" u="none" strike="noStrike" baseline="0">
                <a:solidFill>
                  <a:srgbClr val="339966"/>
                </a:solidFill>
                <a:latin typeface="Arial"/>
                <a:ea typeface="Arial"/>
                <a:cs typeface="Arial"/>
              </a:defRPr>
            </a:pPr>
            <a:endParaRPr lang="en-US"/>
          </a:p>
        </c:txPr>
        <c:crossAx val="304700800"/>
        <c:crosses val="max"/>
        <c:crossBetween val="between"/>
      </c:valAx>
      <c:spPr>
        <a:noFill/>
        <a:ln w="25400">
          <a:noFill/>
        </a:ln>
      </c:spPr>
    </c:plotArea>
    <c:legend>
      <c:legendPos val="r"/>
      <c:layout>
        <c:manualLayout>
          <c:xMode val="edge"/>
          <c:yMode val="edge"/>
          <c:x val="0.56275100401606459"/>
          <c:y val="0.20549019607843153"/>
          <c:w val="7.1623501881541929E-2"/>
          <c:h val="0.37831045236992467"/>
        </c:manualLayout>
      </c:layout>
      <c:overlay val="0"/>
      <c:spPr>
        <a:noFill/>
        <a:ln w="25400">
          <a:noFill/>
        </a:ln>
      </c:spPr>
      <c:txPr>
        <a:bodyPr/>
        <a:lstStyle/>
        <a:p>
          <a:pPr>
            <a:defRPr sz="8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NO2 </a:t>
            </a:r>
            <a:r>
              <a:rPr lang="en-US" sz="1200" b="1" i="0" u="none" strike="noStrike" baseline="0"/>
              <a:t>- Evolutia concentratiilor medii anuale inregistrate </a:t>
            </a:r>
            <a:br>
              <a:rPr lang="en-US" sz="1200" b="1" i="0" u="none" strike="noStrike" baseline="0"/>
            </a:br>
            <a:r>
              <a:rPr lang="en-US" sz="1200" b="1" i="0" u="none" strike="noStrike" baseline="0"/>
              <a:t>
in anul 2017 la statiile de monitorizare</a:t>
            </a:r>
            <a:endParaRPr lang="en-US"/>
          </a:p>
        </c:rich>
      </c:tx>
      <c:layout>
        <c:manualLayout>
          <c:xMode val="edge"/>
          <c:yMode val="edge"/>
          <c:x val="0.24851206099237608"/>
          <c:y val="1.5194681861348529E-2"/>
        </c:manualLayout>
      </c:layout>
      <c:overlay val="0"/>
      <c:spPr>
        <a:noFill/>
        <a:ln w="25400">
          <a:noFill/>
        </a:ln>
      </c:spPr>
    </c:title>
    <c:autoTitleDeleted val="0"/>
    <c:plotArea>
      <c:layout>
        <c:manualLayout>
          <c:layoutTarget val="inner"/>
          <c:xMode val="edge"/>
          <c:yMode val="edge"/>
          <c:x val="6.1011993425632211E-2"/>
          <c:y val="0.15384658188262873"/>
          <c:w val="0.9092275117819818"/>
          <c:h val="0.74359181243270533"/>
        </c:manualLayout>
      </c:layout>
      <c:barChart>
        <c:barDir val="col"/>
        <c:grouping val="clustered"/>
        <c:varyColors val="0"/>
        <c:ser>
          <c:idx val="0"/>
          <c:order val="0"/>
          <c:tx>
            <c:strRef>
              <c:f>Sheet1!$A$2</c:f>
              <c:strCache>
                <c:ptCount val="1"/>
                <c:pt idx="0">
                  <c:v>2017</c:v>
                </c:pt>
              </c:strCache>
            </c:strRef>
          </c:tx>
          <c:spPr>
            <a:solidFill>
              <a:srgbClr val="FFCC00"/>
            </a:solidFill>
            <a:ln w="25400">
              <a:noFill/>
            </a:ln>
          </c:spPr>
          <c:invertIfNegative val="0"/>
          <c:cat>
            <c:strRef>
              <c:f>Sheet1!$C$1:$H$1</c:f>
              <c:strCache>
                <c:ptCount val="6"/>
                <c:pt idx="0">
                  <c:v>CT-2</c:v>
                </c:pt>
                <c:pt idx="1">
                  <c:v>CT-3 </c:v>
                </c:pt>
                <c:pt idx="2">
                  <c:v>CT4</c:v>
                </c:pt>
                <c:pt idx="3">
                  <c:v>CT-5 </c:v>
                </c:pt>
                <c:pt idx="4">
                  <c:v>CT-6 </c:v>
                </c:pt>
                <c:pt idx="5">
                  <c:v>CT-7</c:v>
                </c:pt>
              </c:strCache>
            </c:strRef>
          </c:cat>
          <c:val>
            <c:numRef>
              <c:f>Sheet1!$C$2:$H$2</c:f>
              <c:numCache>
                <c:formatCode>General</c:formatCode>
                <c:ptCount val="6"/>
                <c:pt idx="0">
                  <c:v>23.11</c:v>
                </c:pt>
                <c:pt idx="1">
                  <c:v>15.77</c:v>
                </c:pt>
                <c:pt idx="2">
                  <c:v>16.18</c:v>
                </c:pt>
                <c:pt idx="3">
                  <c:v>19.55</c:v>
                </c:pt>
                <c:pt idx="4">
                  <c:v>21.21</c:v>
                </c:pt>
                <c:pt idx="5">
                  <c:v>21.3</c:v>
                </c:pt>
              </c:numCache>
            </c:numRef>
          </c:val>
        </c:ser>
        <c:dLbls>
          <c:showLegendKey val="0"/>
          <c:showVal val="0"/>
          <c:showCatName val="0"/>
          <c:showSerName val="0"/>
          <c:showPercent val="0"/>
          <c:showBubbleSize val="0"/>
        </c:dLbls>
        <c:gapWidth val="150"/>
        <c:axId val="303944064"/>
        <c:axId val="303945600"/>
      </c:barChart>
      <c:lineChart>
        <c:grouping val="stacked"/>
        <c:varyColors val="0"/>
        <c:ser>
          <c:idx val="1"/>
          <c:order val="1"/>
          <c:tx>
            <c:strRef>
              <c:f>Sheet1!$A$3</c:f>
              <c:strCache>
                <c:ptCount val="1"/>
                <c:pt idx="0">
                  <c:v>valoare limita anuala</c:v>
                </c:pt>
              </c:strCache>
            </c:strRef>
          </c:tx>
          <c:spPr>
            <a:ln w="25400">
              <a:solidFill>
                <a:srgbClr val="FF0000"/>
              </a:solidFill>
              <a:prstDash val="solid"/>
            </a:ln>
          </c:spPr>
          <c:marker>
            <c:symbol val="none"/>
          </c:marker>
          <c:cat>
            <c:strRef>
              <c:f>Sheet1!$C$1:$H$1</c:f>
              <c:strCache>
                <c:ptCount val="6"/>
                <c:pt idx="0">
                  <c:v>CT-2</c:v>
                </c:pt>
                <c:pt idx="1">
                  <c:v>CT-3 </c:v>
                </c:pt>
                <c:pt idx="2">
                  <c:v>CT4</c:v>
                </c:pt>
                <c:pt idx="3">
                  <c:v>CT-5 </c:v>
                </c:pt>
                <c:pt idx="4">
                  <c:v>CT-6 </c:v>
                </c:pt>
                <c:pt idx="5">
                  <c:v>CT-7</c:v>
                </c:pt>
              </c:strCache>
            </c:strRef>
          </c:cat>
          <c:val>
            <c:numRef>
              <c:f>Sheet1!$C$3:$H$3</c:f>
              <c:numCache>
                <c:formatCode>General</c:formatCode>
                <c:ptCount val="6"/>
                <c:pt idx="0">
                  <c:v>40</c:v>
                </c:pt>
                <c:pt idx="1">
                  <c:v>40</c:v>
                </c:pt>
                <c:pt idx="2">
                  <c:v>40</c:v>
                </c:pt>
                <c:pt idx="3">
                  <c:v>40</c:v>
                </c:pt>
                <c:pt idx="4">
                  <c:v>40</c:v>
                </c:pt>
                <c:pt idx="5">
                  <c:v>40</c:v>
                </c:pt>
              </c:numCache>
            </c:numRef>
          </c:val>
          <c:smooth val="0"/>
        </c:ser>
        <c:dLbls>
          <c:showLegendKey val="0"/>
          <c:showVal val="0"/>
          <c:showCatName val="0"/>
          <c:showSerName val="0"/>
          <c:showPercent val="0"/>
          <c:showBubbleSize val="0"/>
        </c:dLbls>
        <c:marker val="1"/>
        <c:smooth val="0"/>
        <c:axId val="303944064"/>
        <c:axId val="303945600"/>
      </c:lineChart>
      <c:catAx>
        <c:axId val="3039440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945600"/>
        <c:crosses val="autoZero"/>
        <c:auto val="1"/>
        <c:lblAlgn val="ctr"/>
        <c:lblOffset val="100"/>
        <c:tickLblSkip val="1"/>
        <c:tickMarkSkip val="1"/>
        <c:noMultiLvlLbl val="0"/>
      </c:catAx>
      <c:valAx>
        <c:axId val="303945600"/>
        <c:scaling>
          <c:orientation val="minMax"/>
          <c:max val="45"/>
        </c:scaling>
        <c:delete val="0"/>
        <c:axPos val="l"/>
        <c:majorGridlines>
          <c:spPr>
            <a:ln w="3175">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944064"/>
        <c:crosses val="autoZero"/>
        <c:crossBetween val="between"/>
      </c:valAx>
      <c:spPr>
        <a:noFill/>
        <a:ln w="25400">
          <a:noFill/>
        </a:ln>
      </c:spPr>
    </c:plotArea>
    <c:plotVisOnly val="1"/>
    <c:dispBlanksAs val="zero"/>
    <c:showDLblsOverMax val="0"/>
  </c:chart>
  <c:spPr>
    <a:solidFill>
      <a:srgbClr val="FFFFFF"/>
    </a:solidFill>
    <a:ln w="25400">
      <a:solidFill>
        <a:srgbClr val="92D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Sheet1!$A$3</c:f>
              <c:strCache>
                <c:ptCount val="1"/>
                <c:pt idx="0">
                  <c:v>CT-1 </c:v>
                </c:pt>
              </c:strCache>
            </c:strRef>
          </c:tx>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Sheet1!$B$3:$K$3</c:f>
              <c:numCache>
                <c:formatCode>General</c:formatCode>
                <c:ptCount val="10"/>
                <c:pt idx="0">
                  <c:v>2</c:v>
                </c:pt>
                <c:pt idx="2">
                  <c:v>3</c:v>
                </c:pt>
                <c:pt idx="4">
                  <c:v>15</c:v>
                </c:pt>
                <c:pt idx="8">
                  <c:v>6</c:v>
                </c:pt>
                <c:pt idx="9">
                  <c:v>13</c:v>
                </c:pt>
              </c:numCache>
            </c:numRef>
          </c:val>
        </c:ser>
        <c:ser>
          <c:idx val="1"/>
          <c:order val="1"/>
          <c:tx>
            <c:strRef>
              <c:f>Sheet1!$A$4</c:f>
              <c:strCache>
                <c:ptCount val="1"/>
                <c:pt idx="0">
                  <c:v>CT-3</c:v>
                </c:pt>
              </c:strCache>
            </c:strRef>
          </c:tx>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Sheet1!$B$4:$K$4</c:f>
              <c:numCache>
                <c:formatCode>General</c:formatCode>
                <c:ptCount val="10"/>
                <c:pt idx="0">
                  <c:v>9</c:v>
                </c:pt>
                <c:pt idx="2">
                  <c:v>2</c:v>
                </c:pt>
                <c:pt idx="8">
                  <c:v>1</c:v>
                </c:pt>
                <c:pt idx="9">
                  <c:v>8</c:v>
                </c:pt>
              </c:numCache>
            </c:numRef>
          </c:val>
        </c:ser>
        <c:ser>
          <c:idx val="2"/>
          <c:order val="2"/>
          <c:tx>
            <c:strRef>
              <c:f>Sheet1!$A$5</c:f>
              <c:strCache>
                <c:ptCount val="1"/>
                <c:pt idx="0">
                  <c:v>CT-4</c:v>
                </c:pt>
              </c:strCache>
            </c:strRef>
          </c:tx>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Sheet1!$B$5:$K$5</c:f>
              <c:numCache>
                <c:formatCode>General</c:formatCode>
                <c:ptCount val="10"/>
                <c:pt idx="0">
                  <c:v>11</c:v>
                </c:pt>
                <c:pt idx="1">
                  <c:v>12</c:v>
                </c:pt>
                <c:pt idx="3">
                  <c:v>2</c:v>
                </c:pt>
                <c:pt idx="4">
                  <c:v>3</c:v>
                </c:pt>
                <c:pt idx="7">
                  <c:v>6</c:v>
                </c:pt>
                <c:pt idx="8">
                  <c:v>1</c:v>
                </c:pt>
                <c:pt idx="9" formatCode="@">
                  <c:v>0</c:v>
                </c:pt>
              </c:numCache>
            </c:numRef>
          </c:val>
        </c:ser>
        <c:ser>
          <c:idx val="3"/>
          <c:order val="3"/>
          <c:tx>
            <c:strRef>
              <c:f>Sheet1!$A$6</c:f>
              <c:strCache>
                <c:ptCount val="1"/>
                <c:pt idx="0">
                  <c:v>CT-5 </c:v>
                </c:pt>
              </c:strCache>
            </c:strRef>
          </c:tx>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Sheet1!$B$6:$K$6</c:f>
              <c:numCache>
                <c:formatCode>General</c:formatCode>
                <c:ptCount val="10"/>
                <c:pt idx="0">
                  <c:v>16</c:v>
                </c:pt>
                <c:pt idx="1">
                  <c:v>3</c:v>
                </c:pt>
                <c:pt idx="2">
                  <c:v>3</c:v>
                </c:pt>
                <c:pt idx="4">
                  <c:v>11</c:v>
                </c:pt>
                <c:pt idx="8">
                  <c:v>7</c:v>
                </c:pt>
                <c:pt idx="9" formatCode="@">
                  <c:v>0</c:v>
                </c:pt>
              </c:numCache>
            </c:numRef>
          </c:val>
        </c:ser>
        <c:ser>
          <c:idx val="4"/>
          <c:order val="4"/>
          <c:tx>
            <c:strRef>
              <c:f>Sheet1!$A$7</c:f>
              <c:strCache>
                <c:ptCount val="1"/>
                <c:pt idx="0">
                  <c:v>CT-7 </c:v>
                </c:pt>
              </c:strCache>
            </c:strRef>
          </c:tx>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Sheet1!$B$7:$K$7</c:f>
              <c:numCache>
                <c:formatCode>General</c:formatCode>
                <c:ptCount val="10"/>
                <c:pt idx="0">
                  <c:v>19</c:v>
                </c:pt>
                <c:pt idx="1">
                  <c:v>10</c:v>
                </c:pt>
                <c:pt idx="2">
                  <c:v>5</c:v>
                </c:pt>
                <c:pt idx="3">
                  <c:v>1</c:v>
                </c:pt>
                <c:pt idx="7">
                  <c:v>6</c:v>
                </c:pt>
                <c:pt idx="9" formatCode="@">
                  <c:v>0</c:v>
                </c:pt>
              </c:numCache>
            </c:numRef>
          </c:val>
        </c:ser>
        <c:ser>
          <c:idx val="5"/>
          <c:order val="5"/>
          <c:tx>
            <c:strRef>
              <c:f>Sheet1!$A$8</c:f>
              <c:strCache>
                <c:ptCount val="1"/>
                <c:pt idx="0">
                  <c:v>Nr. maxim depasiri</c:v>
                </c:pt>
              </c:strCache>
            </c:strRef>
          </c:tx>
          <c:invertIfNegative val="0"/>
          <c:cat>
            <c:strRef>
              <c:f>Sheet1!$B$2:$K$2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Sheet1!$B$8:$K$8</c:f>
              <c:numCache>
                <c:formatCode>General</c:formatCode>
                <c:ptCount val="10"/>
                <c:pt idx="0">
                  <c:v>35</c:v>
                </c:pt>
                <c:pt idx="1">
                  <c:v>35</c:v>
                </c:pt>
                <c:pt idx="2">
                  <c:v>35</c:v>
                </c:pt>
                <c:pt idx="3">
                  <c:v>35</c:v>
                </c:pt>
                <c:pt idx="4">
                  <c:v>35</c:v>
                </c:pt>
                <c:pt idx="5">
                  <c:v>35</c:v>
                </c:pt>
                <c:pt idx="6">
                  <c:v>35</c:v>
                </c:pt>
                <c:pt idx="7">
                  <c:v>35</c:v>
                </c:pt>
                <c:pt idx="8">
                  <c:v>35</c:v>
                </c:pt>
                <c:pt idx="9">
                  <c:v>35</c:v>
                </c:pt>
              </c:numCache>
            </c:numRef>
          </c:val>
        </c:ser>
        <c:dLbls>
          <c:showLegendKey val="0"/>
          <c:showVal val="0"/>
          <c:showCatName val="0"/>
          <c:showSerName val="0"/>
          <c:showPercent val="0"/>
          <c:showBubbleSize val="0"/>
        </c:dLbls>
        <c:gapWidth val="150"/>
        <c:shape val="box"/>
        <c:axId val="304739840"/>
        <c:axId val="304741376"/>
        <c:axId val="304694144"/>
      </c:bar3DChart>
      <c:catAx>
        <c:axId val="304739840"/>
        <c:scaling>
          <c:orientation val="minMax"/>
        </c:scaling>
        <c:delete val="0"/>
        <c:axPos val="b"/>
        <c:majorTickMark val="out"/>
        <c:minorTickMark val="none"/>
        <c:tickLblPos val="nextTo"/>
        <c:crossAx val="304741376"/>
        <c:crosses val="autoZero"/>
        <c:auto val="1"/>
        <c:lblAlgn val="ctr"/>
        <c:lblOffset val="100"/>
        <c:noMultiLvlLbl val="0"/>
      </c:catAx>
      <c:valAx>
        <c:axId val="304741376"/>
        <c:scaling>
          <c:orientation val="minMax"/>
        </c:scaling>
        <c:delete val="0"/>
        <c:axPos val="l"/>
        <c:majorGridlines/>
        <c:numFmt formatCode="General" sourceLinked="1"/>
        <c:majorTickMark val="out"/>
        <c:minorTickMark val="none"/>
        <c:tickLblPos val="nextTo"/>
        <c:crossAx val="304739840"/>
        <c:crosses val="autoZero"/>
        <c:crossBetween val="between"/>
      </c:valAx>
      <c:serAx>
        <c:axId val="304694144"/>
        <c:scaling>
          <c:orientation val="minMax"/>
        </c:scaling>
        <c:delete val="0"/>
        <c:axPos val="b"/>
        <c:majorTickMark val="out"/>
        <c:minorTickMark val="none"/>
        <c:tickLblPos val="nextTo"/>
        <c:crossAx val="304741376"/>
        <c:crosses val="autoZero"/>
      </c:serAx>
    </c:plotArea>
    <c:legend>
      <c:legendPos val="r"/>
      <c:overlay val="0"/>
    </c:legend>
    <c:plotVisOnly val="1"/>
    <c:dispBlanksAs val="gap"/>
    <c:showDLblsOverMax val="0"/>
  </c:chart>
  <c:spPr>
    <a:ln>
      <a:solidFill>
        <a:schemeClr val="accent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3640169978745"/>
          <c:y val="0.13295346628679974"/>
          <c:w val="0.78016201099862459"/>
          <c:h val="0.6944032423297517"/>
        </c:manualLayout>
      </c:layout>
      <c:barChart>
        <c:barDir val="col"/>
        <c:grouping val="clustered"/>
        <c:varyColors val="0"/>
        <c:ser>
          <c:idx val="0"/>
          <c:order val="0"/>
          <c:tx>
            <c:strRef>
              <c:f>Sheet1!$A$2</c:f>
              <c:strCache>
                <c:ptCount val="1"/>
                <c:pt idx="0">
                  <c:v>SO2</c:v>
                </c:pt>
              </c:strCache>
            </c:strRef>
          </c:tx>
          <c:spPr>
            <a:solidFill>
              <a:srgbClr val="FFCC00"/>
            </a:solidFill>
            <a:ln w="25400">
              <a:noFill/>
            </a:ln>
          </c:spPr>
          <c:invertIfNegative val="0"/>
          <c:cat>
            <c:strRef>
              <c:f>Sheet1!$B$1:$F$1</c:f>
              <c:strCache>
                <c:ptCount val="4"/>
                <c:pt idx="0">
                  <c:v>Producere energie electrica si termica</c:v>
                </c:pt>
                <c:pt idx="1">
                  <c:v>Arderi in industrie</c:v>
                </c:pt>
                <c:pt idx="2">
                  <c:v>Rafinare titei</c:v>
                </c:pt>
                <c:pt idx="3">
                  <c:v>Incalzire rezidentiala</c:v>
                </c:pt>
              </c:strCache>
            </c:strRef>
          </c:cat>
          <c:val>
            <c:numRef>
              <c:f>Sheet1!$B$2:$E$2</c:f>
              <c:numCache>
                <c:formatCode>General</c:formatCode>
                <c:ptCount val="4"/>
                <c:pt idx="0">
                  <c:v>4.8415059999999945</c:v>
                </c:pt>
                <c:pt idx="1">
                  <c:v>66.659909999999982</c:v>
                </c:pt>
                <c:pt idx="2">
                  <c:v>0.34524000000000005</c:v>
                </c:pt>
                <c:pt idx="3">
                  <c:v>28.498399999999918</c:v>
                </c:pt>
              </c:numCache>
            </c:numRef>
          </c:val>
        </c:ser>
        <c:ser>
          <c:idx val="1"/>
          <c:order val="1"/>
          <c:tx>
            <c:strRef>
              <c:f>Sheet1!$A$3</c:f>
              <c:strCache>
                <c:ptCount val="1"/>
                <c:pt idx="0">
                  <c:v>NOX</c:v>
                </c:pt>
              </c:strCache>
            </c:strRef>
          </c:tx>
          <c:spPr>
            <a:solidFill>
              <a:srgbClr val="00B050"/>
            </a:solidFill>
            <a:ln w="25400">
              <a:solidFill>
                <a:srgbClr val="00B050"/>
              </a:solidFill>
              <a:prstDash val="solid"/>
            </a:ln>
          </c:spPr>
          <c:invertIfNegative val="0"/>
          <c:cat>
            <c:strRef>
              <c:f>Sheet1!$B$1:$E$1</c:f>
              <c:strCache>
                <c:ptCount val="4"/>
                <c:pt idx="0">
                  <c:v>Producere energie electrica si termica</c:v>
                </c:pt>
                <c:pt idx="1">
                  <c:v>Arderi in industrie</c:v>
                </c:pt>
                <c:pt idx="2">
                  <c:v>Rafinare titei</c:v>
                </c:pt>
                <c:pt idx="3">
                  <c:v>Incalzire rezidentiala</c:v>
                </c:pt>
              </c:strCache>
            </c:strRef>
          </c:cat>
          <c:val>
            <c:numRef>
              <c:f>Sheet1!$B$3:$E$3</c:f>
              <c:numCache>
                <c:formatCode>General</c:formatCode>
                <c:ptCount val="4"/>
                <c:pt idx="0">
                  <c:v>7.5032069999999997</c:v>
                </c:pt>
                <c:pt idx="1">
                  <c:v>12.16221</c:v>
                </c:pt>
                <c:pt idx="2">
                  <c:v>1.647019</c:v>
                </c:pt>
                <c:pt idx="3">
                  <c:v>3.1735090000000001</c:v>
                </c:pt>
              </c:numCache>
            </c:numRef>
          </c:val>
        </c:ser>
        <c:ser>
          <c:idx val="2"/>
          <c:order val="2"/>
          <c:tx>
            <c:strRef>
              <c:f>Sheet1!$A$4</c:f>
              <c:strCache>
                <c:ptCount val="1"/>
                <c:pt idx="0">
                  <c:v>NH3</c:v>
                </c:pt>
              </c:strCache>
            </c:strRef>
          </c:tx>
          <c:spPr>
            <a:solidFill>
              <a:srgbClr val="FF0000"/>
            </a:solidFill>
          </c:spPr>
          <c:invertIfNegative val="0"/>
          <c:cat>
            <c:strRef>
              <c:f>Sheet1!$B$1:$F$1</c:f>
              <c:strCache>
                <c:ptCount val="4"/>
                <c:pt idx="0">
                  <c:v>Producere energie electrica si termica</c:v>
                </c:pt>
                <c:pt idx="1">
                  <c:v>Arderi in industrie</c:v>
                </c:pt>
                <c:pt idx="2">
                  <c:v>Rafinare titei</c:v>
                </c:pt>
                <c:pt idx="3">
                  <c:v>Incalzire rezidentiala</c:v>
                </c:pt>
              </c:strCache>
            </c:strRef>
          </c:cat>
          <c:val>
            <c:numRef>
              <c:f>Sheet1!$B$4:$E$4</c:f>
              <c:numCache>
                <c:formatCode>General</c:formatCode>
                <c:ptCount val="4"/>
                <c:pt idx="1">
                  <c:v>0.66706299999999996</c:v>
                </c:pt>
                <c:pt idx="3">
                  <c:v>2.259903</c:v>
                </c:pt>
              </c:numCache>
            </c:numRef>
          </c:val>
        </c:ser>
        <c:dLbls>
          <c:showLegendKey val="0"/>
          <c:showVal val="0"/>
          <c:showCatName val="0"/>
          <c:showSerName val="0"/>
          <c:showPercent val="0"/>
          <c:showBubbleSize val="0"/>
        </c:dLbls>
        <c:gapWidth val="300"/>
        <c:axId val="304772992"/>
        <c:axId val="304779264"/>
      </c:barChart>
      <c:catAx>
        <c:axId val="304772992"/>
        <c:scaling>
          <c:orientation val="minMax"/>
        </c:scaling>
        <c:delete val="0"/>
        <c:axPos val="b"/>
        <c:title>
          <c:tx>
            <c:rich>
              <a:bodyPr/>
              <a:lstStyle/>
              <a:p>
                <a:pPr>
                  <a:defRPr/>
                </a:pPr>
                <a:r>
                  <a:rPr lang="en-US" sz="1200"/>
                  <a:t>Contributia sectoarelor din energie la emisiile cu efect acidifiant</a:t>
                </a:r>
              </a:p>
            </c:rich>
          </c:tx>
          <c:layout>
            <c:manualLayout>
              <c:xMode val="edge"/>
              <c:yMode val="edge"/>
              <c:x val="0.16155746156730494"/>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779264"/>
        <c:crosses val="autoZero"/>
        <c:auto val="1"/>
        <c:lblAlgn val="ctr"/>
        <c:lblOffset val="100"/>
        <c:tickLblSkip val="1"/>
        <c:tickMarkSkip val="1"/>
        <c:noMultiLvlLbl val="0"/>
      </c:catAx>
      <c:valAx>
        <c:axId val="304779264"/>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772992"/>
        <c:crosses val="autoZero"/>
        <c:crossBetween val="between"/>
      </c:valAx>
      <c:spPr>
        <a:noFill/>
        <a:ln w="25400">
          <a:noFill/>
        </a:ln>
      </c:spPr>
    </c:plotArea>
    <c:legend>
      <c:legendPos val="r"/>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3640169978745"/>
          <c:y val="0.13295346628679974"/>
          <c:w val="0.78016201099862459"/>
          <c:h val="0.6944032423297517"/>
        </c:manualLayout>
      </c:layout>
      <c:barChart>
        <c:barDir val="col"/>
        <c:grouping val="clustered"/>
        <c:varyColors val="0"/>
        <c:ser>
          <c:idx val="0"/>
          <c:order val="0"/>
          <c:tx>
            <c:strRef>
              <c:f>Sheet1!$A$2</c:f>
              <c:strCache>
                <c:ptCount val="1"/>
                <c:pt idx="0">
                  <c:v>NOX</c:v>
                </c:pt>
              </c:strCache>
            </c:strRef>
          </c:tx>
          <c:spPr>
            <a:solidFill>
              <a:srgbClr val="FFCC00"/>
            </a:solidFill>
            <a:ln w="25400">
              <a:noFill/>
            </a:ln>
          </c:spPr>
          <c:invertIfNegative val="0"/>
          <c:cat>
            <c:strRef>
              <c:f>Sheet1!$B$1:$E$1</c:f>
              <c:strCache>
                <c:ptCount val="4"/>
                <c:pt idx="0">
                  <c:v>Producere energie electrica si termica</c:v>
                </c:pt>
                <c:pt idx="1">
                  <c:v>Arderi in industrie</c:v>
                </c:pt>
                <c:pt idx="2">
                  <c:v>Rafinare titei</c:v>
                </c:pt>
                <c:pt idx="3">
                  <c:v>Incalzire rezidentiala</c:v>
                </c:pt>
              </c:strCache>
            </c:strRef>
          </c:cat>
          <c:val>
            <c:numRef>
              <c:f>Sheet1!$B$2:$E$2</c:f>
              <c:numCache>
                <c:formatCode>General</c:formatCode>
                <c:ptCount val="4"/>
                <c:pt idx="0">
                  <c:v>7.5032065556185694</c:v>
                </c:pt>
                <c:pt idx="1">
                  <c:v>12.162214800766074</c:v>
                </c:pt>
                <c:pt idx="2">
                  <c:v>1.6470185888117868</c:v>
                </c:pt>
                <c:pt idx="3">
                  <c:v>3.1735092170632493</c:v>
                </c:pt>
              </c:numCache>
            </c:numRef>
          </c:val>
        </c:ser>
        <c:ser>
          <c:idx val="1"/>
          <c:order val="1"/>
          <c:tx>
            <c:strRef>
              <c:f>Sheet1!$A$3</c:f>
              <c:strCache>
                <c:ptCount val="1"/>
                <c:pt idx="0">
                  <c:v>NMVOC</c:v>
                </c:pt>
              </c:strCache>
            </c:strRef>
          </c:tx>
          <c:spPr>
            <a:solidFill>
              <a:srgbClr val="00B050"/>
            </a:solidFill>
            <a:ln w="25400">
              <a:solidFill>
                <a:srgbClr val="00B050"/>
              </a:solidFill>
              <a:prstDash val="solid"/>
            </a:ln>
          </c:spPr>
          <c:invertIfNegative val="0"/>
          <c:cat>
            <c:strRef>
              <c:f>Sheet1!$B$1:$E$1</c:f>
              <c:strCache>
                <c:ptCount val="4"/>
                <c:pt idx="0">
                  <c:v>Producere energie electrica si termica</c:v>
                </c:pt>
                <c:pt idx="1">
                  <c:v>Arderi in industrie</c:v>
                </c:pt>
                <c:pt idx="2">
                  <c:v>Rafinare titei</c:v>
                </c:pt>
                <c:pt idx="3">
                  <c:v>Incalzire rezidentiala</c:v>
                </c:pt>
              </c:strCache>
            </c:strRef>
          </c:cat>
          <c:val>
            <c:numRef>
              <c:f>Sheet1!$B$3:$E$3</c:f>
              <c:numCache>
                <c:formatCode>General</c:formatCode>
                <c:ptCount val="4"/>
                <c:pt idx="0">
                  <c:v>0.41100670041917381</c:v>
                </c:pt>
                <c:pt idx="1">
                  <c:v>0.92052575109302892</c:v>
                </c:pt>
                <c:pt idx="2">
                  <c:v>0.15392489786655991</c:v>
                </c:pt>
                <c:pt idx="3">
                  <c:v>2.2297394041296421</c:v>
                </c:pt>
              </c:numCache>
            </c:numRef>
          </c:val>
        </c:ser>
        <c:ser>
          <c:idx val="2"/>
          <c:order val="2"/>
          <c:tx>
            <c:strRef>
              <c:f>Sheet1!$A$4</c:f>
              <c:strCache>
                <c:ptCount val="1"/>
                <c:pt idx="0">
                  <c:v>CO</c:v>
                </c:pt>
              </c:strCache>
            </c:strRef>
          </c:tx>
          <c:spPr>
            <a:solidFill>
              <a:srgbClr val="FF0000"/>
            </a:solidFill>
          </c:spPr>
          <c:invertIfNegative val="0"/>
          <c:cat>
            <c:strRef>
              <c:f>Sheet1!$B$1:$E$1</c:f>
              <c:strCache>
                <c:ptCount val="4"/>
                <c:pt idx="0">
                  <c:v>Producere energie electrica si termica</c:v>
                </c:pt>
                <c:pt idx="1">
                  <c:v>Arderi in industrie</c:v>
                </c:pt>
                <c:pt idx="2">
                  <c:v>Rafinare titei</c:v>
                </c:pt>
                <c:pt idx="3">
                  <c:v>Incalzire rezidentiala</c:v>
                </c:pt>
              </c:strCache>
            </c:strRef>
          </c:cat>
          <c:val>
            <c:numRef>
              <c:f>Sheet1!$B$4:$E$4</c:f>
              <c:numCache>
                <c:formatCode>General</c:formatCode>
                <c:ptCount val="4"/>
                <c:pt idx="0">
                  <c:v>1.9075512951778115</c:v>
                </c:pt>
                <c:pt idx="1">
                  <c:v>9.134163669148462</c:v>
                </c:pt>
                <c:pt idx="2">
                  <c:v>3.2631981881087042</c:v>
                </c:pt>
                <c:pt idx="3">
                  <c:v>24.83645779368619</c:v>
                </c:pt>
              </c:numCache>
            </c:numRef>
          </c:val>
        </c:ser>
        <c:dLbls>
          <c:showLegendKey val="0"/>
          <c:showVal val="0"/>
          <c:showCatName val="0"/>
          <c:showSerName val="0"/>
          <c:showPercent val="0"/>
          <c:showBubbleSize val="0"/>
        </c:dLbls>
        <c:gapWidth val="300"/>
        <c:axId val="304813568"/>
        <c:axId val="304815488"/>
      </c:barChart>
      <c:catAx>
        <c:axId val="304813568"/>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US" sz="1200" b="0" i="0" strike="noStrike">
                    <a:solidFill>
                      <a:srgbClr val="000000"/>
                    </a:solidFill>
                    <a:latin typeface="Arial"/>
                    <a:cs typeface="Arial"/>
                  </a:rPr>
                  <a:t>Contributia sectoarelor de activitate din energie la emisiile </a:t>
                </a:r>
              </a:p>
              <a:p>
                <a:pPr>
                  <a:defRPr sz="1100" b="0" i="0" u="none" strike="noStrike" baseline="0">
                    <a:solidFill>
                      <a:srgbClr val="000000"/>
                    </a:solidFill>
                    <a:latin typeface="Calibri"/>
                    <a:ea typeface="Calibri"/>
                    <a:cs typeface="Calibri"/>
                  </a:defRPr>
                </a:pPr>
                <a:r>
                  <a:rPr lang="en-US" sz="1200" b="0" i="0" strike="noStrike">
                    <a:solidFill>
                      <a:srgbClr val="000000"/>
                    </a:solidFill>
                    <a:latin typeface="Arial"/>
                    <a:cs typeface="Arial"/>
                  </a:rPr>
                  <a:t>de precursori de ozon</a:t>
                </a:r>
              </a:p>
            </c:rich>
          </c:tx>
          <c:layout>
            <c:manualLayout>
              <c:xMode val="edge"/>
              <c:yMode val="edge"/>
              <c:x val="0.16155748572665529"/>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815488"/>
        <c:crosses val="autoZero"/>
        <c:auto val="1"/>
        <c:lblAlgn val="ctr"/>
        <c:lblOffset val="100"/>
        <c:tickLblSkip val="1"/>
        <c:tickMarkSkip val="1"/>
        <c:noMultiLvlLbl val="0"/>
      </c:catAx>
      <c:valAx>
        <c:axId val="304815488"/>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sz="1025" b="0" i="0" u="none" strike="noStrike" baseline="0">
                    <a:solidFill>
                      <a:srgbClr val="000000"/>
                    </a:solidFill>
                    <a:latin typeface="Arial"/>
                    <a:ea typeface="Arial"/>
                    <a:cs typeface="Arial"/>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813568"/>
        <c:crosses val="autoZero"/>
        <c:crossBetween val="between"/>
      </c:valAx>
      <c:spPr>
        <a:noFill/>
        <a:ln w="25400">
          <a:noFill/>
        </a:ln>
      </c:spPr>
    </c:plotArea>
    <c:legend>
      <c:legendPos val="r"/>
      <c:overlay val="0"/>
      <c:spPr>
        <a:noFill/>
        <a:ln w="25400">
          <a:noFill/>
        </a:ln>
      </c:spPr>
      <c:txPr>
        <a:bodyPr/>
        <a:lstStyle/>
        <a:p>
          <a:pPr>
            <a:defRPr sz="86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3640169978745"/>
          <c:y val="0.13295346628679974"/>
          <c:w val="0.78016201099862459"/>
          <c:h val="0.6944032423297517"/>
        </c:manualLayout>
      </c:layout>
      <c:barChart>
        <c:barDir val="col"/>
        <c:grouping val="clustered"/>
        <c:varyColors val="0"/>
        <c:ser>
          <c:idx val="0"/>
          <c:order val="0"/>
          <c:tx>
            <c:strRef>
              <c:f>Sheet1!$A$2</c:f>
              <c:strCache>
                <c:ptCount val="1"/>
                <c:pt idx="0">
                  <c:v>PM10</c:v>
                </c:pt>
              </c:strCache>
            </c:strRef>
          </c:tx>
          <c:spPr>
            <a:solidFill>
              <a:srgbClr val="FFCC00"/>
            </a:solidFill>
            <a:ln w="25400">
              <a:noFill/>
            </a:ln>
          </c:spPr>
          <c:invertIfNegative val="0"/>
          <c:cat>
            <c:strRef>
              <c:f>Sheet1!$B$1:$D$1</c:f>
              <c:strCache>
                <c:ptCount val="3"/>
                <c:pt idx="0">
                  <c:v>Producere energie electrica si termica</c:v>
                </c:pt>
                <c:pt idx="1">
                  <c:v>Arderi in alte domenii</c:v>
                </c:pt>
                <c:pt idx="2">
                  <c:v>Incalzire rezidentiala</c:v>
                </c:pt>
              </c:strCache>
            </c:strRef>
          </c:cat>
          <c:val>
            <c:numRef>
              <c:f>Sheet1!$B$2:$D$2</c:f>
              <c:numCache>
                <c:formatCode>General</c:formatCode>
                <c:ptCount val="3"/>
                <c:pt idx="0">
                  <c:v>0.70613410261185405</c:v>
                </c:pt>
                <c:pt idx="1">
                  <c:v>10.24577</c:v>
                </c:pt>
                <c:pt idx="2">
                  <c:v>21.2933890522525</c:v>
                </c:pt>
              </c:numCache>
            </c:numRef>
          </c:val>
        </c:ser>
        <c:ser>
          <c:idx val="1"/>
          <c:order val="1"/>
          <c:tx>
            <c:strRef>
              <c:f>Sheet1!$A$3</c:f>
              <c:strCache>
                <c:ptCount val="1"/>
                <c:pt idx="0">
                  <c:v>PM2,5</c:v>
                </c:pt>
              </c:strCache>
            </c:strRef>
          </c:tx>
          <c:spPr>
            <a:solidFill>
              <a:srgbClr val="00B050"/>
            </a:solidFill>
            <a:ln w="25400">
              <a:solidFill>
                <a:srgbClr val="00B050"/>
              </a:solidFill>
              <a:prstDash val="solid"/>
            </a:ln>
          </c:spPr>
          <c:invertIfNegative val="0"/>
          <c:cat>
            <c:strRef>
              <c:f>Sheet1!$B$1:$D$1</c:f>
              <c:strCache>
                <c:ptCount val="3"/>
                <c:pt idx="0">
                  <c:v>Producere energie electrica si termica</c:v>
                </c:pt>
                <c:pt idx="1">
                  <c:v>Arderi in alte domenii</c:v>
                </c:pt>
                <c:pt idx="2">
                  <c:v>Incalzire rezidentiala</c:v>
                </c:pt>
              </c:strCache>
            </c:strRef>
          </c:cat>
          <c:val>
            <c:numRef>
              <c:f>Sheet1!$B$3:$D$3</c:f>
              <c:numCache>
                <c:formatCode>General</c:formatCode>
                <c:ptCount val="3"/>
                <c:pt idx="0">
                  <c:v>0.84815616901682556</c:v>
                </c:pt>
                <c:pt idx="1">
                  <c:v>12.3838100568175</c:v>
                </c:pt>
                <c:pt idx="2">
                  <c:v>26.160378621050533</c:v>
                </c:pt>
              </c:numCache>
            </c:numRef>
          </c:val>
        </c:ser>
        <c:dLbls>
          <c:showLegendKey val="0"/>
          <c:showVal val="0"/>
          <c:showCatName val="0"/>
          <c:showSerName val="0"/>
          <c:showPercent val="0"/>
          <c:showBubbleSize val="0"/>
        </c:dLbls>
        <c:gapWidth val="300"/>
        <c:axId val="304848896"/>
        <c:axId val="304850816"/>
      </c:barChart>
      <c:catAx>
        <c:axId val="304848896"/>
        <c:scaling>
          <c:orientation val="minMax"/>
        </c:scaling>
        <c:delete val="0"/>
        <c:axPos val="b"/>
        <c:title>
          <c:tx>
            <c:rich>
              <a:bodyPr/>
              <a:lstStyle/>
              <a:p>
                <a:pPr>
                  <a:defRPr/>
                </a:pPr>
                <a:r>
                  <a:rPr lang="en-US" sz="1200" b="0" i="0" baseline="0"/>
                  <a:t>Contributia sectoarelor de activitate din energie la emisiile </a:t>
                </a:r>
                <a:endParaRPr lang="en-US" sz="1200"/>
              </a:p>
              <a:p>
                <a:pPr>
                  <a:defRPr/>
                </a:pPr>
                <a:r>
                  <a:rPr lang="en-US" sz="1200" b="0" i="0" baseline="0"/>
                  <a:t>de particule primare</a:t>
                </a:r>
                <a:endParaRPr lang="en-US" sz="1200"/>
              </a:p>
            </c:rich>
          </c:tx>
          <c:layout>
            <c:manualLayout>
              <c:xMode val="edge"/>
              <c:yMode val="edge"/>
              <c:x val="0.16155743122037824"/>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850816"/>
        <c:crosses val="autoZero"/>
        <c:auto val="1"/>
        <c:lblAlgn val="ctr"/>
        <c:lblOffset val="100"/>
        <c:tickLblSkip val="1"/>
        <c:tickMarkSkip val="1"/>
        <c:noMultiLvlLbl val="0"/>
      </c:catAx>
      <c:valAx>
        <c:axId val="304850816"/>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848896"/>
        <c:crosses val="autoZero"/>
        <c:crossBetween val="between"/>
      </c:valAx>
      <c:spPr>
        <a:noFill/>
        <a:ln w="25400">
          <a:noFill/>
        </a:ln>
      </c:spPr>
    </c:plotArea>
    <c:legend>
      <c:legendPos val="r"/>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42750906136689E-2"/>
          <c:y val="0.17473884140550824"/>
          <c:w val="0.88496359830021032"/>
          <c:h val="0.7231591777523535"/>
        </c:manualLayout>
      </c:layout>
      <c:barChart>
        <c:barDir val="col"/>
        <c:grouping val="clustered"/>
        <c:varyColors val="0"/>
        <c:ser>
          <c:idx val="0"/>
          <c:order val="0"/>
          <c:tx>
            <c:strRef>
              <c:f>Sheet1!$A$2</c:f>
              <c:strCache>
                <c:ptCount val="1"/>
                <c:pt idx="0">
                  <c:v>Pb</c:v>
                </c:pt>
              </c:strCache>
            </c:strRef>
          </c:tx>
          <c:spPr>
            <a:solidFill>
              <a:srgbClr val="FFCC00"/>
            </a:solidFill>
            <a:ln w="25400">
              <a:noFill/>
            </a:ln>
          </c:spPr>
          <c:invertIfNegative val="0"/>
          <c:cat>
            <c:strRef>
              <c:f>Sheet1!$B$1:$E$1</c:f>
              <c:strCache>
                <c:ptCount val="4"/>
                <c:pt idx="0">
                  <c:v>Energie</c:v>
                </c:pt>
                <c:pt idx="1">
                  <c:v>Industrie (inclusiv rafinare)</c:v>
                </c:pt>
                <c:pt idx="2">
                  <c:v>Transporturi</c:v>
                </c:pt>
                <c:pt idx="3">
                  <c:v>Deseuri</c:v>
                </c:pt>
              </c:strCache>
            </c:strRef>
          </c:cat>
          <c:val>
            <c:numRef>
              <c:f>Sheet1!$B$2:$E$2</c:f>
              <c:numCache>
                <c:formatCode>General</c:formatCode>
                <c:ptCount val="4"/>
                <c:pt idx="0">
                  <c:v>8.9643306392146474E-2</c:v>
                </c:pt>
                <c:pt idx="1">
                  <c:v>51.682836198545466</c:v>
                </c:pt>
                <c:pt idx="2">
                  <c:v>18.966499428885335</c:v>
                </c:pt>
                <c:pt idx="3">
                  <c:v>13.163107441840292</c:v>
                </c:pt>
              </c:numCache>
            </c:numRef>
          </c:val>
        </c:ser>
        <c:ser>
          <c:idx val="1"/>
          <c:order val="1"/>
          <c:tx>
            <c:strRef>
              <c:f>Sheet1!$A$3</c:f>
              <c:strCache>
                <c:ptCount val="1"/>
                <c:pt idx="0">
                  <c:v>Cd</c:v>
                </c:pt>
              </c:strCache>
            </c:strRef>
          </c:tx>
          <c:spPr>
            <a:solidFill>
              <a:srgbClr val="00B050"/>
            </a:solidFill>
            <a:ln w="25400">
              <a:solidFill>
                <a:srgbClr val="00B050"/>
              </a:solidFill>
              <a:prstDash val="solid"/>
            </a:ln>
          </c:spPr>
          <c:invertIfNegative val="0"/>
          <c:cat>
            <c:strRef>
              <c:f>Sheet1!$B$1:$E$1</c:f>
              <c:strCache>
                <c:ptCount val="4"/>
                <c:pt idx="0">
                  <c:v>Energie</c:v>
                </c:pt>
                <c:pt idx="1">
                  <c:v>Industrie (inclusiv rafinare)</c:v>
                </c:pt>
                <c:pt idx="2">
                  <c:v>Transporturi</c:v>
                </c:pt>
                <c:pt idx="3">
                  <c:v>Deseuri</c:v>
                </c:pt>
              </c:strCache>
            </c:strRef>
          </c:cat>
          <c:val>
            <c:numRef>
              <c:f>Sheet1!$B$3:$E$3</c:f>
              <c:numCache>
                <c:formatCode>General</c:formatCode>
                <c:ptCount val="4"/>
                <c:pt idx="0">
                  <c:v>0.24326192121630971</c:v>
                </c:pt>
                <c:pt idx="1">
                  <c:v>44.384243261921114</c:v>
                </c:pt>
                <c:pt idx="2">
                  <c:v>4.5335176226675875</c:v>
                </c:pt>
                <c:pt idx="3">
                  <c:v>8.818244644091223</c:v>
                </c:pt>
              </c:numCache>
            </c:numRef>
          </c:val>
        </c:ser>
        <c:ser>
          <c:idx val="2"/>
          <c:order val="2"/>
          <c:tx>
            <c:strRef>
              <c:f>Sheet1!$A$4</c:f>
              <c:strCache>
                <c:ptCount val="1"/>
                <c:pt idx="0">
                  <c:v>Hg</c:v>
                </c:pt>
              </c:strCache>
            </c:strRef>
          </c:tx>
          <c:spPr>
            <a:solidFill>
              <a:schemeClr val="tx2">
                <a:lumMod val="60000"/>
                <a:lumOff val="40000"/>
              </a:schemeClr>
            </a:solidFill>
            <a:ln>
              <a:solidFill>
                <a:srgbClr val="00B0F0"/>
              </a:solidFill>
            </a:ln>
          </c:spPr>
          <c:invertIfNegative val="0"/>
          <c:cat>
            <c:strRef>
              <c:f>Sheet1!$B$1:$E$1</c:f>
              <c:strCache>
                <c:ptCount val="4"/>
                <c:pt idx="0">
                  <c:v>Energie</c:v>
                </c:pt>
                <c:pt idx="1">
                  <c:v>Industrie (inclusiv rafinare)</c:v>
                </c:pt>
                <c:pt idx="2">
                  <c:v>Transporturi</c:v>
                </c:pt>
                <c:pt idx="3">
                  <c:v>Deseuri</c:v>
                </c:pt>
              </c:strCache>
            </c:strRef>
          </c:cat>
          <c:val>
            <c:numRef>
              <c:f>Sheet1!$B$4:$E$4</c:f>
              <c:numCache>
                <c:formatCode>General</c:formatCode>
                <c:ptCount val="4"/>
                <c:pt idx="0">
                  <c:v>0.57303312360251679</c:v>
                </c:pt>
                <c:pt idx="1">
                  <c:v>47.535749571005148</c:v>
                </c:pt>
                <c:pt idx="3">
                  <c:v>49.813322240133118</c:v>
                </c:pt>
              </c:numCache>
            </c:numRef>
          </c:val>
        </c:ser>
        <c:dLbls>
          <c:showLegendKey val="0"/>
          <c:showVal val="0"/>
          <c:showCatName val="0"/>
          <c:showSerName val="0"/>
          <c:showPercent val="0"/>
          <c:showBubbleSize val="0"/>
        </c:dLbls>
        <c:gapWidth val="300"/>
        <c:axId val="304881024"/>
        <c:axId val="304899584"/>
      </c:barChart>
      <c:catAx>
        <c:axId val="304881024"/>
        <c:scaling>
          <c:orientation val="minMax"/>
        </c:scaling>
        <c:delete val="0"/>
        <c:axPos val="b"/>
        <c:title>
          <c:tx>
            <c:rich>
              <a:bodyPr/>
              <a:lstStyle/>
              <a:p>
                <a:pPr>
                  <a:defRPr/>
                </a:pPr>
                <a:r>
                  <a:rPr lang="en-US" sz="1200"/>
                  <a:t>Contributia sectoarelor de activitate din energie la emisiile </a:t>
                </a:r>
              </a:p>
              <a:p>
                <a:pPr>
                  <a:defRPr/>
                </a:pPr>
                <a:r>
                  <a:rPr lang="en-US" sz="1200"/>
                  <a:t>de metale grele </a:t>
                </a:r>
              </a:p>
            </c:rich>
          </c:tx>
          <c:layout>
            <c:manualLayout>
              <c:xMode val="edge"/>
              <c:yMode val="edge"/>
              <c:x val="0.16155746156730494"/>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899584"/>
        <c:crosses val="autoZero"/>
        <c:auto val="1"/>
        <c:lblAlgn val="ctr"/>
        <c:lblOffset val="100"/>
        <c:tickLblSkip val="1"/>
        <c:tickMarkSkip val="1"/>
        <c:noMultiLvlLbl val="0"/>
      </c:catAx>
      <c:valAx>
        <c:axId val="304899584"/>
        <c:scaling>
          <c:orientation val="minMax"/>
          <c:max val="100"/>
        </c:scaling>
        <c:delete val="0"/>
        <c:axPos val="l"/>
        <c:majorGridlines>
          <c:spPr>
            <a:ln w="3175">
              <a:solidFill>
                <a:schemeClr val="bg1">
                  <a:lumMod val="50000"/>
                </a:schemeClr>
              </a:solidFill>
              <a:prstDash val="sysDot"/>
            </a:ln>
          </c:spPr>
        </c:majorGridlines>
        <c:minorGridlines>
          <c:spPr>
            <a:ln w="0">
              <a:solidFill>
                <a:schemeClr val="bg1"/>
              </a:solidFill>
            </a:ln>
          </c:spPr>
        </c:minorGridlines>
        <c:title>
          <c:tx>
            <c:rich>
              <a:bodyPr/>
              <a:lstStyle/>
              <a:p>
                <a:pPr>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881024"/>
        <c:crosses val="autoZero"/>
        <c:crossBetween val="between"/>
      </c:valAx>
      <c:spPr>
        <a:noFill/>
        <a:ln w="25400">
          <a:noFill/>
        </a:ln>
      </c:spPr>
    </c:plotArea>
    <c:legend>
      <c:legendPos val="r"/>
      <c:layout>
        <c:manualLayout>
          <c:xMode val="edge"/>
          <c:yMode val="edge"/>
          <c:x val="0.9276388888888909"/>
          <c:y val="0.24703711181401491"/>
          <c:w val="6.442460317460344E-2"/>
          <c:h val="0.18683715817574145"/>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42750906136689E-2"/>
          <c:y val="0.17473884140550824"/>
          <c:w val="0.88496359830021032"/>
          <c:h val="0.7231591777523535"/>
        </c:manualLayout>
      </c:layout>
      <c:barChart>
        <c:barDir val="col"/>
        <c:grouping val="clustered"/>
        <c:varyColors val="0"/>
        <c:ser>
          <c:idx val="0"/>
          <c:order val="0"/>
          <c:tx>
            <c:strRef>
              <c:f>Sheet1!$A$2</c:f>
              <c:strCache>
                <c:ptCount val="1"/>
                <c:pt idx="0">
                  <c:v>PCB</c:v>
                </c:pt>
              </c:strCache>
            </c:strRef>
          </c:tx>
          <c:spPr>
            <a:solidFill>
              <a:srgbClr val="FFCC00"/>
            </a:solidFill>
            <a:ln w="25400">
              <a:noFill/>
            </a:ln>
          </c:spPr>
          <c:invertIfNegative val="0"/>
          <c:cat>
            <c:strRef>
              <c:f>Sheet1!$B$1:$F$1</c:f>
              <c:strCache>
                <c:ptCount val="5"/>
                <c:pt idx="0">
                  <c:v>Energie</c:v>
                </c:pt>
                <c:pt idx="1">
                  <c:v>Industrie </c:v>
                </c:pt>
                <c:pt idx="2">
                  <c:v>Rafinare</c:v>
                </c:pt>
                <c:pt idx="3">
                  <c:v>Incalzire rezidentiala </c:v>
                </c:pt>
                <c:pt idx="4">
                  <c:v>Deseuri</c:v>
                </c:pt>
              </c:strCache>
            </c:strRef>
          </c:cat>
          <c:val>
            <c:numRef>
              <c:f>Sheet1!$B$2:$F$2</c:f>
              <c:numCache>
                <c:formatCode>General</c:formatCode>
                <c:ptCount val="5"/>
                <c:pt idx="1">
                  <c:v>61.243402599261998</c:v>
                </c:pt>
                <c:pt idx="3">
                  <c:v>27.303770036249102</c:v>
                </c:pt>
                <c:pt idx="4">
                  <c:v>11.450679751918226</c:v>
                </c:pt>
              </c:numCache>
            </c:numRef>
          </c:val>
        </c:ser>
        <c:ser>
          <c:idx val="1"/>
          <c:order val="1"/>
          <c:tx>
            <c:strRef>
              <c:f>Sheet1!$A$3</c:f>
              <c:strCache>
                <c:ptCount val="1"/>
                <c:pt idx="0">
                  <c:v>HCB</c:v>
                </c:pt>
              </c:strCache>
            </c:strRef>
          </c:tx>
          <c:spPr>
            <a:solidFill>
              <a:srgbClr val="00B050"/>
            </a:solidFill>
            <a:ln w="25400">
              <a:solidFill>
                <a:srgbClr val="00B050"/>
              </a:solidFill>
              <a:prstDash val="solid"/>
            </a:ln>
          </c:spPr>
          <c:invertIfNegative val="0"/>
          <c:cat>
            <c:strRef>
              <c:f>Sheet1!$B$1:$F$1</c:f>
              <c:strCache>
                <c:ptCount val="5"/>
                <c:pt idx="0">
                  <c:v>Energie</c:v>
                </c:pt>
                <c:pt idx="1">
                  <c:v>Industrie </c:v>
                </c:pt>
                <c:pt idx="2">
                  <c:v>Rafinare</c:v>
                </c:pt>
                <c:pt idx="3">
                  <c:v>Incalzire rezidentiala </c:v>
                </c:pt>
                <c:pt idx="4">
                  <c:v>Deseuri</c:v>
                </c:pt>
              </c:strCache>
            </c:strRef>
          </c:cat>
          <c:val>
            <c:numRef>
              <c:f>Sheet1!$B$3:$F$3</c:f>
              <c:numCache>
                <c:formatCode>General</c:formatCode>
                <c:ptCount val="5"/>
                <c:pt idx="0">
                  <c:v>2.0434070032876599E-6</c:v>
                </c:pt>
                <c:pt idx="1">
                  <c:v>99.93246259935367</c:v>
                </c:pt>
                <c:pt idx="3">
                  <c:v>3.7970980821365784E-3</c:v>
                </c:pt>
                <c:pt idx="4">
                  <c:v>6.3722107844303835E-2</c:v>
                </c:pt>
              </c:numCache>
            </c:numRef>
          </c:val>
        </c:ser>
        <c:ser>
          <c:idx val="2"/>
          <c:order val="2"/>
          <c:tx>
            <c:strRef>
              <c:f>Sheet1!$A$4</c:f>
              <c:strCache>
                <c:ptCount val="1"/>
                <c:pt idx="0">
                  <c:v>PAH</c:v>
                </c:pt>
              </c:strCache>
            </c:strRef>
          </c:tx>
          <c:spPr>
            <a:solidFill>
              <a:schemeClr val="tx2">
                <a:lumMod val="60000"/>
                <a:lumOff val="40000"/>
              </a:schemeClr>
            </a:solidFill>
            <a:ln>
              <a:solidFill>
                <a:srgbClr val="00B0F0"/>
              </a:solidFill>
            </a:ln>
          </c:spPr>
          <c:invertIfNegative val="0"/>
          <c:cat>
            <c:strRef>
              <c:f>Sheet1!$B$1:$F$1</c:f>
              <c:strCache>
                <c:ptCount val="5"/>
                <c:pt idx="0">
                  <c:v>Energie</c:v>
                </c:pt>
                <c:pt idx="1">
                  <c:v>Industrie </c:v>
                </c:pt>
                <c:pt idx="2">
                  <c:v>Rafinare</c:v>
                </c:pt>
                <c:pt idx="3">
                  <c:v>Incalzire rezidentiala </c:v>
                </c:pt>
                <c:pt idx="4">
                  <c:v>Deseuri</c:v>
                </c:pt>
              </c:strCache>
            </c:strRef>
          </c:cat>
          <c:val>
            <c:numRef>
              <c:f>Sheet1!$B$4:$F$4</c:f>
              <c:numCache>
                <c:formatCode>General</c:formatCode>
                <c:ptCount val="5"/>
                <c:pt idx="4">
                  <c:v>28.748999999999945</c:v>
                </c:pt>
              </c:numCache>
            </c:numRef>
          </c:val>
        </c:ser>
        <c:ser>
          <c:idx val="3"/>
          <c:order val="3"/>
          <c:tx>
            <c:strRef>
              <c:f>Sheet1!$A$5</c:f>
              <c:strCache>
                <c:ptCount val="1"/>
                <c:pt idx="0">
                  <c:v>PCDD/PCDF</c:v>
                </c:pt>
              </c:strCache>
            </c:strRef>
          </c:tx>
          <c:invertIfNegative val="0"/>
          <c:cat>
            <c:strRef>
              <c:f>Sheet1!$B$1:$F$1</c:f>
              <c:strCache>
                <c:ptCount val="5"/>
                <c:pt idx="0">
                  <c:v>Energie</c:v>
                </c:pt>
                <c:pt idx="1">
                  <c:v>Industrie </c:v>
                </c:pt>
                <c:pt idx="2">
                  <c:v>Rafinare</c:v>
                </c:pt>
                <c:pt idx="3">
                  <c:v>Incalzire rezidentiala </c:v>
                </c:pt>
                <c:pt idx="4">
                  <c:v>Deseuri</c:v>
                </c:pt>
              </c:strCache>
            </c:strRef>
          </c:cat>
          <c:val>
            <c:numRef>
              <c:f>Sheet1!$B$5:$F$5</c:f>
              <c:numCache>
                <c:formatCode>General</c:formatCode>
                <c:ptCount val="5"/>
                <c:pt idx="0">
                  <c:v>8.1053698074974728E-3</c:v>
                </c:pt>
                <c:pt idx="1">
                  <c:v>3.0619100943848987</c:v>
                </c:pt>
                <c:pt idx="3">
                  <c:v>0.70319415560177212</c:v>
                </c:pt>
                <c:pt idx="4">
                  <c:v>96.224604063350085</c:v>
                </c:pt>
              </c:numCache>
            </c:numRef>
          </c:val>
        </c:ser>
        <c:dLbls>
          <c:showLegendKey val="0"/>
          <c:showVal val="0"/>
          <c:showCatName val="0"/>
          <c:showSerName val="0"/>
          <c:showPercent val="0"/>
          <c:showBubbleSize val="0"/>
        </c:dLbls>
        <c:gapWidth val="300"/>
        <c:axId val="304934912"/>
        <c:axId val="304936832"/>
      </c:barChart>
      <c:catAx>
        <c:axId val="304934912"/>
        <c:scaling>
          <c:orientation val="minMax"/>
        </c:scaling>
        <c:delete val="0"/>
        <c:axPos val="b"/>
        <c:title>
          <c:tx>
            <c:rich>
              <a:bodyPr/>
              <a:lstStyle/>
              <a:p>
                <a:pPr>
                  <a:defRPr/>
                </a:pPr>
                <a:r>
                  <a:rPr lang="en-US" sz="1200"/>
                  <a:t>Contributia sectoarelor de activitate din energie la emisiile </a:t>
                </a:r>
              </a:p>
              <a:p>
                <a:pPr>
                  <a:defRPr/>
                </a:pPr>
                <a:r>
                  <a:rPr lang="en-US" sz="1200"/>
                  <a:t>de poluanti organici persistenti</a:t>
                </a:r>
              </a:p>
            </c:rich>
          </c:tx>
          <c:layout>
            <c:manualLayout>
              <c:xMode val="edge"/>
              <c:yMode val="edge"/>
              <c:x val="0.16155750939295838"/>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936832"/>
        <c:crosses val="autoZero"/>
        <c:auto val="1"/>
        <c:lblAlgn val="ctr"/>
        <c:lblOffset val="100"/>
        <c:tickLblSkip val="1"/>
        <c:tickMarkSkip val="1"/>
        <c:noMultiLvlLbl val="0"/>
      </c:catAx>
      <c:valAx>
        <c:axId val="304936832"/>
        <c:scaling>
          <c:orientation val="minMax"/>
          <c:max val="100"/>
        </c:scaling>
        <c:delete val="0"/>
        <c:axPos val="l"/>
        <c:majorGridlines>
          <c:spPr>
            <a:ln w="3175">
              <a:solidFill>
                <a:schemeClr val="bg1">
                  <a:lumMod val="50000"/>
                </a:schemeClr>
              </a:solidFill>
              <a:prstDash val="sysDot"/>
            </a:ln>
          </c:spPr>
        </c:majorGridlines>
        <c:minorGridlines>
          <c:spPr>
            <a:ln w="0">
              <a:solidFill>
                <a:schemeClr val="bg1"/>
              </a:solidFill>
            </a:ln>
          </c:spPr>
        </c:minorGridlines>
        <c:title>
          <c:tx>
            <c:rich>
              <a:bodyPr/>
              <a:lstStyle/>
              <a:p>
                <a:pPr>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934912"/>
        <c:crosses val="autoZero"/>
        <c:crossBetween val="between"/>
      </c:valAx>
      <c:spPr>
        <a:noFill/>
        <a:ln w="25400">
          <a:noFill/>
        </a:ln>
      </c:spPr>
    </c:plotArea>
    <c:legend>
      <c:legendPos val="r"/>
      <c:layout>
        <c:manualLayout>
          <c:xMode val="edge"/>
          <c:yMode val="edge"/>
          <c:x val="0.54085565834883242"/>
          <c:y val="0.17866104343794686"/>
          <c:w val="0.31709709755668292"/>
          <c:h val="8.0474385146301217E-2"/>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369735033120914E-2"/>
          <c:y val="0.13295346628679974"/>
          <c:w val="0.9091302649668791"/>
          <c:h val="0.6944032423297517"/>
        </c:manualLayout>
      </c:layout>
      <c:barChart>
        <c:barDir val="col"/>
        <c:grouping val="clustered"/>
        <c:varyColors val="0"/>
        <c:ser>
          <c:idx val="0"/>
          <c:order val="0"/>
          <c:tx>
            <c:strRef>
              <c:f>Sheet1!$A$2</c:f>
              <c:strCache>
                <c:ptCount val="1"/>
                <c:pt idx="0">
                  <c:v>SO2</c:v>
                </c:pt>
              </c:strCache>
            </c:strRef>
          </c:tx>
          <c:spPr>
            <a:solidFill>
              <a:srgbClr val="FFCC00"/>
            </a:solidFill>
            <a:ln w="25400">
              <a:noFill/>
            </a:ln>
          </c:spPr>
          <c:invertIfNegative val="0"/>
          <c:cat>
            <c:strRef>
              <c:f>Sheet1!$B$1:$F$1</c:f>
              <c:strCache>
                <c:ptCount val="5"/>
                <c:pt idx="0">
                  <c:v>Producere energie electrica si termica</c:v>
                </c:pt>
                <c:pt idx="1">
                  <c:v>Transporturi</c:v>
                </c:pt>
                <c:pt idx="2">
                  <c:v>Industrie</c:v>
                </c:pt>
                <c:pt idx="3">
                  <c:v>Agricultura</c:v>
                </c:pt>
                <c:pt idx="4">
                  <c:v>Deseuri</c:v>
                </c:pt>
              </c:strCache>
            </c:strRef>
          </c:cat>
          <c:val>
            <c:numRef>
              <c:f>Sheet1!$B$2:$F$2</c:f>
              <c:numCache>
                <c:formatCode>General</c:formatCode>
                <c:ptCount val="5"/>
                <c:pt idx="0">
                  <c:v>4.8415060947533908</c:v>
                </c:pt>
                <c:pt idx="1">
                  <c:v>0.42614955215452799</c:v>
                </c:pt>
                <c:pt idx="2">
                  <c:v>67.005148280716782</c:v>
                </c:pt>
                <c:pt idx="3">
                  <c:v>7.2003926108813411E-3</c:v>
                </c:pt>
                <c:pt idx="4">
                  <c:v>4.7371004018955994E-3</c:v>
                </c:pt>
              </c:numCache>
            </c:numRef>
          </c:val>
        </c:ser>
        <c:ser>
          <c:idx val="1"/>
          <c:order val="1"/>
          <c:tx>
            <c:strRef>
              <c:f>Sheet1!$A$3</c:f>
              <c:strCache>
                <c:ptCount val="1"/>
                <c:pt idx="0">
                  <c:v>NOX</c:v>
                </c:pt>
              </c:strCache>
            </c:strRef>
          </c:tx>
          <c:spPr>
            <a:solidFill>
              <a:srgbClr val="00B050"/>
            </a:solidFill>
            <a:ln w="25400">
              <a:solidFill>
                <a:srgbClr val="00B050"/>
              </a:solidFill>
              <a:prstDash val="solid"/>
            </a:ln>
          </c:spPr>
          <c:invertIfNegative val="0"/>
          <c:cat>
            <c:strRef>
              <c:f>Sheet1!$B$1:$F$1</c:f>
              <c:strCache>
                <c:ptCount val="5"/>
                <c:pt idx="0">
                  <c:v>Producere energie electrica si termica</c:v>
                </c:pt>
                <c:pt idx="1">
                  <c:v>Transporturi</c:v>
                </c:pt>
                <c:pt idx="2">
                  <c:v>Industrie</c:v>
                </c:pt>
                <c:pt idx="3">
                  <c:v>Agricultura</c:v>
                </c:pt>
                <c:pt idx="4">
                  <c:v>Deseuri</c:v>
                </c:pt>
              </c:strCache>
            </c:strRef>
          </c:cat>
          <c:val>
            <c:numRef>
              <c:f>Sheet1!$B$3:$F$3</c:f>
              <c:numCache>
                <c:formatCode>General</c:formatCode>
                <c:ptCount val="5"/>
                <c:pt idx="0">
                  <c:v>7.5032065556185694</c:v>
                </c:pt>
                <c:pt idx="1">
                  <c:v>74.688720475676888</c:v>
                </c:pt>
                <c:pt idx="2">
                  <c:v>13.809233389577846</c:v>
                </c:pt>
                <c:pt idx="3">
                  <c:v>4.3072820347245994E-2</c:v>
                </c:pt>
                <c:pt idx="4">
                  <c:v>8.5780020933137562E-4</c:v>
                </c:pt>
              </c:numCache>
            </c:numRef>
          </c:val>
        </c:ser>
        <c:ser>
          <c:idx val="2"/>
          <c:order val="2"/>
          <c:tx>
            <c:strRef>
              <c:f>Sheet1!$A$4</c:f>
              <c:strCache>
                <c:ptCount val="1"/>
                <c:pt idx="0">
                  <c:v>NH3</c:v>
                </c:pt>
              </c:strCache>
            </c:strRef>
          </c:tx>
          <c:spPr>
            <a:solidFill>
              <a:srgbClr val="002060"/>
            </a:solidFill>
          </c:spPr>
          <c:invertIfNegative val="0"/>
          <c:cat>
            <c:strRef>
              <c:f>Sheet1!$B$1:$F$1</c:f>
              <c:strCache>
                <c:ptCount val="5"/>
                <c:pt idx="0">
                  <c:v>Producere energie electrica si termica</c:v>
                </c:pt>
                <c:pt idx="1">
                  <c:v>Transporturi</c:v>
                </c:pt>
                <c:pt idx="2">
                  <c:v>Industrie</c:v>
                </c:pt>
                <c:pt idx="3">
                  <c:v>Agricultura</c:v>
                </c:pt>
                <c:pt idx="4">
                  <c:v>Deseuri</c:v>
                </c:pt>
              </c:strCache>
            </c:strRef>
          </c:cat>
          <c:val>
            <c:numRef>
              <c:f>Sheet1!$B$4:$F$4</c:f>
              <c:numCache>
                <c:formatCode>General</c:formatCode>
                <c:ptCount val="5"/>
                <c:pt idx="1">
                  <c:v>2.3333845479956237</c:v>
                </c:pt>
                <c:pt idx="2">
                  <c:v>0.89743357283345249</c:v>
                </c:pt>
                <c:pt idx="3">
                  <c:v>94.496014322291643</c:v>
                </c:pt>
              </c:numCache>
            </c:numRef>
          </c:val>
        </c:ser>
        <c:dLbls>
          <c:showLegendKey val="0"/>
          <c:showVal val="0"/>
          <c:showCatName val="0"/>
          <c:showSerName val="0"/>
          <c:showPercent val="0"/>
          <c:showBubbleSize val="0"/>
        </c:dLbls>
        <c:gapWidth val="300"/>
        <c:axId val="304958848"/>
        <c:axId val="304989696"/>
      </c:barChart>
      <c:catAx>
        <c:axId val="30495884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r>
                  <a:rPr lang="en-US" sz="1200" b="0" i="0" baseline="0"/>
                  <a:t>Contributia sectoarelor industriale la emisiile de poluanti atmosferici cu efect acidifiant</a:t>
                </a:r>
                <a:endParaRPr lang="en-US" sz="1200" b="0"/>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endParaRPr lang="en-US"/>
              </a:p>
            </c:rich>
          </c:tx>
          <c:layout>
            <c:manualLayout>
              <c:xMode val="edge"/>
              <c:yMode val="edge"/>
              <c:x val="0.16155746156730494"/>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989696"/>
        <c:crosses val="autoZero"/>
        <c:auto val="1"/>
        <c:lblAlgn val="ctr"/>
        <c:lblOffset val="100"/>
        <c:tickLblSkip val="1"/>
        <c:tickMarkSkip val="1"/>
        <c:noMultiLvlLbl val="0"/>
      </c:catAx>
      <c:valAx>
        <c:axId val="304989696"/>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sz="1025" b="0" i="0" u="none" strike="noStrike" baseline="0">
                    <a:solidFill>
                      <a:srgbClr val="000000"/>
                    </a:solidFill>
                    <a:latin typeface="Arial"/>
                    <a:ea typeface="Arial"/>
                    <a:cs typeface="Arial"/>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958848"/>
        <c:crosses val="autoZero"/>
        <c:crossBetween val="between"/>
      </c:valAx>
      <c:spPr>
        <a:noFill/>
        <a:ln w="25400">
          <a:noFill/>
        </a:ln>
      </c:spPr>
    </c:plotArea>
    <c:legend>
      <c:legendPos val="r"/>
      <c:overlay val="0"/>
      <c:spPr>
        <a:noFill/>
        <a:ln w="25400">
          <a:noFill/>
        </a:ln>
      </c:spPr>
      <c:txPr>
        <a:bodyPr/>
        <a:lstStyle/>
        <a:p>
          <a:pPr>
            <a:defRPr sz="86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369735033120914E-2"/>
          <c:y val="0.13295346628679974"/>
          <c:w val="0.9091302649668791"/>
          <c:h val="0.6944032423297517"/>
        </c:manualLayout>
      </c:layout>
      <c:barChart>
        <c:barDir val="col"/>
        <c:grouping val="clustered"/>
        <c:varyColors val="0"/>
        <c:ser>
          <c:idx val="0"/>
          <c:order val="0"/>
          <c:tx>
            <c:strRef>
              <c:f>Sheet1!$A$2</c:f>
              <c:strCache>
                <c:ptCount val="1"/>
                <c:pt idx="0">
                  <c:v>NOX</c:v>
                </c:pt>
              </c:strCache>
            </c:strRef>
          </c:tx>
          <c:spPr>
            <a:solidFill>
              <a:srgbClr val="FFCC00"/>
            </a:solidFill>
            <a:ln w="25400">
              <a:noFill/>
            </a:ln>
          </c:spPr>
          <c:invertIfNegative val="0"/>
          <c:cat>
            <c:strRef>
              <c:f>Sheet1!$B$1:$E$1</c:f>
              <c:strCache>
                <c:ptCount val="4"/>
                <c:pt idx="0">
                  <c:v>Producere energie electrica si termica</c:v>
                </c:pt>
                <c:pt idx="1">
                  <c:v>Transporturi</c:v>
                </c:pt>
                <c:pt idx="2">
                  <c:v>Industrie, inclusiv rafinare</c:v>
                </c:pt>
                <c:pt idx="3">
                  <c:v>Agricultura</c:v>
                </c:pt>
              </c:strCache>
            </c:strRef>
          </c:cat>
          <c:val>
            <c:numRef>
              <c:f>Sheet1!$B$2:$E$2</c:f>
              <c:numCache>
                <c:formatCode>General</c:formatCode>
                <c:ptCount val="4"/>
                <c:pt idx="0">
                  <c:v>7.5031999999999996</c:v>
                </c:pt>
                <c:pt idx="1">
                  <c:v>74.688719999999989</c:v>
                </c:pt>
                <c:pt idx="2">
                  <c:v>13.809230000000021</c:v>
                </c:pt>
                <c:pt idx="3">
                  <c:v>6.7821999999999993E-2</c:v>
                </c:pt>
              </c:numCache>
            </c:numRef>
          </c:val>
        </c:ser>
        <c:ser>
          <c:idx val="1"/>
          <c:order val="1"/>
          <c:tx>
            <c:strRef>
              <c:f>Sheet1!$A$3</c:f>
              <c:strCache>
                <c:ptCount val="1"/>
                <c:pt idx="0">
                  <c:v>NMVOC</c:v>
                </c:pt>
              </c:strCache>
            </c:strRef>
          </c:tx>
          <c:spPr>
            <a:solidFill>
              <a:srgbClr val="00B050"/>
            </a:solidFill>
            <a:ln w="25400">
              <a:solidFill>
                <a:srgbClr val="00B050"/>
              </a:solidFill>
              <a:prstDash val="solid"/>
            </a:ln>
          </c:spPr>
          <c:invertIfNegative val="0"/>
          <c:cat>
            <c:strRef>
              <c:f>Sheet1!$B$1:$E$1</c:f>
              <c:strCache>
                <c:ptCount val="4"/>
                <c:pt idx="0">
                  <c:v>Producere energie electrica si termica</c:v>
                </c:pt>
                <c:pt idx="1">
                  <c:v>Transporturi</c:v>
                </c:pt>
                <c:pt idx="2">
                  <c:v>Industrie, inclusiv rafinare</c:v>
                </c:pt>
                <c:pt idx="3">
                  <c:v>Agricultura</c:v>
                </c:pt>
              </c:strCache>
            </c:strRef>
          </c:cat>
          <c:val>
            <c:numRef>
              <c:f>Sheet1!$B$3:$E$3</c:f>
              <c:numCache>
                <c:formatCode>General</c:formatCode>
                <c:ptCount val="4"/>
                <c:pt idx="0">
                  <c:v>0.41100700000000001</c:v>
                </c:pt>
                <c:pt idx="1">
                  <c:v>10.735082304206054</c:v>
                </c:pt>
                <c:pt idx="2">
                  <c:v>1.0744506489595884</c:v>
                </c:pt>
                <c:pt idx="3">
                  <c:v>7.5696890000000003</c:v>
                </c:pt>
              </c:numCache>
            </c:numRef>
          </c:val>
        </c:ser>
        <c:ser>
          <c:idx val="2"/>
          <c:order val="2"/>
          <c:tx>
            <c:strRef>
              <c:f>Sheet1!$A$4</c:f>
              <c:strCache>
                <c:ptCount val="1"/>
                <c:pt idx="0">
                  <c:v>CO</c:v>
                </c:pt>
              </c:strCache>
            </c:strRef>
          </c:tx>
          <c:spPr>
            <a:solidFill>
              <a:srgbClr val="002060"/>
            </a:solidFill>
          </c:spPr>
          <c:invertIfNegative val="0"/>
          <c:cat>
            <c:strRef>
              <c:f>Sheet1!$B$1:$E$1</c:f>
              <c:strCache>
                <c:ptCount val="4"/>
                <c:pt idx="0">
                  <c:v>Producere energie electrica si termica</c:v>
                </c:pt>
                <c:pt idx="1">
                  <c:v>Transporturi</c:v>
                </c:pt>
                <c:pt idx="2">
                  <c:v>Industrie, inclusiv rafinare</c:v>
                </c:pt>
                <c:pt idx="3">
                  <c:v>Agricultura</c:v>
                </c:pt>
              </c:strCache>
            </c:strRef>
          </c:cat>
          <c:val>
            <c:numRef>
              <c:f>Sheet1!$B$4:$E$4</c:f>
              <c:numCache>
                <c:formatCode>General</c:formatCode>
                <c:ptCount val="4"/>
                <c:pt idx="0">
                  <c:v>1.907551</c:v>
                </c:pt>
                <c:pt idx="1">
                  <c:v>60.170270000000002</c:v>
                </c:pt>
                <c:pt idx="2">
                  <c:v>12.397360000000001</c:v>
                </c:pt>
                <c:pt idx="3">
                  <c:v>1.2215999999999998E-2</c:v>
                </c:pt>
              </c:numCache>
            </c:numRef>
          </c:val>
        </c:ser>
        <c:dLbls>
          <c:showLegendKey val="0"/>
          <c:showVal val="0"/>
          <c:showCatName val="0"/>
          <c:showSerName val="0"/>
          <c:showPercent val="0"/>
          <c:showBubbleSize val="0"/>
        </c:dLbls>
        <c:gapWidth val="300"/>
        <c:axId val="305028480"/>
        <c:axId val="305034752"/>
      </c:barChart>
      <c:catAx>
        <c:axId val="30502848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r>
                  <a:rPr lang="en-US" sz="1200" b="0" i="0" baseline="0">
                    <a:latin typeface="Arial" pitchFamily="34" charset="0"/>
                    <a:cs typeface="Arial" pitchFamily="34" charset="0"/>
                  </a:rPr>
                  <a:t>Contributia sectoarelor industriale la emisiile de  precursori ozon </a:t>
                </a:r>
                <a:endParaRPr lang="en-US" sz="1200" b="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endParaRPr lang="en-US"/>
              </a:p>
            </c:rich>
          </c:tx>
          <c:layout>
            <c:manualLayout>
              <c:xMode val="edge"/>
              <c:yMode val="edge"/>
              <c:x val="0.16155746156730483"/>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034752"/>
        <c:crosses val="autoZero"/>
        <c:auto val="1"/>
        <c:lblAlgn val="ctr"/>
        <c:lblOffset val="100"/>
        <c:tickLblSkip val="1"/>
        <c:tickMarkSkip val="1"/>
        <c:noMultiLvlLbl val="0"/>
      </c:catAx>
      <c:valAx>
        <c:axId val="305034752"/>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sz="1025" b="0" i="0" u="none" strike="noStrike" baseline="0">
                    <a:solidFill>
                      <a:srgbClr val="000000"/>
                    </a:solidFill>
                    <a:latin typeface="Arial"/>
                    <a:ea typeface="Arial"/>
                    <a:cs typeface="Arial"/>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028480"/>
        <c:crosses val="autoZero"/>
        <c:crossBetween val="between"/>
      </c:valAx>
      <c:spPr>
        <a:noFill/>
        <a:ln w="25400">
          <a:noFill/>
        </a:ln>
      </c:spPr>
    </c:plotArea>
    <c:legend>
      <c:legendPos val="r"/>
      <c:layout>
        <c:manualLayout>
          <c:xMode val="edge"/>
          <c:yMode val="edge"/>
          <c:x val="0.88759030121234617"/>
          <c:y val="0.29387142846460523"/>
          <c:w val="9.2568428946381745E-2"/>
          <c:h val="0.18813558561590071"/>
        </c:manualLayout>
      </c:layout>
      <c:overlay val="0"/>
      <c:spPr>
        <a:noFill/>
        <a:ln w="25400">
          <a:noFill/>
        </a:ln>
      </c:spPr>
      <c:txPr>
        <a:bodyPr/>
        <a:lstStyle/>
        <a:p>
          <a:pPr>
            <a:defRPr sz="86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369735033120914E-2"/>
          <c:y val="0.13295346628679974"/>
          <c:w val="0.9091302649668791"/>
          <c:h val="0.6944032423297517"/>
        </c:manualLayout>
      </c:layout>
      <c:barChart>
        <c:barDir val="col"/>
        <c:grouping val="clustered"/>
        <c:varyColors val="0"/>
        <c:ser>
          <c:idx val="0"/>
          <c:order val="0"/>
          <c:tx>
            <c:strRef>
              <c:f>Sheet1!$A$2</c:f>
              <c:strCache>
                <c:ptCount val="1"/>
                <c:pt idx="0">
                  <c:v>PM10</c:v>
                </c:pt>
              </c:strCache>
            </c:strRef>
          </c:tx>
          <c:spPr>
            <a:solidFill>
              <a:srgbClr val="FFCC00"/>
            </a:solidFill>
            <a:ln w="25400">
              <a:noFill/>
            </a:ln>
          </c:spPr>
          <c:invertIfNegative val="0"/>
          <c:cat>
            <c:strRef>
              <c:f>Sheet1!$B$1:$F$1</c:f>
              <c:strCache>
                <c:ptCount val="5"/>
                <c:pt idx="0">
                  <c:v>Producere energie electrica si termica</c:v>
                </c:pt>
                <c:pt idx="1">
                  <c:v>Transporturi</c:v>
                </c:pt>
                <c:pt idx="2">
                  <c:v>Industrie</c:v>
                </c:pt>
                <c:pt idx="3">
                  <c:v>Agricultura</c:v>
                </c:pt>
                <c:pt idx="4">
                  <c:v>Deseuri</c:v>
                </c:pt>
              </c:strCache>
            </c:strRef>
          </c:cat>
          <c:val>
            <c:numRef>
              <c:f>Sheet1!$B$2:$F$2</c:f>
              <c:numCache>
                <c:formatCode>General</c:formatCode>
                <c:ptCount val="5"/>
                <c:pt idx="0">
                  <c:v>0.70613300000000001</c:v>
                </c:pt>
                <c:pt idx="1">
                  <c:v>36.101050000000001</c:v>
                </c:pt>
                <c:pt idx="2">
                  <c:v>30.07525</c:v>
                </c:pt>
                <c:pt idx="3">
                  <c:v>5.2307000000000023</c:v>
                </c:pt>
                <c:pt idx="4">
                  <c:v>0.29263100000000003</c:v>
                </c:pt>
              </c:numCache>
            </c:numRef>
          </c:val>
        </c:ser>
        <c:ser>
          <c:idx val="1"/>
          <c:order val="1"/>
          <c:tx>
            <c:strRef>
              <c:f>Sheet1!$A$3</c:f>
              <c:strCache>
                <c:ptCount val="1"/>
                <c:pt idx="0">
                  <c:v>PM2,5</c:v>
                </c:pt>
              </c:strCache>
            </c:strRef>
          </c:tx>
          <c:spPr>
            <a:solidFill>
              <a:srgbClr val="00B050"/>
            </a:solidFill>
            <a:ln w="25400">
              <a:solidFill>
                <a:srgbClr val="00B050"/>
              </a:solidFill>
              <a:prstDash val="solid"/>
            </a:ln>
          </c:spPr>
          <c:invertIfNegative val="0"/>
          <c:cat>
            <c:strRef>
              <c:f>Sheet1!$B$1:$F$1</c:f>
              <c:strCache>
                <c:ptCount val="5"/>
                <c:pt idx="0">
                  <c:v>Producere energie electrica si termica</c:v>
                </c:pt>
                <c:pt idx="1">
                  <c:v>Transporturi</c:v>
                </c:pt>
                <c:pt idx="2">
                  <c:v>Industrie</c:v>
                </c:pt>
                <c:pt idx="3">
                  <c:v>Agricultura</c:v>
                </c:pt>
                <c:pt idx="4">
                  <c:v>Deseuri</c:v>
                </c:pt>
              </c:strCache>
            </c:strRef>
          </c:cat>
          <c:val>
            <c:numRef>
              <c:f>Sheet1!$B$3:$F$3</c:f>
              <c:numCache>
                <c:formatCode>General</c:formatCode>
                <c:ptCount val="5"/>
                <c:pt idx="0">
                  <c:v>0.84815616901682556</c:v>
                </c:pt>
                <c:pt idx="1">
                  <c:v>42.789530000000013</c:v>
                </c:pt>
                <c:pt idx="2">
                  <c:v>29.263289999999948</c:v>
                </c:pt>
                <c:pt idx="3">
                  <c:v>3.233244</c:v>
                </c:pt>
                <c:pt idx="4">
                  <c:v>0.21945300000000043</c:v>
                </c:pt>
              </c:numCache>
            </c:numRef>
          </c:val>
        </c:ser>
        <c:dLbls>
          <c:showLegendKey val="0"/>
          <c:showVal val="0"/>
          <c:showCatName val="0"/>
          <c:showSerName val="0"/>
          <c:showPercent val="0"/>
          <c:showBubbleSize val="0"/>
        </c:dLbls>
        <c:gapWidth val="300"/>
        <c:axId val="305064192"/>
        <c:axId val="305070464"/>
      </c:barChart>
      <c:catAx>
        <c:axId val="30506419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r>
                  <a:rPr lang="en-US" sz="1200" b="0" i="0" baseline="0"/>
                  <a:t>Contributia sectoarelor industriale la emisiile de particule in suspensie</a:t>
                </a:r>
                <a:endParaRPr lang="en-US" sz="1200" b="0"/>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endParaRPr lang="en-US"/>
              </a:p>
            </c:rich>
          </c:tx>
          <c:layout>
            <c:manualLayout>
              <c:xMode val="edge"/>
              <c:yMode val="edge"/>
              <c:x val="0.16155746156730483"/>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070464"/>
        <c:crosses val="autoZero"/>
        <c:auto val="1"/>
        <c:lblAlgn val="ctr"/>
        <c:lblOffset val="100"/>
        <c:tickLblSkip val="1"/>
        <c:tickMarkSkip val="1"/>
        <c:noMultiLvlLbl val="0"/>
      </c:catAx>
      <c:valAx>
        <c:axId val="305070464"/>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sz="1025" b="0" i="0" u="none" strike="noStrike" baseline="0">
                    <a:solidFill>
                      <a:srgbClr val="000000"/>
                    </a:solidFill>
                    <a:latin typeface="Arial"/>
                    <a:ea typeface="Arial"/>
                    <a:cs typeface="Arial"/>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064192"/>
        <c:crosses val="autoZero"/>
        <c:crossBetween val="between"/>
      </c:valAx>
      <c:spPr>
        <a:noFill/>
        <a:ln w="25400">
          <a:noFill/>
        </a:ln>
      </c:spPr>
    </c:plotArea>
    <c:legend>
      <c:legendPos val="r"/>
      <c:layout>
        <c:manualLayout>
          <c:xMode val="edge"/>
          <c:yMode val="edge"/>
          <c:x val="0.88759030121234617"/>
          <c:y val="0.34325414451398673"/>
          <c:w val="9.2568428946381745E-2"/>
          <c:h val="0.13875286956651789"/>
        </c:manualLayout>
      </c:layout>
      <c:overlay val="0"/>
      <c:spPr>
        <a:noFill/>
        <a:ln w="25400">
          <a:noFill/>
        </a:ln>
      </c:spPr>
      <c:txPr>
        <a:bodyPr/>
        <a:lstStyle/>
        <a:p>
          <a:pPr>
            <a:defRPr sz="86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42750906136689E-2"/>
          <c:y val="0.17473884140550824"/>
          <c:w val="0.88496359830021065"/>
          <c:h val="0.7231591777523535"/>
        </c:manualLayout>
      </c:layout>
      <c:barChart>
        <c:barDir val="col"/>
        <c:grouping val="clustered"/>
        <c:varyColors val="0"/>
        <c:ser>
          <c:idx val="0"/>
          <c:order val="0"/>
          <c:tx>
            <c:strRef>
              <c:f>Sheet1!$A$2</c:f>
              <c:strCache>
                <c:ptCount val="1"/>
                <c:pt idx="0">
                  <c:v>Pb</c:v>
                </c:pt>
              </c:strCache>
            </c:strRef>
          </c:tx>
          <c:spPr>
            <a:solidFill>
              <a:srgbClr val="FFCC00"/>
            </a:solidFill>
            <a:ln w="25400">
              <a:noFill/>
            </a:ln>
          </c:spPr>
          <c:invertIfNegative val="0"/>
          <c:cat>
            <c:strRef>
              <c:f>Sheet1!$B$1:$E$1</c:f>
              <c:strCache>
                <c:ptCount val="4"/>
                <c:pt idx="0">
                  <c:v>Energie</c:v>
                </c:pt>
                <c:pt idx="1">
                  <c:v>Industrie (inclusiv rafinare)</c:v>
                </c:pt>
                <c:pt idx="2">
                  <c:v>Transporturi</c:v>
                </c:pt>
                <c:pt idx="3">
                  <c:v>Deseuri</c:v>
                </c:pt>
              </c:strCache>
            </c:strRef>
          </c:cat>
          <c:val>
            <c:numRef>
              <c:f>Sheet1!$B$2:$E$2</c:f>
              <c:numCache>
                <c:formatCode>General</c:formatCode>
                <c:ptCount val="4"/>
                <c:pt idx="0">
                  <c:v>8.9643306392146405E-2</c:v>
                </c:pt>
                <c:pt idx="1">
                  <c:v>51.682836198545466</c:v>
                </c:pt>
                <c:pt idx="2">
                  <c:v>18.966499428885342</c:v>
                </c:pt>
                <c:pt idx="3">
                  <c:v>13.163107441840292</c:v>
                </c:pt>
              </c:numCache>
            </c:numRef>
          </c:val>
        </c:ser>
        <c:ser>
          <c:idx val="1"/>
          <c:order val="1"/>
          <c:tx>
            <c:strRef>
              <c:f>Sheet1!$A$3</c:f>
              <c:strCache>
                <c:ptCount val="1"/>
                <c:pt idx="0">
                  <c:v>Cd</c:v>
                </c:pt>
              </c:strCache>
            </c:strRef>
          </c:tx>
          <c:spPr>
            <a:solidFill>
              <a:srgbClr val="00B050"/>
            </a:solidFill>
            <a:ln w="25400">
              <a:solidFill>
                <a:srgbClr val="00B050"/>
              </a:solidFill>
              <a:prstDash val="solid"/>
            </a:ln>
          </c:spPr>
          <c:invertIfNegative val="0"/>
          <c:cat>
            <c:strRef>
              <c:f>Sheet1!$B$1:$E$1</c:f>
              <c:strCache>
                <c:ptCount val="4"/>
                <c:pt idx="0">
                  <c:v>Energie</c:v>
                </c:pt>
                <c:pt idx="1">
                  <c:v>Industrie (inclusiv rafinare)</c:v>
                </c:pt>
                <c:pt idx="2">
                  <c:v>Transporturi</c:v>
                </c:pt>
                <c:pt idx="3">
                  <c:v>Deseuri</c:v>
                </c:pt>
              </c:strCache>
            </c:strRef>
          </c:cat>
          <c:val>
            <c:numRef>
              <c:f>Sheet1!$B$3:$E$3</c:f>
              <c:numCache>
                <c:formatCode>General</c:formatCode>
                <c:ptCount val="4"/>
                <c:pt idx="0">
                  <c:v>0.24326192121630971</c:v>
                </c:pt>
                <c:pt idx="1">
                  <c:v>44.384243261921128</c:v>
                </c:pt>
                <c:pt idx="2">
                  <c:v>4.5335176226675875</c:v>
                </c:pt>
                <c:pt idx="3">
                  <c:v>8.818244644091223</c:v>
                </c:pt>
              </c:numCache>
            </c:numRef>
          </c:val>
        </c:ser>
        <c:ser>
          <c:idx val="2"/>
          <c:order val="2"/>
          <c:tx>
            <c:strRef>
              <c:f>Sheet1!$A$4</c:f>
              <c:strCache>
                <c:ptCount val="1"/>
                <c:pt idx="0">
                  <c:v>Hg</c:v>
                </c:pt>
              </c:strCache>
            </c:strRef>
          </c:tx>
          <c:spPr>
            <a:solidFill>
              <a:schemeClr val="tx2">
                <a:lumMod val="60000"/>
                <a:lumOff val="40000"/>
              </a:schemeClr>
            </a:solidFill>
            <a:ln>
              <a:solidFill>
                <a:srgbClr val="00B0F0"/>
              </a:solidFill>
            </a:ln>
          </c:spPr>
          <c:invertIfNegative val="0"/>
          <c:cat>
            <c:strRef>
              <c:f>Sheet1!$B$1:$E$1</c:f>
              <c:strCache>
                <c:ptCount val="4"/>
                <c:pt idx="0">
                  <c:v>Energie</c:v>
                </c:pt>
                <c:pt idx="1">
                  <c:v>Industrie (inclusiv rafinare)</c:v>
                </c:pt>
                <c:pt idx="2">
                  <c:v>Transporturi</c:v>
                </c:pt>
                <c:pt idx="3">
                  <c:v>Deseuri</c:v>
                </c:pt>
              </c:strCache>
            </c:strRef>
          </c:cat>
          <c:val>
            <c:numRef>
              <c:f>Sheet1!$B$4:$E$4</c:f>
              <c:numCache>
                <c:formatCode>General</c:formatCode>
                <c:ptCount val="4"/>
                <c:pt idx="0">
                  <c:v>0.57303312360251679</c:v>
                </c:pt>
                <c:pt idx="1">
                  <c:v>47.535749571005148</c:v>
                </c:pt>
                <c:pt idx="3">
                  <c:v>49.813322240133118</c:v>
                </c:pt>
              </c:numCache>
            </c:numRef>
          </c:val>
        </c:ser>
        <c:dLbls>
          <c:showLegendKey val="0"/>
          <c:showVal val="0"/>
          <c:showCatName val="0"/>
          <c:showSerName val="0"/>
          <c:showPercent val="0"/>
          <c:showBubbleSize val="0"/>
        </c:dLbls>
        <c:gapWidth val="300"/>
        <c:axId val="305108480"/>
        <c:axId val="305110400"/>
      </c:barChart>
      <c:catAx>
        <c:axId val="305108480"/>
        <c:scaling>
          <c:orientation val="minMax"/>
        </c:scaling>
        <c:delete val="0"/>
        <c:axPos val="b"/>
        <c:title>
          <c:tx>
            <c:rich>
              <a:bodyPr/>
              <a:lstStyle/>
              <a:p>
                <a:pPr>
                  <a:defRPr/>
                </a:pPr>
                <a:r>
                  <a:rPr lang="en-US" sz="1200"/>
                  <a:t>Contributia sectoarelor de activitate industriala la emisiile </a:t>
                </a:r>
              </a:p>
              <a:p>
                <a:pPr>
                  <a:defRPr/>
                </a:pPr>
                <a:r>
                  <a:rPr lang="en-US" sz="1200"/>
                  <a:t>de metale grele </a:t>
                </a:r>
              </a:p>
            </c:rich>
          </c:tx>
          <c:layout>
            <c:manualLayout>
              <c:xMode val="edge"/>
              <c:yMode val="edge"/>
              <c:x val="0.16155746156730483"/>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110400"/>
        <c:crosses val="autoZero"/>
        <c:auto val="1"/>
        <c:lblAlgn val="ctr"/>
        <c:lblOffset val="100"/>
        <c:tickLblSkip val="1"/>
        <c:tickMarkSkip val="1"/>
        <c:noMultiLvlLbl val="0"/>
      </c:catAx>
      <c:valAx>
        <c:axId val="305110400"/>
        <c:scaling>
          <c:orientation val="minMax"/>
          <c:max val="100"/>
        </c:scaling>
        <c:delete val="0"/>
        <c:axPos val="l"/>
        <c:majorGridlines>
          <c:spPr>
            <a:ln w="3175">
              <a:solidFill>
                <a:schemeClr val="bg1">
                  <a:lumMod val="50000"/>
                </a:schemeClr>
              </a:solidFill>
              <a:prstDash val="sysDot"/>
            </a:ln>
          </c:spPr>
        </c:majorGridlines>
        <c:minorGridlines>
          <c:spPr>
            <a:ln w="0">
              <a:solidFill>
                <a:schemeClr val="bg1"/>
              </a:solidFill>
            </a:ln>
          </c:spPr>
        </c:minorGridlines>
        <c:title>
          <c:tx>
            <c:rich>
              <a:bodyPr/>
              <a:lstStyle/>
              <a:p>
                <a:pPr>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108480"/>
        <c:crosses val="autoZero"/>
        <c:crossBetween val="between"/>
      </c:valAx>
      <c:spPr>
        <a:noFill/>
        <a:ln w="25400">
          <a:noFill/>
        </a:ln>
      </c:spPr>
    </c:plotArea>
    <c:legend>
      <c:legendPos val="r"/>
      <c:layout>
        <c:manualLayout>
          <c:xMode val="edge"/>
          <c:yMode val="edge"/>
          <c:x val="0.92763888888889068"/>
          <c:y val="0.24703711181401491"/>
          <c:w val="6.4424603174603412E-2"/>
          <c:h val="0.18683715817574137"/>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sz="1200" b="1" i="0" u="none" strike="noStrike" baseline="0"/>
              <a:t>CO- Evolutia concentratiilor medii anuale inregistrate </a:t>
            </a:r>
            <a:br>
              <a:rPr lang="en-US" sz="1200" b="1" i="0" u="none" strike="noStrike" baseline="0"/>
            </a:br>
            <a:r>
              <a:rPr lang="en-US" sz="1200" b="1" i="0" u="none" strike="noStrike" baseline="0"/>
              <a:t>in anul 2017 la statiile de monitorizare</a:t>
            </a:r>
            <a:endParaRPr lang="en-US"/>
          </a:p>
        </c:rich>
      </c:tx>
      <c:layout>
        <c:manualLayout>
          <c:xMode val="edge"/>
          <c:yMode val="edge"/>
          <c:x val="0.2383671699157264"/>
          <c:y val="2.2038567493113236E-2"/>
        </c:manualLayout>
      </c:layout>
      <c:overlay val="0"/>
      <c:spPr>
        <a:noFill/>
        <a:ln w="25400">
          <a:noFill/>
        </a:ln>
      </c:spPr>
    </c:title>
    <c:autoTitleDeleted val="0"/>
    <c:plotArea>
      <c:layout>
        <c:manualLayout>
          <c:layoutTarget val="inner"/>
          <c:xMode val="edge"/>
          <c:yMode val="edge"/>
          <c:x val="7.8347687338196387E-2"/>
          <c:y val="0.20753042233357188"/>
          <c:w val="0.8841417472388633"/>
          <c:h val="0.69106179909329712"/>
        </c:manualLayout>
      </c:layout>
      <c:barChart>
        <c:barDir val="col"/>
        <c:grouping val="clustered"/>
        <c:varyColors val="0"/>
        <c:ser>
          <c:idx val="0"/>
          <c:order val="0"/>
          <c:tx>
            <c:strRef>
              <c:f>Sheet1!$A$2</c:f>
              <c:strCache>
                <c:ptCount val="1"/>
                <c:pt idx="0">
                  <c:v>2017</c:v>
                </c:pt>
              </c:strCache>
            </c:strRef>
          </c:tx>
          <c:spPr>
            <a:solidFill>
              <a:srgbClr val="000080"/>
            </a:solidFill>
            <a:ln w="25400">
              <a:noFill/>
            </a:ln>
          </c:spPr>
          <c:invertIfNegative val="0"/>
          <c:cat>
            <c:strRef>
              <c:f>Sheet1!$B$1:$H$1</c:f>
              <c:strCache>
                <c:ptCount val="7"/>
                <c:pt idx="0">
                  <c:v>CT-1 </c:v>
                </c:pt>
                <c:pt idx="1">
                  <c:v>CT-2 </c:v>
                </c:pt>
                <c:pt idx="2">
                  <c:v>CT-3 </c:v>
                </c:pt>
                <c:pt idx="3">
                  <c:v>CT-4 </c:v>
                </c:pt>
                <c:pt idx="4">
                  <c:v>CT-5 </c:v>
                </c:pt>
                <c:pt idx="5">
                  <c:v>CT-6 </c:v>
                </c:pt>
                <c:pt idx="6">
                  <c:v>CT-7 </c:v>
                </c:pt>
              </c:strCache>
            </c:strRef>
          </c:cat>
          <c:val>
            <c:numRef>
              <c:f>Sheet1!$B$2:$H$2</c:f>
              <c:numCache>
                <c:formatCode>General</c:formatCode>
                <c:ptCount val="7"/>
                <c:pt idx="0">
                  <c:v>0.14000000000000001</c:v>
                </c:pt>
                <c:pt idx="1">
                  <c:v>0.1</c:v>
                </c:pt>
                <c:pt idx="2">
                  <c:v>0.05</c:v>
                </c:pt>
                <c:pt idx="3">
                  <c:v>0.13</c:v>
                </c:pt>
                <c:pt idx="4">
                  <c:v>0.12</c:v>
                </c:pt>
                <c:pt idx="5">
                  <c:v>0.09</c:v>
                </c:pt>
                <c:pt idx="6">
                  <c:v>0.11</c:v>
                </c:pt>
              </c:numCache>
            </c:numRef>
          </c:val>
        </c:ser>
        <c:dLbls>
          <c:showLegendKey val="0"/>
          <c:showVal val="0"/>
          <c:showCatName val="0"/>
          <c:showSerName val="0"/>
          <c:showPercent val="0"/>
          <c:showBubbleSize val="0"/>
        </c:dLbls>
        <c:gapWidth val="150"/>
        <c:axId val="303433216"/>
        <c:axId val="303434752"/>
      </c:barChart>
      <c:catAx>
        <c:axId val="303433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303434752"/>
        <c:crosses val="autoZero"/>
        <c:auto val="1"/>
        <c:lblAlgn val="ctr"/>
        <c:lblOffset val="100"/>
        <c:tickLblSkip val="1"/>
        <c:tickMarkSkip val="1"/>
        <c:noMultiLvlLbl val="0"/>
      </c:catAx>
      <c:valAx>
        <c:axId val="303434752"/>
        <c:scaling>
          <c:orientation val="minMax"/>
          <c:max val="0.30000000000000032"/>
          <c:min val="0"/>
        </c:scaling>
        <c:delete val="0"/>
        <c:axPos val="l"/>
        <c:majorGridlines>
          <c:spPr>
            <a:ln w="3175">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303433216"/>
        <c:crosses val="autoZero"/>
        <c:crossBetween val="between"/>
        <c:majorUnit val="3.0000000000000148E-2"/>
      </c:valAx>
      <c:spPr>
        <a:noFill/>
        <a:ln w="25400">
          <a:noFill/>
        </a:ln>
      </c:spPr>
    </c:plotArea>
    <c:plotVisOnly val="1"/>
    <c:dispBlanksAs val="gap"/>
    <c:showDLblsOverMax val="0"/>
  </c:chart>
  <c:spPr>
    <a:solidFill>
      <a:srgbClr val="FFFFFF"/>
    </a:solidFill>
    <a:ln w="25400">
      <a:solidFill>
        <a:srgbClr val="92D050"/>
      </a:solidFill>
      <a:prstDash val="solid"/>
    </a:ln>
  </c:spPr>
  <c:txPr>
    <a:bodyPr/>
    <a:lstStyle/>
    <a:p>
      <a:pPr>
        <a:defRPr sz="1075" b="0"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369735033120914E-2"/>
          <c:y val="0.13295346628679974"/>
          <c:w val="0.9091302649668791"/>
          <c:h val="0.6944032423297517"/>
        </c:manualLayout>
      </c:layout>
      <c:barChart>
        <c:barDir val="col"/>
        <c:grouping val="clustered"/>
        <c:varyColors val="0"/>
        <c:ser>
          <c:idx val="0"/>
          <c:order val="0"/>
          <c:tx>
            <c:strRef>
              <c:f>Sheet1!$A$2</c:f>
              <c:strCache>
                <c:ptCount val="1"/>
                <c:pt idx="0">
                  <c:v>PCB</c:v>
                </c:pt>
              </c:strCache>
            </c:strRef>
          </c:tx>
          <c:spPr>
            <a:solidFill>
              <a:srgbClr val="FFCC00"/>
            </a:solidFill>
            <a:ln w="25400">
              <a:noFill/>
            </a:ln>
          </c:spPr>
          <c:invertIfNegative val="0"/>
          <c:cat>
            <c:strRef>
              <c:f>Sheet1!$B$1:$E$1</c:f>
              <c:strCache>
                <c:ptCount val="4"/>
                <c:pt idx="0">
                  <c:v>Producere energie electrica si termica</c:v>
                </c:pt>
                <c:pt idx="1">
                  <c:v>Industrie, inclusiv rafinare</c:v>
                </c:pt>
                <c:pt idx="2">
                  <c:v>Transporturi</c:v>
                </c:pt>
                <c:pt idx="3">
                  <c:v>Deseuri</c:v>
                </c:pt>
              </c:strCache>
            </c:strRef>
          </c:cat>
          <c:val>
            <c:numRef>
              <c:f>Sheet1!$B$2:$E$2</c:f>
              <c:numCache>
                <c:formatCode>General</c:formatCode>
                <c:ptCount val="4"/>
                <c:pt idx="1">
                  <c:v>61.245350000000094</c:v>
                </c:pt>
                <c:pt idx="3">
                  <c:v>11.450680000000025</c:v>
                </c:pt>
              </c:numCache>
            </c:numRef>
          </c:val>
        </c:ser>
        <c:ser>
          <c:idx val="1"/>
          <c:order val="1"/>
          <c:tx>
            <c:strRef>
              <c:f>Sheet1!$A$3</c:f>
              <c:strCache>
                <c:ptCount val="1"/>
                <c:pt idx="0">
                  <c:v>HCB</c:v>
                </c:pt>
              </c:strCache>
            </c:strRef>
          </c:tx>
          <c:spPr>
            <a:solidFill>
              <a:srgbClr val="00B050"/>
            </a:solidFill>
            <a:ln w="25400">
              <a:solidFill>
                <a:srgbClr val="00B050"/>
              </a:solidFill>
              <a:prstDash val="solid"/>
            </a:ln>
          </c:spPr>
          <c:invertIfNegative val="0"/>
          <c:cat>
            <c:strRef>
              <c:f>Sheet1!$B$1:$E$1</c:f>
              <c:strCache>
                <c:ptCount val="4"/>
                <c:pt idx="0">
                  <c:v>Producere energie electrica si termica</c:v>
                </c:pt>
                <c:pt idx="1">
                  <c:v>Industrie, inclusiv rafinare</c:v>
                </c:pt>
                <c:pt idx="2">
                  <c:v>Transporturi</c:v>
                </c:pt>
                <c:pt idx="3">
                  <c:v>Deseuri</c:v>
                </c:pt>
              </c:strCache>
            </c:strRef>
          </c:cat>
          <c:val>
            <c:numRef>
              <c:f>Sheet1!$B$3:$E$3</c:f>
              <c:numCache>
                <c:formatCode>General</c:formatCode>
                <c:ptCount val="4"/>
                <c:pt idx="0">
                  <c:v>2.0434070032876582E-6</c:v>
                </c:pt>
                <c:pt idx="1">
                  <c:v>99.932460000000006</c:v>
                </c:pt>
                <c:pt idx="3">
                  <c:v>6.3722107844303807E-2</c:v>
                </c:pt>
              </c:numCache>
            </c:numRef>
          </c:val>
        </c:ser>
        <c:ser>
          <c:idx val="2"/>
          <c:order val="2"/>
          <c:tx>
            <c:strRef>
              <c:f>Sheet1!$A$4</c:f>
              <c:strCache>
                <c:ptCount val="1"/>
                <c:pt idx="0">
                  <c:v>4PAH</c:v>
                </c:pt>
              </c:strCache>
            </c:strRef>
          </c:tx>
          <c:spPr>
            <a:solidFill>
              <a:srgbClr val="002060"/>
            </a:solidFill>
          </c:spPr>
          <c:invertIfNegative val="0"/>
          <c:cat>
            <c:strRef>
              <c:f>Sheet1!$B$1:$E$1</c:f>
              <c:strCache>
                <c:ptCount val="4"/>
                <c:pt idx="0">
                  <c:v>Producere energie electrica si termica</c:v>
                </c:pt>
                <c:pt idx="1">
                  <c:v>Industrie, inclusiv rafinare</c:v>
                </c:pt>
                <c:pt idx="2">
                  <c:v>Transporturi</c:v>
                </c:pt>
                <c:pt idx="3">
                  <c:v>Deseuri</c:v>
                </c:pt>
              </c:strCache>
            </c:strRef>
          </c:cat>
          <c:val>
            <c:numRef>
              <c:f>Sheet1!$B$4:$E$4</c:f>
              <c:numCache>
                <c:formatCode>General</c:formatCode>
                <c:ptCount val="4"/>
                <c:pt idx="3">
                  <c:v>100</c:v>
                </c:pt>
              </c:numCache>
            </c:numRef>
          </c:val>
        </c:ser>
        <c:ser>
          <c:idx val="3"/>
          <c:order val="3"/>
          <c:tx>
            <c:strRef>
              <c:f>Sheet1!$A$5</c:f>
              <c:strCache>
                <c:ptCount val="1"/>
                <c:pt idx="0">
                  <c:v>PCDD/PCDF</c:v>
                </c:pt>
              </c:strCache>
            </c:strRef>
          </c:tx>
          <c:invertIfNegative val="0"/>
          <c:cat>
            <c:strRef>
              <c:f>Sheet1!$B$1:$E$1</c:f>
              <c:strCache>
                <c:ptCount val="4"/>
                <c:pt idx="0">
                  <c:v>Producere energie electrica si termica</c:v>
                </c:pt>
                <c:pt idx="1">
                  <c:v>Industrie, inclusiv rafinare</c:v>
                </c:pt>
                <c:pt idx="2">
                  <c:v>Transporturi</c:v>
                </c:pt>
                <c:pt idx="3">
                  <c:v>Deseuri</c:v>
                </c:pt>
              </c:strCache>
            </c:strRef>
          </c:cat>
          <c:val>
            <c:numRef>
              <c:f>Sheet1!$B$5:$E$5</c:f>
              <c:numCache>
                <c:formatCode>General</c:formatCode>
                <c:ptCount val="4"/>
                <c:pt idx="0">
                  <c:v>8.1053698074974728E-3</c:v>
                </c:pt>
                <c:pt idx="1">
                  <c:v>3.0619100000000001</c:v>
                </c:pt>
                <c:pt idx="3">
                  <c:v>96.224604063350057</c:v>
                </c:pt>
              </c:numCache>
            </c:numRef>
          </c:val>
        </c:ser>
        <c:dLbls>
          <c:showLegendKey val="0"/>
          <c:showVal val="0"/>
          <c:showCatName val="0"/>
          <c:showSerName val="0"/>
          <c:showPercent val="0"/>
          <c:showBubbleSize val="0"/>
        </c:dLbls>
        <c:gapWidth val="300"/>
        <c:axId val="305219456"/>
        <c:axId val="305238016"/>
      </c:barChart>
      <c:catAx>
        <c:axId val="30521945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r>
                  <a:rPr lang="en-US" sz="1200" b="0" i="0" baseline="0">
                    <a:latin typeface="Arial" pitchFamily="34" charset="0"/>
                    <a:cs typeface="Arial" pitchFamily="34" charset="0"/>
                  </a:rPr>
                  <a:t>Contributia sectoarelor industriale la emisiile de compusi organici persistentii</a:t>
                </a:r>
                <a:endParaRPr lang="en-US" sz="1200" b="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Arial"/>
                    <a:ea typeface="Arial"/>
                    <a:cs typeface="Arial"/>
                  </a:defRPr>
                </a:pPr>
                <a:endParaRPr lang="en-US"/>
              </a:p>
            </c:rich>
          </c:tx>
          <c:layout>
            <c:manualLayout>
              <c:xMode val="edge"/>
              <c:yMode val="edge"/>
              <c:x val="0.16155746156730483"/>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238016"/>
        <c:crosses val="autoZero"/>
        <c:auto val="1"/>
        <c:lblAlgn val="ctr"/>
        <c:lblOffset val="100"/>
        <c:tickLblSkip val="1"/>
        <c:tickMarkSkip val="1"/>
        <c:noMultiLvlLbl val="0"/>
      </c:catAx>
      <c:valAx>
        <c:axId val="305238016"/>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sz="1025" b="0" i="0" u="none" strike="noStrike" baseline="0">
                    <a:solidFill>
                      <a:srgbClr val="000000"/>
                    </a:solidFill>
                    <a:latin typeface="Arial"/>
                    <a:ea typeface="Arial"/>
                    <a:cs typeface="Arial"/>
                  </a:defRPr>
                </a:pPr>
                <a:r>
                  <a:rPr lang="en-US"/>
                  <a:t>%</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219456"/>
        <c:crosses val="autoZero"/>
        <c:crossBetween val="between"/>
      </c:valAx>
      <c:spPr>
        <a:noFill/>
        <a:ln w="25400">
          <a:noFill/>
        </a:ln>
      </c:spPr>
    </c:plotArea>
    <c:legend>
      <c:legendPos val="r"/>
      <c:layout>
        <c:manualLayout>
          <c:xMode val="edge"/>
          <c:yMode val="edge"/>
          <c:x val="0.66139982502187566"/>
          <c:y val="0.26348206474190738"/>
          <c:w val="0.14018747656542993"/>
          <c:h val="0.26984079981455478"/>
        </c:manualLayout>
      </c:layout>
      <c:overlay val="0"/>
      <c:spPr>
        <a:noFill/>
        <a:ln w="25400">
          <a:noFill/>
        </a:ln>
      </c:spPr>
      <c:txPr>
        <a:bodyPr/>
        <a:lstStyle/>
        <a:p>
          <a:pPr>
            <a:defRPr sz="86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678169361061245E-2"/>
          <c:y val="0.13295346628679974"/>
          <c:w val="0.94932183063894082"/>
          <c:h val="0.72017737099101931"/>
        </c:manualLayout>
      </c:layout>
      <c:barChart>
        <c:barDir val="col"/>
        <c:grouping val="clustered"/>
        <c:varyColors val="0"/>
        <c:ser>
          <c:idx val="0"/>
          <c:order val="0"/>
          <c:tx>
            <c:strRef>
              <c:f>Sheet1!$A$2</c:f>
              <c:strCache>
                <c:ptCount val="1"/>
                <c:pt idx="0">
                  <c:v>SO2</c:v>
                </c:pt>
              </c:strCache>
            </c:strRef>
          </c:tx>
          <c:spPr>
            <a:solidFill>
              <a:srgbClr val="FFCC00"/>
            </a:solidFill>
            <a:ln w="25400">
              <a:noFill/>
            </a:ln>
          </c:spPr>
          <c:invertIfNegative val="0"/>
          <c:cat>
            <c:strRef>
              <c:f>Sheet1!$B$1:$E$1</c:f>
              <c:strCache>
                <c:ptCount val="4"/>
                <c:pt idx="0">
                  <c:v>Transport aerian</c:v>
                </c:pt>
                <c:pt idx="1">
                  <c:v>Transport naval</c:v>
                </c:pt>
                <c:pt idx="2">
                  <c:v>Transport rutier</c:v>
                </c:pt>
                <c:pt idx="3">
                  <c:v>Transport feroviar</c:v>
                </c:pt>
              </c:strCache>
            </c:strRef>
          </c:cat>
          <c:val>
            <c:numRef>
              <c:f>Sheet1!$B$2:$E$2</c:f>
              <c:numCache>
                <c:formatCode>General</c:formatCode>
                <c:ptCount val="4"/>
                <c:pt idx="0">
                  <c:v>100</c:v>
                </c:pt>
              </c:numCache>
            </c:numRef>
          </c:val>
        </c:ser>
        <c:ser>
          <c:idx val="1"/>
          <c:order val="1"/>
          <c:tx>
            <c:strRef>
              <c:f>Sheet1!$A$3</c:f>
              <c:strCache>
                <c:ptCount val="1"/>
                <c:pt idx="0">
                  <c:v>NOX</c:v>
                </c:pt>
              </c:strCache>
            </c:strRef>
          </c:tx>
          <c:spPr>
            <a:solidFill>
              <a:srgbClr val="00B050"/>
            </a:solidFill>
            <a:ln w="25400">
              <a:solidFill>
                <a:srgbClr val="00B050"/>
              </a:solidFill>
              <a:prstDash val="solid"/>
            </a:ln>
          </c:spPr>
          <c:invertIfNegative val="0"/>
          <c:cat>
            <c:strRef>
              <c:f>Sheet1!$B$1:$E$1</c:f>
              <c:strCache>
                <c:ptCount val="4"/>
                <c:pt idx="0">
                  <c:v>Transport aerian</c:v>
                </c:pt>
                <c:pt idx="1">
                  <c:v>Transport naval</c:v>
                </c:pt>
                <c:pt idx="2">
                  <c:v>Transport rutier</c:v>
                </c:pt>
                <c:pt idx="3">
                  <c:v>Transport feroviar</c:v>
                </c:pt>
              </c:strCache>
            </c:strRef>
          </c:cat>
          <c:val>
            <c:numRef>
              <c:f>Sheet1!$B$3:$E$3</c:f>
              <c:numCache>
                <c:formatCode>General</c:formatCode>
                <c:ptCount val="4"/>
                <c:pt idx="0">
                  <c:v>0.76595558805665087</c:v>
                </c:pt>
                <c:pt idx="1">
                  <c:v>41.566769100000002</c:v>
                </c:pt>
                <c:pt idx="2">
                  <c:v>49.847908429999997</c:v>
                </c:pt>
                <c:pt idx="3">
                  <c:v>7.8193668789999888</c:v>
                </c:pt>
              </c:numCache>
            </c:numRef>
          </c:val>
        </c:ser>
        <c:ser>
          <c:idx val="2"/>
          <c:order val="2"/>
          <c:tx>
            <c:strRef>
              <c:f>Sheet1!$A$4</c:f>
              <c:strCache>
                <c:ptCount val="1"/>
                <c:pt idx="0">
                  <c:v>NH3</c:v>
                </c:pt>
              </c:strCache>
            </c:strRef>
          </c:tx>
          <c:spPr>
            <a:solidFill>
              <a:srgbClr val="002060"/>
            </a:solidFill>
          </c:spPr>
          <c:invertIfNegative val="0"/>
          <c:cat>
            <c:strRef>
              <c:f>Sheet1!$B$1:$E$1</c:f>
              <c:strCache>
                <c:ptCount val="4"/>
                <c:pt idx="0">
                  <c:v>Transport aerian</c:v>
                </c:pt>
                <c:pt idx="1">
                  <c:v>Transport naval</c:v>
                </c:pt>
                <c:pt idx="2">
                  <c:v>Transport rutier</c:v>
                </c:pt>
                <c:pt idx="3">
                  <c:v>Transport feroviar</c:v>
                </c:pt>
              </c:strCache>
            </c:strRef>
          </c:cat>
          <c:val>
            <c:numRef>
              <c:f>Sheet1!$C$4:$E$4</c:f>
              <c:numCache>
                <c:formatCode>General</c:formatCode>
                <c:ptCount val="3"/>
                <c:pt idx="0">
                  <c:v>0.98155494662794807</c:v>
                </c:pt>
                <c:pt idx="1">
                  <c:v>98.793505378103134</c:v>
                </c:pt>
                <c:pt idx="2" formatCode="#,000E+00">
                  <c:v>0.22493967500000001</c:v>
                </c:pt>
              </c:numCache>
            </c:numRef>
          </c:val>
        </c:ser>
        <c:dLbls>
          <c:showLegendKey val="0"/>
          <c:showVal val="0"/>
          <c:showCatName val="0"/>
          <c:showSerName val="0"/>
          <c:showPercent val="0"/>
          <c:showBubbleSize val="0"/>
        </c:dLbls>
        <c:gapWidth val="300"/>
        <c:axId val="305260416"/>
        <c:axId val="305135616"/>
      </c:barChart>
      <c:catAx>
        <c:axId val="305260416"/>
        <c:scaling>
          <c:orientation val="minMax"/>
        </c:scaling>
        <c:delete val="0"/>
        <c:axPos val="b"/>
        <c:title>
          <c:tx>
            <c:rich>
              <a:bodyPr/>
              <a:lstStyle/>
              <a:p>
                <a:pPr>
                  <a:defRPr/>
                </a:pPr>
                <a:r>
                  <a:rPr lang="en-US" sz="1200"/>
                  <a:t>Contributia sectoarelor de transport la emisiile cu efect acidifiant</a:t>
                </a:r>
              </a:p>
            </c:rich>
          </c:tx>
          <c:layout>
            <c:manualLayout>
              <c:xMode val="edge"/>
              <c:yMode val="edge"/>
              <c:x val="0.27489865419715098"/>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135616"/>
        <c:crosses val="autoZero"/>
        <c:auto val="1"/>
        <c:lblAlgn val="ctr"/>
        <c:lblOffset val="100"/>
        <c:tickLblSkip val="1"/>
        <c:tickMarkSkip val="1"/>
        <c:noMultiLvlLbl val="0"/>
      </c:catAx>
      <c:valAx>
        <c:axId val="305135616"/>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a:pPr>
                <a:r>
                  <a:rPr lang="en-US"/>
                  <a:t>%</a:t>
                </a:r>
              </a:p>
            </c:rich>
          </c:tx>
          <c:layout>
            <c:manualLayout>
              <c:xMode val="edge"/>
              <c:yMode val="edge"/>
              <c:x val="8.7564261078935546E-3"/>
              <c:y val="4.8787491307176592E-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260416"/>
        <c:crosses val="autoZero"/>
        <c:crossBetween val="between"/>
      </c:valAx>
      <c:spPr>
        <a:noFill/>
        <a:ln w="25400">
          <a:noFill/>
        </a:ln>
      </c:spPr>
    </c:plotArea>
    <c:legend>
      <c:legendPos val="r"/>
      <c:layout>
        <c:manualLayout>
          <c:xMode val="edge"/>
          <c:yMode val="edge"/>
          <c:x val="0.88288562487381383"/>
          <c:y val="0.40658127135817523"/>
          <c:w val="0.10766925768894295"/>
          <c:h val="0.24761588562113551"/>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678169361061245E-2"/>
          <c:y val="0.13295346628679974"/>
          <c:w val="0.94932183063894082"/>
          <c:h val="0.72017737099101931"/>
        </c:manualLayout>
      </c:layout>
      <c:barChart>
        <c:barDir val="col"/>
        <c:grouping val="clustered"/>
        <c:varyColors val="0"/>
        <c:ser>
          <c:idx val="0"/>
          <c:order val="0"/>
          <c:tx>
            <c:strRef>
              <c:f>Sheet1!$A$2</c:f>
              <c:strCache>
                <c:ptCount val="1"/>
                <c:pt idx="0">
                  <c:v>SO2</c:v>
                </c:pt>
              </c:strCache>
            </c:strRef>
          </c:tx>
          <c:spPr>
            <a:solidFill>
              <a:srgbClr val="FFCC00"/>
            </a:solidFill>
            <a:ln w="25400">
              <a:noFill/>
            </a:ln>
          </c:spPr>
          <c:invertIfNegative val="0"/>
          <c:cat>
            <c:strRef>
              <c:f>Sheet1!$B$1:$E$1</c:f>
              <c:strCache>
                <c:ptCount val="4"/>
                <c:pt idx="0">
                  <c:v>Camioane si autobuze</c:v>
                </c:pt>
                <c:pt idx="1">
                  <c:v>Microbuze</c:v>
                </c:pt>
                <c:pt idx="2">
                  <c:v>Motociclete</c:v>
                </c:pt>
                <c:pt idx="3">
                  <c:v>Autoturisme</c:v>
                </c:pt>
              </c:strCache>
            </c:strRef>
          </c:cat>
          <c:val>
            <c:numRef>
              <c:f>Sheet1!$B$2:$E$2</c:f>
              <c:numCache>
                <c:formatCode>General</c:formatCode>
                <c:ptCount val="4"/>
              </c:numCache>
            </c:numRef>
          </c:val>
        </c:ser>
        <c:ser>
          <c:idx val="1"/>
          <c:order val="1"/>
          <c:tx>
            <c:strRef>
              <c:f>Sheet1!$A$3</c:f>
              <c:strCache>
                <c:ptCount val="1"/>
                <c:pt idx="0">
                  <c:v>NOX</c:v>
                </c:pt>
              </c:strCache>
            </c:strRef>
          </c:tx>
          <c:spPr>
            <a:solidFill>
              <a:srgbClr val="00B050"/>
            </a:solidFill>
            <a:ln w="25400">
              <a:solidFill>
                <a:srgbClr val="00B050"/>
              </a:solidFill>
              <a:prstDash val="solid"/>
            </a:ln>
          </c:spPr>
          <c:invertIfNegative val="0"/>
          <c:cat>
            <c:strRef>
              <c:f>Sheet1!$B$1:$E$1</c:f>
              <c:strCache>
                <c:ptCount val="4"/>
                <c:pt idx="0">
                  <c:v>Camioane si autobuze</c:v>
                </c:pt>
                <c:pt idx="1">
                  <c:v>Microbuze</c:v>
                </c:pt>
                <c:pt idx="2">
                  <c:v>Motociclete</c:v>
                </c:pt>
                <c:pt idx="3">
                  <c:v>Autoturisme</c:v>
                </c:pt>
              </c:strCache>
            </c:strRef>
          </c:cat>
          <c:val>
            <c:numRef>
              <c:f>Sheet1!$B$3:$E$3</c:f>
              <c:numCache>
                <c:formatCode>General</c:formatCode>
                <c:ptCount val="4"/>
                <c:pt idx="0">
                  <c:v>61.742608950000012</c:v>
                </c:pt>
                <c:pt idx="1">
                  <c:v>9.2880649689999988</c:v>
                </c:pt>
                <c:pt idx="2">
                  <c:v>3.5277778512207036E-2</c:v>
                </c:pt>
                <c:pt idx="3">
                  <c:v>28.93408608</c:v>
                </c:pt>
              </c:numCache>
            </c:numRef>
          </c:val>
        </c:ser>
        <c:ser>
          <c:idx val="2"/>
          <c:order val="2"/>
          <c:tx>
            <c:strRef>
              <c:f>Sheet1!$A$4</c:f>
              <c:strCache>
                <c:ptCount val="1"/>
                <c:pt idx="0">
                  <c:v>NH3</c:v>
                </c:pt>
              </c:strCache>
            </c:strRef>
          </c:tx>
          <c:spPr>
            <a:solidFill>
              <a:srgbClr val="002060"/>
            </a:solidFill>
          </c:spPr>
          <c:invertIfNegative val="0"/>
          <c:cat>
            <c:strRef>
              <c:f>Sheet1!$B$1:$E$1</c:f>
              <c:strCache>
                <c:ptCount val="4"/>
                <c:pt idx="0">
                  <c:v>Camioane si autobuze</c:v>
                </c:pt>
                <c:pt idx="1">
                  <c:v>Microbuze</c:v>
                </c:pt>
                <c:pt idx="2">
                  <c:v>Motociclete</c:v>
                </c:pt>
                <c:pt idx="3">
                  <c:v>Autoturisme</c:v>
                </c:pt>
              </c:strCache>
            </c:strRef>
          </c:cat>
          <c:val>
            <c:numRef>
              <c:f>Sheet1!$C$4:$E$4</c:f>
              <c:numCache>
                <c:formatCode>General</c:formatCode>
                <c:ptCount val="3"/>
                <c:pt idx="0">
                  <c:v>5.5845338632223855</c:v>
                </c:pt>
                <c:pt idx="1">
                  <c:v>2.0698791190594468E-2</c:v>
                </c:pt>
                <c:pt idx="2" formatCode="#,000E+00">
                  <c:v>88.230667329027995</c:v>
                </c:pt>
              </c:numCache>
            </c:numRef>
          </c:val>
        </c:ser>
        <c:dLbls>
          <c:showLegendKey val="0"/>
          <c:showVal val="0"/>
          <c:showCatName val="0"/>
          <c:showSerName val="0"/>
          <c:showPercent val="0"/>
          <c:showBubbleSize val="0"/>
        </c:dLbls>
        <c:gapWidth val="300"/>
        <c:axId val="305178112"/>
        <c:axId val="305180032"/>
      </c:barChart>
      <c:catAx>
        <c:axId val="305178112"/>
        <c:scaling>
          <c:orientation val="minMax"/>
        </c:scaling>
        <c:delete val="0"/>
        <c:axPos val="b"/>
        <c:title>
          <c:tx>
            <c:rich>
              <a:bodyPr/>
              <a:lstStyle/>
              <a:p>
                <a:pPr>
                  <a:defRPr/>
                </a:pPr>
                <a:r>
                  <a:rPr lang="en-US" sz="1200" b="0" i="0" baseline="0">
                    <a:latin typeface="Arial" pitchFamily="34" charset="0"/>
                    <a:cs typeface="Arial" pitchFamily="34" charset="0"/>
                  </a:rPr>
                  <a:t>Contributia tipurilor de autovehicole la emisiile cu efect acidifiant</a:t>
                </a:r>
                <a:endParaRPr lang="en-US" sz="1200">
                  <a:latin typeface="Arial" pitchFamily="34" charset="0"/>
                  <a:cs typeface="Arial" pitchFamily="34" charset="0"/>
                </a:endParaRPr>
              </a:p>
            </c:rich>
          </c:tx>
          <c:layout>
            <c:manualLayout>
              <c:xMode val="edge"/>
              <c:yMode val="edge"/>
              <c:x val="0.22924733581855991"/>
              <c:y val="2.455825500444923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180032"/>
        <c:crosses val="autoZero"/>
        <c:auto val="1"/>
        <c:lblAlgn val="ctr"/>
        <c:lblOffset val="100"/>
        <c:tickLblSkip val="1"/>
        <c:tickMarkSkip val="1"/>
        <c:noMultiLvlLbl val="0"/>
      </c:catAx>
      <c:valAx>
        <c:axId val="305180032"/>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a:pPr>
                <a:r>
                  <a:rPr lang="en-US"/>
                  <a:t>%</a:t>
                </a:r>
              </a:p>
            </c:rich>
          </c:tx>
          <c:layout>
            <c:manualLayout>
              <c:xMode val="edge"/>
              <c:yMode val="edge"/>
              <c:x val="8.7564261078935546E-3"/>
              <c:y val="4.8787491307176592E-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178112"/>
        <c:crosses val="autoZero"/>
        <c:crossBetween val="between"/>
      </c:valAx>
      <c:spPr>
        <a:noFill/>
        <a:ln w="25400">
          <a:noFill/>
        </a:ln>
      </c:spPr>
    </c:plotArea>
    <c:legend>
      <c:legendPos val="r"/>
      <c:layout>
        <c:manualLayout>
          <c:xMode val="edge"/>
          <c:yMode val="edge"/>
          <c:x val="0.88929588128407167"/>
          <c:y val="0.31892991334319964"/>
          <c:w val="8.630173632142131E-2"/>
          <c:h val="0.24761588562113551"/>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678169361061245E-2"/>
          <c:y val="0.17935704672646827"/>
          <c:w val="0.94932183063894082"/>
          <c:h val="0.673773782917508"/>
        </c:manualLayout>
      </c:layout>
      <c:barChart>
        <c:barDir val="col"/>
        <c:grouping val="clustered"/>
        <c:varyColors val="0"/>
        <c:ser>
          <c:idx val="0"/>
          <c:order val="0"/>
          <c:tx>
            <c:strRef>
              <c:f>Sheet1!$A$2</c:f>
              <c:strCache>
                <c:ptCount val="1"/>
                <c:pt idx="0">
                  <c:v>NOX</c:v>
                </c:pt>
              </c:strCache>
            </c:strRef>
          </c:tx>
          <c:spPr>
            <a:solidFill>
              <a:srgbClr val="FFCC00"/>
            </a:solidFill>
            <a:ln w="25400">
              <a:noFill/>
            </a:ln>
          </c:spPr>
          <c:invertIfNegative val="0"/>
          <c:cat>
            <c:strRef>
              <c:f>Sheet1!$B$1:$E$1</c:f>
              <c:strCache>
                <c:ptCount val="4"/>
                <c:pt idx="0">
                  <c:v>Transport aerian</c:v>
                </c:pt>
                <c:pt idx="1">
                  <c:v>Transport naval</c:v>
                </c:pt>
                <c:pt idx="2">
                  <c:v>Transport rutier</c:v>
                </c:pt>
                <c:pt idx="3">
                  <c:v>Transport feroviar</c:v>
                </c:pt>
              </c:strCache>
            </c:strRef>
          </c:cat>
          <c:val>
            <c:numRef>
              <c:f>Sheet1!$B$2:$E$2</c:f>
              <c:numCache>
                <c:formatCode>General</c:formatCode>
                <c:ptCount val="4"/>
                <c:pt idx="0">
                  <c:v>0.76595558805665087</c:v>
                </c:pt>
                <c:pt idx="1">
                  <c:v>41.566769102855552</c:v>
                </c:pt>
                <c:pt idx="2">
                  <c:v>49.847908430255998</c:v>
                </c:pt>
                <c:pt idx="3">
                  <c:v>8.4971703587500809</c:v>
                </c:pt>
              </c:numCache>
            </c:numRef>
          </c:val>
        </c:ser>
        <c:ser>
          <c:idx val="1"/>
          <c:order val="1"/>
          <c:tx>
            <c:strRef>
              <c:f>Sheet1!$A$3</c:f>
              <c:strCache>
                <c:ptCount val="1"/>
                <c:pt idx="0">
                  <c:v>NMVOC</c:v>
                </c:pt>
              </c:strCache>
            </c:strRef>
          </c:tx>
          <c:spPr>
            <a:solidFill>
              <a:srgbClr val="00B050"/>
            </a:solidFill>
            <a:ln w="25400">
              <a:solidFill>
                <a:srgbClr val="00B050"/>
              </a:solidFill>
              <a:prstDash val="solid"/>
            </a:ln>
          </c:spPr>
          <c:invertIfNegative val="0"/>
          <c:cat>
            <c:strRef>
              <c:f>Sheet1!$B$1:$E$1</c:f>
              <c:strCache>
                <c:ptCount val="4"/>
                <c:pt idx="0">
                  <c:v>Transport aerian</c:v>
                </c:pt>
                <c:pt idx="1">
                  <c:v>Transport naval</c:v>
                </c:pt>
                <c:pt idx="2">
                  <c:v>Transport rutier</c:v>
                </c:pt>
                <c:pt idx="3">
                  <c:v>Transport feroviar</c:v>
                </c:pt>
              </c:strCache>
            </c:strRef>
          </c:cat>
          <c:val>
            <c:numRef>
              <c:f>Sheet1!$B$3:$E$3</c:f>
              <c:numCache>
                <c:formatCode>General</c:formatCode>
                <c:ptCount val="4"/>
                <c:pt idx="0">
                  <c:v>1.4320102442692972</c:v>
                </c:pt>
                <c:pt idx="1">
                  <c:v>23.113971367538383</c:v>
                </c:pt>
                <c:pt idx="2">
                  <c:v>71.886817472170378</c:v>
                </c:pt>
                <c:pt idx="3">
                  <c:v>3.5671041258736542</c:v>
                </c:pt>
              </c:numCache>
            </c:numRef>
          </c:val>
        </c:ser>
        <c:ser>
          <c:idx val="2"/>
          <c:order val="2"/>
          <c:tx>
            <c:strRef>
              <c:f>Sheet1!$A$4</c:f>
              <c:strCache>
                <c:ptCount val="1"/>
                <c:pt idx="0">
                  <c:v>CO</c:v>
                </c:pt>
              </c:strCache>
            </c:strRef>
          </c:tx>
          <c:spPr>
            <a:solidFill>
              <a:srgbClr val="002060"/>
            </a:solidFill>
          </c:spPr>
          <c:invertIfNegative val="0"/>
          <c:cat>
            <c:strRef>
              <c:f>Sheet1!$B$1:$E$1</c:f>
              <c:strCache>
                <c:ptCount val="4"/>
                <c:pt idx="0">
                  <c:v>Transport aerian</c:v>
                </c:pt>
                <c:pt idx="1">
                  <c:v>Transport naval</c:v>
                </c:pt>
                <c:pt idx="2">
                  <c:v>Transport rutier</c:v>
                </c:pt>
                <c:pt idx="3">
                  <c:v>Transport feroviar</c:v>
                </c:pt>
              </c:strCache>
            </c:strRef>
          </c:cat>
          <c:val>
            <c:numRef>
              <c:f>Sheet1!$B$4:$E$4</c:f>
              <c:numCache>
                <c:formatCode>General</c:formatCode>
                <c:ptCount val="4"/>
                <c:pt idx="0">
                  <c:v>1.1594273139774376</c:v>
                </c:pt>
                <c:pt idx="1">
                  <c:v>13.14389605861915</c:v>
                </c:pt>
                <c:pt idx="2">
                  <c:v>83.96045789793294</c:v>
                </c:pt>
                <c:pt idx="3" formatCode="#,000E+00">
                  <c:v>1.7269734497559777</c:v>
                </c:pt>
              </c:numCache>
            </c:numRef>
          </c:val>
        </c:ser>
        <c:ser>
          <c:idx val="3"/>
          <c:order val="3"/>
          <c:tx>
            <c:strRef>
              <c:f>Sheet1!$A$5</c:f>
              <c:strCache>
                <c:ptCount val="1"/>
                <c:pt idx="0">
                  <c:v>CH4</c:v>
                </c:pt>
              </c:strCache>
            </c:strRef>
          </c:tx>
          <c:invertIfNegative val="0"/>
          <c:cat>
            <c:strRef>
              <c:f>Sheet1!$B$1:$E$1</c:f>
              <c:strCache>
                <c:ptCount val="4"/>
                <c:pt idx="0">
                  <c:v>Transport aerian</c:v>
                </c:pt>
                <c:pt idx="1">
                  <c:v>Transport naval</c:v>
                </c:pt>
                <c:pt idx="2">
                  <c:v>Transport rutier</c:v>
                </c:pt>
                <c:pt idx="3">
                  <c:v>Transport feroviar</c:v>
                </c:pt>
              </c:strCache>
            </c:strRef>
          </c:cat>
          <c:val>
            <c:numRef>
              <c:f>Sheet1!$B$5:$E$5</c:f>
              <c:numCache>
                <c:formatCode>General</c:formatCode>
                <c:ptCount val="4"/>
                <c:pt idx="0">
                  <c:v>3.5909712722298242</c:v>
                </c:pt>
                <c:pt idx="2">
                  <c:v>96.409028727770192</c:v>
                </c:pt>
              </c:numCache>
            </c:numRef>
          </c:val>
        </c:ser>
        <c:dLbls>
          <c:showLegendKey val="0"/>
          <c:showVal val="0"/>
          <c:showCatName val="0"/>
          <c:showSerName val="0"/>
          <c:showPercent val="0"/>
          <c:showBubbleSize val="0"/>
        </c:dLbls>
        <c:gapWidth val="300"/>
        <c:axId val="305354624"/>
        <c:axId val="305360896"/>
      </c:barChart>
      <c:catAx>
        <c:axId val="305354624"/>
        <c:scaling>
          <c:orientation val="minMax"/>
        </c:scaling>
        <c:delete val="0"/>
        <c:axPos val="b"/>
        <c:title>
          <c:tx>
            <c:rich>
              <a:bodyPr/>
              <a:lstStyle/>
              <a:p>
                <a:pPr>
                  <a:defRPr/>
                </a:pPr>
                <a:r>
                  <a:rPr lang="en-US" sz="1200"/>
                  <a:t>Contributia sectoarelor de transport la emisiile  de precursori ai ozonului</a:t>
                </a:r>
              </a:p>
            </c:rich>
          </c:tx>
          <c:layout>
            <c:manualLayout>
              <c:xMode val="edge"/>
              <c:yMode val="edge"/>
              <c:x val="0.20406040154071695"/>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360896"/>
        <c:crosses val="autoZero"/>
        <c:auto val="1"/>
        <c:lblAlgn val="ctr"/>
        <c:lblOffset val="100"/>
        <c:tickLblSkip val="1"/>
        <c:tickMarkSkip val="1"/>
        <c:noMultiLvlLbl val="0"/>
      </c:catAx>
      <c:valAx>
        <c:axId val="305360896"/>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a:pPr>
                <a:r>
                  <a:rPr lang="en-US"/>
                  <a:t>%</a:t>
                </a:r>
              </a:p>
            </c:rich>
          </c:tx>
          <c:layout>
            <c:manualLayout>
              <c:xMode val="edge"/>
              <c:yMode val="edge"/>
              <c:x val="8.7564261078935546E-3"/>
              <c:y val="4.8787491307176592E-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354624"/>
        <c:crosses val="autoZero"/>
        <c:crossBetween val="between"/>
      </c:valAx>
      <c:spPr>
        <a:noFill/>
        <a:ln w="25400">
          <a:noFill/>
        </a:ln>
      </c:spPr>
    </c:plotArea>
    <c:legend>
      <c:legendPos val="r"/>
      <c:layout>
        <c:manualLayout>
          <c:xMode val="edge"/>
          <c:yMode val="edge"/>
          <c:x val="0.87277458106198269"/>
          <c:y val="0.29913424395036481"/>
          <c:w val="0.11088547815820543"/>
          <c:h val="0.27489591643271971"/>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678169361061245E-2"/>
          <c:y val="0.13295346628679974"/>
          <c:w val="0.94932183063894082"/>
          <c:h val="0.72017737099101931"/>
        </c:manualLayout>
      </c:layout>
      <c:barChart>
        <c:barDir val="col"/>
        <c:grouping val="clustered"/>
        <c:varyColors val="0"/>
        <c:ser>
          <c:idx val="0"/>
          <c:order val="0"/>
          <c:tx>
            <c:strRef>
              <c:f>Sheet1!$A$2</c:f>
              <c:strCache>
                <c:ptCount val="1"/>
                <c:pt idx="0">
                  <c:v>NOX</c:v>
                </c:pt>
              </c:strCache>
            </c:strRef>
          </c:tx>
          <c:spPr>
            <a:solidFill>
              <a:srgbClr val="FFCC00"/>
            </a:solidFill>
            <a:ln w="25400">
              <a:noFill/>
            </a:ln>
          </c:spPr>
          <c:invertIfNegative val="0"/>
          <c:cat>
            <c:strRef>
              <c:f>Sheet1!$B$1:$E$1</c:f>
              <c:strCache>
                <c:ptCount val="4"/>
                <c:pt idx="0">
                  <c:v>Camioane si autobuze</c:v>
                </c:pt>
                <c:pt idx="1">
                  <c:v>Microbuze</c:v>
                </c:pt>
                <c:pt idx="2">
                  <c:v>Motociclete</c:v>
                </c:pt>
                <c:pt idx="3">
                  <c:v>Autoturisme</c:v>
                </c:pt>
              </c:strCache>
            </c:strRef>
          </c:cat>
          <c:val>
            <c:numRef>
              <c:f>Sheet1!$B$2:$E$2</c:f>
              <c:numCache>
                <c:formatCode>General</c:formatCode>
                <c:ptCount val="4"/>
                <c:pt idx="0">
                  <c:v>61.742608946580724</c:v>
                </c:pt>
                <c:pt idx="1">
                  <c:v>9.2880649685238339</c:v>
                </c:pt>
                <c:pt idx="2">
                  <c:v>3.5277778512207036E-2</c:v>
                </c:pt>
                <c:pt idx="3">
                  <c:v>28.934086077024126</c:v>
                </c:pt>
              </c:numCache>
            </c:numRef>
          </c:val>
        </c:ser>
        <c:ser>
          <c:idx val="1"/>
          <c:order val="1"/>
          <c:tx>
            <c:strRef>
              <c:f>Sheet1!$A$3</c:f>
              <c:strCache>
                <c:ptCount val="1"/>
                <c:pt idx="0">
                  <c:v>NMVOC</c:v>
                </c:pt>
              </c:strCache>
            </c:strRef>
          </c:tx>
          <c:spPr>
            <a:solidFill>
              <a:srgbClr val="00B050"/>
            </a:solidFill>
            <a:ln w="25400">
              <a:solidFill>
                <a:srgbClr val="00B050"/>
              </a:solidFill>
              <a:prstDash val="solid"/>
            </a:ln>
          </c:spPr>
          <c:invertIfNegative val="0"/>
          <c:cat>
            <c:strRef>
              <c:f>Sheet1!$B$1:$E$1</c:f>
              <c:strCache>
                <c:ptCount val="4"/>
                <c:pt idx="0">
                  <c:v>Camioane si autobuze</c:v>
                </c:pt>
                <c:pt idx="1">
                  <c:v>Microbuze</c:v>
                </c:pt>
                <c:pt idx="2">
                  <c:v>Motociclete</c:v>
                </c:pt>
                <c:pt idx="3">
                  <c:v>Autoturisme</c:v>
                </c:pt>
              </c:strCache>
            </c:strRef>
          </c:cat>
          <c:val>
            <c:numRef>
              <c:f>Sheet1!$B$3:$E$3</c:f>
              <c:numCache>
                <c:formatCode>General</c:formatCode>
                <c:ptCount val="4"/>
                <c:pt idx="0">
                  <c:v>16.193982022544535</c:v>
                </c:pt>
                <c:pt idx="1">
                  <c:v>8.2409237546922522</c:v>
                </c:pt>
                <c:pt idx="2">
                  <c:v>1.5813751837869001</c:v>
                </c:pt>
                <c:pt idx="3">
                  <c:v>73.98371903897629</c:v>
                </c:pt>
              </c:numCache>
            </c:numRef>
          </c:val>
        </c:ser>
        <c:ser>
          <c:idx val="2"/>
          <c:order val="2"/>
          <c:tx>
            <c:strRef>
              <c:f>Sheet1!$A$4</c:f>
              <c:strCache>
                <c:ptCount val="1"/>
                <c:pt idx="0">
                  <c:v>CO</c:v>
                </c:pt>
              </c:strCache>
            </c:strRef>
          </c:tx>
          <c:spPr>
            <a:solidFill>
              <a:srgbClr val="002060"/>
            </a:solidFill>
          </c:spPr>
          <c:invertIfNegative val="0"/>
          <c:cat>
            <c:strRef>
              <c:f>Sheet1!$B$1:$E$1</c:f>
              <c:strCache>
                <c:ptCount val="4"/>
                <c:pt idx="0">
                  <c:v>Camioane si autobuze</c:v>
                </c:pt>
                <c:pt idx="1">
                  <c:v>Microbuze</c:v>
                </c:pt>
                <c:pt idx="2">
                  <c:v>Motociclete</c:v>
                </c:pt>
                <c:pt idx="3">
                  <c:v>Autoturisme</c:v>
                </c:pt>
              </c:strCache>
            </c:strRef>
          </c:cat>
          <c:val>
            <c:numRef>
              <c:f>Sheet1!$B$4:$E$4</c:f>
              <c:numCache>
                <c:formatCode>General</c:formatCode>
                <c:ptCount val="4"/>
                <c:pt idx="0">
                  <c:v>10.891603973248436</c:v>
                </c:pt>
                <c:pt idx="1">
                  <c:v>11.443147592005189</c:v>
                </c:pt>
                <c:pt idx="2">
                  <c:v>1.0840960919999998</c:v>
                </c:pt>
                <c:pt idx="3" formatCode="#,000E+00">
                  <c:v>76.581152340000003</c:v>
                </c:pt>
              </c:numCache>
            </c:numRef>
          </c:val>
        </c:ser>
        <c:ser>
          <c:idx val="3"/>
          <c:order val="3"/>
          <c:tx>
            <c:strRef>
              <c:f>Sheet1!$A$5</c:f>
              <c:strCache>
                <c:ptCount val="1"/>
                <c:pt idx="0">
                  <c:v>CH4</c:v>
                </c:pt>
              </c:strCache>
            </c:strRef>
          </c:tx>
          <c:invertIfNegative val="0"/>
          <c:cat>
            <c:strRef>
              <c:f>Sheet1!$B$1:$E$1</c:f>
              <c:strCache>
                <c:ptCount val="4"/>
                <c:pt idx="0">
                  <c:v>Camioane si autobuze</c:v>
                </c:pt>
                <c:pt idx="1">
                  <c:v>Microbuze</c:v>
                </c:pt>
                <c:pt idx="2">
                  <c:v>Motociclete</c:v>
                </c:pt>
                <c:pt idx="3">
                  <c:v>Autoturisme</c:v>
                </c:pt>
              </c:strCache>
            </c:strRef>
          </c:cat>
          <c:val>
            <c:numRef>
              <c:f>Sheet1!$B$5:$E$5</c:f>
              <c:numCache>
                <c:formatCode>General</c:formatCode>
                <c:ptCount val="4"/>
                <c:pt idx="0">
                  <c:v>24.671869457254438</c:v>
                </c:pt>
                <c:pt idx="1">
                  <c:v>6.3009932600212775</c:v>
                </c:pt>
                <c:pt idx="2">
                  <c:v>1.3790351188364669</c:v>
                </c:pt>
                <c:pt idx="3">
                  <c:v>67.648102163887714</c:v>
                </c:pt>
              </c:numCache>
            </c:numRef>
          </c:val>
        </c:ser>
        <c:dLbls>
          <c:showLegendKey val="0"/>
          <c:showVal val="0"/>
          <c:showCatName val="0"/>
          <c:showSerName val="0"/>
          <c:showPercent val="0"/>
          <c:showBubbleSize val="0"/>
        </c:dLbls>
        <c:gapWidth val="300"/>
        <c:axId val="303962368"/>
        <c:axId val="303972736"/>
      </c:barChart>
      <c:catAx>
        <c:axId val="303962368"/>
        <c:scaling>
          <c:orientation val="minMax"/>
        </c:scaling>
        <c:delete val="0"/>
        <c:axPos val="b"/>
        <c:title>
          <c:tx>
            <c:rich>
              <a:bodyPr/>
              <a:lstStyle/>
              <a:p>
                <a:pPr>
                  <a:defRPr/>
                </a:pPr>
                <a:r>
                  <a:rPr lang="en-US" sz="1200" b="0" i="0" baseline="0">
                    <a:latin typeface="Arial" pitchFamily="34" charset="0"/>
                    <a:cs typeface="Arial" pitchFamily="34" charset="0"/>
                  </a:rPr>
                  <a:t>Contributia tipurilor de autovehicole la emisiile de precursori ai ozonului</a:t>
                </a:r>
                <a:endParaRPr lang="en-US" sz="1200">
                  <a:latin typeface="Arial" pitchFamily="34" charset="0"/>
                  <a:cs typeface="Arial" pitchFamily="34" charset="0"/>
                </a:endParaRPr>
              </a:p>
            </c:rich>
          </c:tx>
          <c:layout>
            <c:manualLayout>
              <c:xMode val="edge"/>
              <c:yMode val="edge"/>
              <c:x val="0.22924733581855991"/>
              <c:y val="2.455825500444923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972736"/>
        <c:crosses val="autoZero"/>
        <c:auto val="1"/>
        <c:lblAlgn val="ctr"/>
        <c:lblOffset val="100"/>
        <c:tickLblSkip val="1"/>
        <c:tickMarkSkip val="1"/>
        <c:noMultiLvlLbl val="0"/>
      </c:catAx>
      <c:valAx>
        <c:axId val="303972736"/>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a:pPr>
                <a:r>
                  <a:rPr lang="en-US"/>
                  <a:t>%</a:t>
                </a:r>
              </a:p>
            </c:rich>
          </c:tx>
          <c:layout>
            <c:manualLayout>
              <c:xMode val="edge"/>
              <c:yMode val="edge"/>
              <c:x val="8.7564261078935546E-3"/>
              <c:y val="4.8787491307176592E-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962368"/>
        <c:crosses val="autoZero"/>
        <c:crossBetween val="between"/>
      </c:valAx>
      <c:spPr>
        <a:noFill/>
        <a:ln w="25400">
          <a:noFill/>
        </a:ln>
      </c:spPr>
    </c:plotArea>
    <c:legend>
      <c:legendPos val="r"/>
      <c:layout>
        <c:manualLayout>
          <c:xMode val="edge"/>
          <c:yMode val="edge"/>
          <c:x val="0.66025974025974177"/>
          <c:y val="0.30021849832873482"/>
          <c:w val="0.10676111767020872"/>
          <c:h val="0.27420657887849487"/>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875609298837663E-2"/>
          <c:y val="0.23931623931623996"/>
          <c:w val="0.93612439070116238"/>
          <c:h val="0.58804046930031151"/>
        </c:manualLayout>
      </c:layout>
      <c:barChart>
        <c:barDir val="col"/>
        <c:grouping val="clustered"/>
        <c:varyColors val="0"/>
        <c:ser>
          <c:idx val="0"/>
          <c:order val="0"/>
          <c:tx>
            <c:strRef>
              <c:f>Sheet1!$A$2</c:f>
              <c:strCache>
                <c:ptCount val="1"/>
                <c:pt idx="0">
                  <c:v>PM10</c:v>
                </c:pt>
              </c:strCache>
            </c:strRef>
          </c:tx>
          <c:spPr>
            <a:solidFill>
              <a:srgbClr val="FFCC00"/>
            </a:solidFill>
            <a:ln w="25400">
              <a:noFill/>
            </a:ln>
          </c:spPr>
          <c:invertIfNegative val="0"/>
          <c:cat>
            <c:strRef>
              <c:f>Sheet1!$B$1:$E$1</c:f>
              <c:strCache>
                <c:ptCount val="4"/>
                <c:pt idx="0">
                  <c:v>Transport aerian</c:v>
                </c:pt>
                <c:pt idx="1">
                  <c:v>Transport naval</c:v>
                </c:pt>
                <c:pt idx="2">
                  <c:v>Transport rutier</c:v>
                </c:pt>
                <c:pt idx="3">
                  <c:v>Transport feroviar</c:v>
                </c:pt>
              </c:strCache>
            </c:strRef>
          </c:cat>
          <c:val>
            <c:numRef>
              <c:f>Sheet1!$B$2:$E$2</c:f>
              <c:numCache>
                <c:formatCode>General</c:formatCode>
                <c:ptCount val="4"/>
                <c:pt idx="1">
                  <c:v>52.983930000000001</c:v>
                </c:pt>
                <c:pt idx="2">
                  <c:v>43.266070000000013</c:v>
                </c:pt>
                <c:pt idx="3">
                  <c:v>3.7499959999999999</c:v>
                </c:pt>
              </c:numCache>
            </c:numRef>
          </c:val>
        </c:ser>
        <c:ser>
          <c:idx val="1"/>
          <c:order val="1"/>
          <c:tx>
            <c:strRef>
              <c:f>Sheet1!$A$3</c:f>
              <c:strCache>
                <c:ptCount val="1"/>
                <c:pt idx="0">
                  <c:v>PM2,5</c:v>
                </c:pt>
              </c:strCache>
            </c:strRef>
          </c:tx>
          <c:spPr>
            <a:solidFill>
              <a:srgbClr val="00B050"/>
            </a:solidFill>
            <a:ln w="25400">
              <a:solidFill>
                <a:srgbClr val="00B050"/>
              </a:solidFill>
              <a:prstDash val="solid"/>
            </a:ln>
          </c:spPr>
          <c:invertIfNegative val="0"/>
          <c:cat>
            <c:strRef>
              <c:f>Sheet1!$B$1:$E$1</c:f>
              <c:strCache>
                <c:ptCount val="4"/>
                <c:pt idx="0">
                  <c:v>Transport aerian</c:v>
                </c:pt>
                <c:pt idx="1">
                  <c:v>Transport naval</c:v>
                </c:pt>
                <c:pt idx="2">
                  <c:v>Transport rutier</c:v>
                </c:pt>
                <c:pt idx="3">
                  <c:v>Transport feroviar</c:v>
                </c:pt>
              </c:strCache>
            </c:strRef>
          </c:cat>
          <c:val>
            <c:numRef>
              <c:f>Sheet1!$B$3:$E$3</c:f>
              <c:numCache>
                <c:formatCode>General</c:formatCode>
                <c:ptCount val="4"/>
                <c:pt idx="0">
                  <c:v>0.29900000000000032</c:v>
                </c:pt>
                <c:pt idx="1">
                  <c:v>55.960340000000002</c:v>
                </c:pt>
                <c:pt idx="2">
                  <c:v>40.074280000000002</c:v>
                </c:pt>
                <c:pt idx="3">
                  <c:v>3.8591129999999967</c:v>
                </c:pt>
              </c:numCache>
            </c:numRef>
          </c:val>
        </c:ser>
        <c:dLbls>
          <c:showLegendKey val="0"/>
          <c:showVal val="0"/>
          <c:showCatName val="0"/>
          <c:showSerName val="0"/>
          <c:showPercent val="0"/>
          <c:showBubbleSize val="0"/>
        </c:dLbls>
        <c:gapWidth val="300"/>
        <c:axId val="303285376"/>
        <c:axId val="303287296"/>
      </c:barChart>
      <c:catAx>
        <c:axId val="303285376"/>
        <c:scaling>
          <c:orientation val="minMax"/>
        </c:scaling>
        <c:delete val="0"/>
        <c:axPos val="b"/>
        <c:title>
          <c:tx>
            <c:rich>
              <a:bodyPr/>
              <a:lstStyle/>
              <a:p>
                <a:pPr>
                  <a:defRPr/>
                </a:pPr>
                <a:r>
                  <a:rPr lang="en-US" sz="1200"/>
                  <a:t>Contributia sectoarelor</a:t>
                </a:r>
                <a:r>
                  <a:rPr lang="en-US" sz="1200" baseline="0"/>
                  <a:t> de transport la </a:t>
                </a:r>
                <a:r>
                  <a:rPr lang="en-US" sz="1200"/>
                  <a:t>emisiile de particule primare</a:t>
                </a:r>
              </a:p>
            </c:rich>
          </c:tx>
          <c:layout>
            <c:manualLayout>
              <c:xMode val="edge"/>
              <c:yMode val="edge"/>
              <c:x val="0.16155746156730474"/>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287296"/>
        <c:crosses val="autoZero"/>
        <c:auto val="1"/>
        <c:lblAlgn val="ctr"/>
        <c:lblOffset val="100"/>
        <c:tickLblSkip val="1"/>
        <c:tickMarkSkip val="1"/>
        <c:noMultiLvlLbl val="0"/>
      </c:catAx>
      <c:valAx>
        <c:axId val="303287296"/>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a:pPr>
                <a:r>
                  <a:rPr lang="en-US"/>
                  <a:t>%</a:t>
                </a:r>
              </a:p>
            </c:rich>
          </c:tx>
          <c:layout>
            <c:manualLayout>
              <c:xMode val="edge"/>
              <c:yMode val="edge"/>
              <c:x val="7.1987407824022173E-2"/>
              <c:y val="0.4040077468948867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285376"/>
        <c:crosses val="autoZero"/>
        <c:crossBetween val="between"/>
      </c:valAx>
      <c:spPr>
        <a:noFill/>
        <a:ln w="25400">
          <a:noFill/>
        </a:ln>
      </c:spPr>
    </c:plotArea>
    <c:legend>
      <c:legendPos val="r"/>
      <c:layout>
        <c:manualLayout>
          <c:xMode val="edge"/>
          <c:yMode val="edge"/>
          <c:x val="0.90015779092702009"/>
          <c:y val="0.39213675213675231"/>
          <c:w val="8.4063116370808696E-2"/>
          <c:h val="0.15114879870785394"/>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11228404141684E-2"/>
          <c:y val="0.15574548907882335"/>
          <c:w val="0.89516440252660723"/>
          <c:h val="0.72017737099101931"/>
        </c:manualLayout>
      </c:layout>
      <c:barChart>
        <c:barDir val="col"/>
        <c:grouping val="clustered"/>
        <c:varyColors val="0"/>
        <c:ser>
          <c:idx val="0"/>
          <c:order val="0"/>
          <c:tx>
            <c:strRef>
              <c:f>Sheet1!$A$2</c:f>
              <c:strCache>
                <c:ptCount val="1"/>
                <c:pt idx="0">
                  <c:v>Pb</c:v>
                </c:pt>
              </c:strCache>
            </c:strRef>
          </c:tx>
          <c:spPr>
            <a:solidFill>
              <a:srgbClr val="FFCC00"/>
            </a:solidFill>
            <a:ln w="25400">
              <a:noFill/>
            </a:ln>
          </c:spPr>
          <c:invertIfNegative val="0"/>
          <c:cat>
            <c:strRef>
              <c:f>Sheet1!$B$1:$E$1</c:f>
              <c:strCache>
                <c:ptCount val="4"/>
                <c:pt idx="0">
                  <c:v>Camioane si autobuze</c:v>
                </c:pt>
                <c:pt idx="1">
                  <c:v>Microbuze</c:v>
                </c:pt>
                <c:pt idx="2">
                  <c:v>Motociclete</c:v>
                </c:pt>
                <c:pt idx="3">
                  <c:v>Autoturisme</c:v>
                </c:pt>
              </c:strCache>
            </c:strRef>
          </c:cat>
          <c:val>
            <c:numRef>
              <c:f>Sheet1!$B$2:$E$2</c:f>
              <c:numCache>
                <c:formatCode>General</c:formatCode>
                <c:ptCount val="4"/>
                <c:pt idx="0">
                  <c:v>45.188979860000003</c:v>
                </c:pt>
                <c:pt idx="1">
                  <c:v>12.59357514</c:v>
                </c:pt>
                <c:pt idx="2">
                  <c:v>9.4528045861349102E-5</c:v>
                </c:pt>
                <c:pt idx="3">
                  <c:v>42.121392306636857</c:v>
                </c:pt>
              </c:numCache>
            </c:numRef>
          </c:val>
        </c:ser>
        <c:ser>
          <c:idx val="1"/>
          <c:order val="1"/>
          <c:tx>
            <c:strRef>
              <c:f>Sheet1!$A$3</c:f>
              <c:strCache>
                <c:ptCount val="1"/>
                <c:pt idx="0">
                  <c:v>Cd</c:v>
                </c:pt>
              </c:strCache>
            </c:strRef>
          </c:tx>
          <c:spPr>
            <a:solidFill>
              <a:srgbClr val="00B050"/>
            </a:solidFill>
            <a:ln w="25400">
              <a:solidFill>
                <a:srgbClr val="00B050"/>
              </a:solidFill>
              <a:prstDash val="solid"/>
            </a:ln>
          </c:spPr>
          <c:invertIfNegative val="0"/>
          <c:cat>
            <c:strRef>
              <c:f>Sheet1!$B$1:$E$1</c:f>
              <c:strCache>
                <c:ptCount val="4"/>
                <c:pt idx="0">
                  <c:v>Camioane si autobuze</c:v>
                </c:pt>
                <c:pt idx="1">
                  <c:v>Microbuze</c:v>
                </c:pt>
                <c:pt idx="2">
                  <c:v>Motociclete</c:v>
                </c:pt>
                <c:pt idx="3">
                  <c:v>Autoturisme</c:v>
                </c:pt>
              </c:strCache>
            </c:strRef>
          </c:cat>
          <c:val>
            <c:numRef>
              <c:f>Sheet1!$B$3:$E$3</c:f>
              <c:numCache>
                <c:formatCode>General</c:formatCode>
                <c:ptCount val="4"/>
                <c:pt idx="0">
                  <c:v>38.910256410256288</c:v>
                </c:pt>
                <c:pt idx="1">
                  <c:v>11.923076923076923</c:v>
                </c:pt>
                <c:pt idx="2">
                  <c:v>1.2820512820512821E-3</c:v>
                </c:pt>
                <c:pt idx="3">
                  <c:v>49.03846153846154</c:v>
                </c:pt>
              </c:numCache>
            </c:numRef>
          </c:val>
        </c:ser>
        <c:dLbls>
          <c:showLegendKey val="0"/>
          <c:showVal val="0"/>
          <c:showCatName val="0"/>
          <c:showSerName val="0"/>
          <c:showPercent val="0"/>
          <c:showBubbleSize val="0"/>
        </c:dLbls>
        <c:gapWidth val="300"/>
        <c:axId val="304016768"/>
        <c:axId val="304657920"/>
      </c:barChart>
      <c:catAx>
        <c:axId val="304016768"/>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Contributia tipurilor de autovehicole la emisiile de particule primare</a:t>
                </a:r>
              </a:p>
            </c:rich>
          </c:tx>
          <c:layout>
            <c:manualLayout>
              <c:xMode val="edge"/>
              <c:yMode val="edge"/>
              <c:x val="0.21100804707103968"/>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657920"/>
        <c:crosses val="autoZero"/>
        <c:auto val="1"/>
        <c:lblAlgn val="ctr"/>
        <c:lblOffset val="100"/>
        <c:tickLblSkip val="1"/>
        <c:tickMarkSkip val="1"/>
        <c:noMultiLvlLbl val="0"/>
      </c:catAx>
      <c:valAx>
        <c:axId val="304657920"/>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sz="1025" b="0" i="0" u="none" strike="noStrike" baseline="0">
                    <a:solidFill>
                      <a:srgbClr val="000000"/>
                    </a:solidFill>
                    <a:latin typeface="Arial"/>
                    <a:ea typeface="Arial"/>
                    <a:cs typeface="Arial"/>
                  </a:defRPr>
                </a:pPr>
                <a:r>
                  <a:rPr lang="en-US"/>
                  <a:t>%</a:t>
                </a:r>
              </a:p>
            </c:rich>
          </c:tx>
          <c:layout>
            <c:manualLayout>
              <c:xMode val="edge"/>
              <c:yMode val="edge"/>
              <c:x val="7.4546450924403941E-3"/>
              <c:y val="0.2311236736433581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4016768"/>
        <c:crosses val="autoZero"/>
        <c:crossBetween val="between"/>
      </c:valAx>
      <c:spPr>
        <a:noFill/>
        <a:ln w="25400">
          <a:noFill/>
        </a:ln>
      </c:spPr>
    </c:plotArea>
    <c:legend>
      <c:legendPos val="r"/>
      <c:layout>
        <c:manualLayout>
          <c:xMode val="edge"/>
          <c:yMode val="edge"/>
          <c:x val="0.87981684981684949"/>
          <c:y val="0.37314339981006722"/>
          <c:w val="7.4395604395604595E-2"/>
          <c:h val="0.12075943498515679"/>
        </c:manualLayout>
      </c:layout>
      <c:overlay val="0"/>
      <c:spPr>
        <a:no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11228404141684E-2"/>
          <c:y val="0.15574548907882335"/>
          <c:w val="0.89516440252660723"/>
          <c:h val="0.72017737099101931"/>
        </c:manualLayout>
      </c:layout>
      <c:barChart>
        <c:barDir val="col"/>
        <c:grouping val="clustered"/>
        <c:varyColors val="0"/>
        <c:ser>
          <c:idx val="0"/>
          <c:order val="0"/>
          <c:tx>
            <c:strRef>
              <c:f>Sheet1!$A$2</c:f>
              <c:strCache>
                <c:ptCount val="1"/>
                <c:pt idx="0">
                  <c:v>Pb</c:v>
                </c:pt>
              </c:strCache>
            </c:strRef>
          </c:tx>
          <c:spPr>
            <a:solidFill>
              <a:srgbClr val="FFCC00"/>
            </a:solidFill>
            <a:ln w="25400">
              <a:noFill/>
            </a:ln>
          </c:spPr>
          <c:invertIfNegative val="0"/>
          <c:cat>
            <c:strRef>
              <c:f>Sheet1!$B$1:$E$1</c:f>
              <c:strCache>
                <c:ptCount val="4"/>
                <c:pt idx="0">
                  <c:v>Camioane si autobuze</c:v>
                </c:pt>
                <c:pt idx="1">
                  <c:v>Microbuze</c:v>
                </c:pt>
                <c:pt idx="2">
                  <c:v>Motociclete</c:v>
                </c:pt>
                <c:pt idx="3">
                  <c:v>Autoturisme</c:v>
                </c:pt>
              </c:strCache>
            </c:strRef>
          </c:cat>
          <c:val>
            <c:numRef>
              <c:f>Sheet1!$B$2:$E$2</c:f>
              <c:numCache>
                <c:formatCode>General</c:formatCode>
                <c:ptCount val="4"/>
                <c:pt idx="0">
                  <c:v>45.188979860000003</c:v>
                </c:pt>
                <c:pt idx="1">
                  <c:v>12.59357514</c:v>
                </c:pt>
                <c:pt idx="2">
                  <c:v>9.4528045861349102E-5</c:v>
                </c:pt>
                <c:pt idx="3">
                  <c:v>42.121392306636857</c:v>
                </c:pt>
              </c:numCache>
            </c:numRef>
          </c:val>
        </c:ser>
        <c:ser>
          <c:idx val="1"/>
          <c:order val="1"/>
          <c:tx>
            <c:strRef>
              <c:f>Sheet1!$A$3</c:f>
              <c:strCache>
                <c:ptCount val="1"/>
                <c:pt idx="0">
                  <c:v>Cd</c:v>
                </c:pt>
              </c:strCache>
            </c:strRef>
          </c:tx>
          <c:spPr>
            <a:solidFill>
              <a:srgbClr val="00B050"/>
            </a:solidFill>
            <a:ln w="25400">
              <a:solidFill>
                <a:srgbClr val="00B050"/>
              </a:solidFill>
              <a:prstDash val="solid"/>
            </a:ln>
          </c:spPr>
          <c:invertIfNegative val="0"/>
          <c:cat>
            <c:strRef>
              <c:f>Sheet1!$B$1:$E$1</c:f>
              <c:strCache>
                <c:ptCount val="4"/>
                <c:pt idx="0">
                  <c:v>Camioane si autobuze</c:v>
                </c:pt>
                <c:pt idx="1">
                  <c:v>Microbuze</c:v>
                </c:pt>
                <c:pt idx="2">
                  <c:v>Motociclete</c:v>
                </c:pt>
                <c:pt idx="3">
                  <c:v>Autoturisme</c:v>
                </c:pt>
              </c:strCache>
            </c:strRef>
          </c:cat>
          <c:val>
            <c:numRef>
              <c:f>Sheet1!$B$3:$E$3</c:f>
              <c:numCache>
                <c:formatCode>General</c:formatCode>
                <c:ptCount val="4"/>
                <c:pt idx="0">
                  <c:v>38.910256410256288</c:v>
                </c:pt>
                <c:pt idx="1">
                  <c:v>11.923076923076923</c:v>
                </c:pt>
                <c:pt idx="2">
                  <c:v>1.2820512820512821E-3</c:v>
                </c:pt>
                <c:pt idx="3">
                  <c:v>49.03846153846154</c:v>
                </c:pt>
              </c:numCache>
            </c:numRef>
          </c:val>
        </c:ser>
        <c:dLbls>
          <c:showLegendKey val="0"/>
          <c:showVal val="0"/>
          <c:showCatName val="0"/>
          <c:showSerName val="0"/>
          <c:showPercent val="0"/>
          <c:showBubbleSize val="0"/>
        </c:dLbls>
        <c:gapWidth val="300"/>
        <c:axId val="305420544"/>
        <c:axId val="305422720"/>
      </c:barChart>
      <c:catAx>
        <c:axId val="305420544"/>
        <c:scaling>
          <c:orientation val="minMax"/>
        </c:scaling>
        <c:delete val="0"/>
        <c:axPos val="b"/>
        <c:title>
          <c:tx>
            <c:rich>
              <a:bodyPr/>
              <a:lstStyle/>
              <a:p>
                <a:pPr>
                  <a:defRPr sz="1200" b="0" i="0" u="none" strike="noStrike" baseline="0">
                    <a:solidFill>
                      <a:srgbClr val="000000"/>
                    </a:solidFill>
                    <a:latin typeface="Arial"/>
                    <a:ea typeface="Arial"/>
                    <a:cs typeface="Arial"/>
                  </a:defRPr>
                </a:pPr>
                <a:r>
                  <a:rPr lang="en-US"/>
                  <a:t>Contributia tipurilor de autovehicole la emisiile de particule primare</a:t>
                </a:r>
              </a:p>
            </c:rich>
          </c:tx>
          <c:layout>
            <c:manualLayout>
              <c:xMode val="edge"/>
              <c:yMode val="edge"/>
              <c:x val="0.21100804707103968"/>
              <c:y val="2.0759584539112027E-2"/>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422720"/>
        <c:crosses val="autoZero"/>
        <c:auto val="1"/>
        <c:lblAlgn val="ctr"/>
        <c:lblOffset val="100"/>
        <c:tickLblSkip val="1"/>
        <c:tickMarkSkip val="1"/>
        <c:noMultiLvlLbl val="0"/>
      </c:catAx>
      <c:valAx>
        <c:axId val="305422720"/>
        <c:scaling>
          <c:orientation val="minMax"/>
          <c:max val="100"/>
        </c:scaling>
        <c:delete val="0"/>
        <c:axPos val="l"/>
        <c:majorGridlines>
          <c:spPr>
            <a:ln w="3175">
              <a:solidFill>
                <a:srgbClr val="000000"/>
              </a:solidFill>
              <a:prstDash val="sysDash"/>
            </a:ln>
          </c:spPr>
        </c:majorGridlines>
        <c:minorGridlines>
          <c:spPr>
            <a:ln w="0">
              <a:solidFill>
                <a:schemeClr val="bg1"/>
              </a:solidFill>
            </a:ln>
          </c:spPr>
        </c:minorGridlines>
        <c:title>
          <c:tx>
            <c:rich>
              <a:bodyPr/>
              <a:lstStyle/>
              <a:p>
                <a:pPr>
                  <a:defRPr sz="1025" b="0" i="0" u="none" strike="noStrike" baseline="0">
                    <a:solidFill>
                      <a:srgbClr val="000000"/>
                    </a:solidFill>
                    <a:latin typeface="Arial"/>
                    <a:ea typeface="Arial"/>
                    <a:cs typeface="Arial"/>
                  </a:defRPr>
                </a:pPr>
                <a:r>
                  <a:rPr lang="en-US"/>
                  <a:t>%</a:t>
                </a:r>
              </a:p>
            </c:rich>
          </c:tx>
          <c:layout>
            <c:manualLayout>
              <c:xMode val="edge"/>
              <c:yMode val="edge"/>
              <c:x val="7.4546450924403941E-3"/>
              <c:y val="0.2311236736433581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5420544"/>
        <c:crosses val="autoZero"/>
        <c:crossBetween val="between"/>
      </c:valAx>
      <c:spPr>
        <a:noFill/>
        <a:ln w="25400">
          <a:noFill/>
        </a:ln>
      </c:spPr>
    </c:plotArea>
    <c:legend>
      <c:legendPos val="r"/>
      <c:layout>
        <c:manualLayout>
          <c:xMode val="edge"/>
          <c:yMode val="edge"/>
          <c:x val="0.88531135531135341"/>
          <c:y val="0.24778727445394141"/>
          <c:w val="5.2417582417582424E-2"/>
          <c:h val="0.14355145777717998"/>
        </c:manualLayout>
      </c:layout>
      <c:overlay val="0"/>
      <c:spPr>
        <a:no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00B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Evolutia emisiilor de poluanti cu efect de acidifiere</a:t>
            </a:r>
          </a:p>
        </c:rich>
      </c:tx>
      <c:overlay val="1"/>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74323642237028E-2"/>
          <c:y val="0.10520875955144401"/>
          <c:w val="0.87984721817180778"/>
          <c:h val="0.78275766859941065"/>
        </c:manualLayout>
      </c:layout>
      <c:bar3DChart>
        <c:barDir val="col"/>
        <c:grouping val="standard"/>
        <c:varyColors val="0"/>
        <c:ser>
          <c:idx val="0"/>
          <c:order val="0"/>
          <c:tx>
            <c:strRef>
              <c:f>Sheet1!$A$4</c:f>
              <c:strCache>
                <c:ptCount val="1"/>
                <c:pt idx="0">
                  <c:v> SO2</c:v>
                </c:pt>
              </c:strCache>
            </c:strRef>
          </c:tx>
          <c:spPr>
            <a:solidFill>
              <a:schemeClr val="accent1">
                <a:lumMod val="40000"/>
                <a:lumOff val="60000"/>
              </a:schemeClr>
            </a:solidFill>
            <a:ln>
              <a:noFill/>
            </a:ln>
          </c:spPr>
          <c:invertIfNegative val="0"/>
          <c:cat>
            <c:numRef>
              <c:f>Sheet1!$B$3:$K$3</c:f>
              <c:numCache>
                <c:formatCode>0</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0.000</c:formatCode>
                <c:ptCount val="10"/>
                <c:pt idx="0">
                  <c:v>14757.661481533994</c:v>
                </c:pt>
                <c:pt idx="1">
                  <c:v>26613.599999999959</c:v>
                </c:pt>
                <c:pt idx="2">
                  <c:v>65351.199999999997</c:v>
                </c:pt>
                <c:pt idx="3">
                  <c:v>4405.1000000000004</c:v>
                </c:pt>
                <c:pt idx="4">
                  <c:v>1987.6</c:v>
                </c:pt>
                <c:pt idx="5">
                  <c:v>3070.9</c:v>
                </c:pt>
                <c:pt idx="6">
                  <c:v>0</c:v>
                </c:pt>
                <c:pt idx="8">
                  <c:v>121.062</c:v>
                </c:pt>
                <c:pt idx="9">
                  <c:v>527.74900000000002</c:v>
                </c:pt>
              </c:numCache>
            </c:numRef>
          </c:val>
        </c:ser>
        <c:ser>
          <c:idx val="1"/>
          <c:order val="1"/>
          <c:tx>
            <c:strRef>
              <c:f>Sheet1!$A$5</c:f>
              <c:strCache>
                <c:ptCount val="1"/>
                <c:pt idx="0">
                  <c:v> NOx</c:v>
                </c:pt>
              </c:strCache>
            </c:strRef>
          </c:tx>
          <c:spPr>
            <a:solidFill>
              <a:srgbClr val="92D050"/>
            </a:solidFill>
            <a:ln>
              <a:noFill/>
            </a:ln>
          </c:spPr>
          <c:invertIfNegative val="0"/>
          <c:cat>
            <c:numRef>
              <c:f>Sheet1!$B$3:$K$3</c:f>
              <c:numCache>
                <c:formatCode>0</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Sheet1!$B$5:$K$5</c:f>
              <c:numCache>
                <c:formatCode>0.000</c:formatCode>
                <c:ptCount val="10"/>
                <c:pt idx="0">
                  <c:v>7526.8243894607467</c:v>
                </c:pt>
                <c:pt idx="1">
                  <c:v>7607.8050847649893</c:v>
                </c:pt>
                <c:pt idx="2">
                  <c:v>12204.6</c:v>
                </c:pt>
                <c:pt idx="3">
                  <c:v>3857.4</c:v>
                </c:pt>
                <c:pt idx="4">
                  <c:v>6619.8</c:v>
                </c:pt>
                <c:pt idx="5">
                  <c:v>6650.4</c:v>
                </c:pt>
                <c:pt idx="6">
                  <c:v>27355.5</c:v>
                </c:pt>
                <c:pt idx="8">
                  <c:v>5526.817</c:v>
                </c:pt>
                <c:pt idx="9">
                  <c:v>7111.2130000000006</c:v>
                </c:pt>
              </c:numCache>
            </c:numRef>
          </c:val>
        </c:ser>
        <c:ser>
          <c:idx val="2"/>
          <c:order val="2"/>
          <c:tx>
            <c:strRef>
              <c:f>Sheet1!$A$6</c:f>
              <c:strCache>
                <c:ptCount val="1"/>
                <c:pt idx="0">
                  <c:v> NH3</c:v>
                </c:pt>
              </c:strCache>
            </c:strRef>
          </c:tx>
          <c:spPr>
            <a:solidFill>
              <a:srgbClr val="FF0000"/>
            </a:solidFill>
            <a:ln>
              <a:noFill/>
            </a:ln>
          </c:spPr>
          <c:invertIfNegative val="0"/>
          <c:cat>
            <c:numRef>
              <c:f>Sheet1!$B$3:$K$3</c:f>
              <c:numCache>
                <c:formatCode>0</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Sheet1!$B$6:$K$6</c:f>
              <c:numCache>
                <c:formatCode>0.000</c:formatCode>
                <c:ptCount val="10"/>
                <c:pt idx="0">
                  <c:v>367.8548781427765</c:v>
                </c:pt>
                <c:pt idx="1">
                  <c:v>582.77960000000053</c:v>
                </c:pt>
                <c:pt idx="2">
                  <c:v>272.89999999999969</c:v>
                </c:pt>
                <c:pt idx="3">
                  <c:v>1474</c:v>
                </c:pt>
                <c:pt idx="4">
                  <c:v>48</c:v>
                </c:pt>
                <c:pt idx="5">
                  <c:v>385.9</c:v>
                </c:pt>
                <c:pt idx="6">
                  <c:v>1122.4000000000001</c:v>
                </c:pt>
                <c:pt idx="8">
                  <c:v>2250.4679999999998</c:v>
                </c:pt>
                <c:pt idx="9">
                  <c:v>1047.877</c:v>
                </c:pt>
              </c:numCache>
            </c:numRef>
          </c:val>
        </c:ser>
        <c:ser>
          <c:idx val="3"/>
          <c:order val="3"/>
          <c:tx>
            <c:strRef>
              <c:f>Sheet1!$A$7</c:f>
              <c:strCache>
                <c:ptCount val="1"/>
                <c:pt idx="0">
                  <c:v>echivalent acidifiere</c:v>
                </c:pt>
              </c:strCache>
            </c:strRef>
          </c:tx>
          <c:spPr>
            <a:solidFill>
              <a:srgbClr val="FFC000"/>
            </a:solidFill>
          </c:spPr>
          <c:invertIfNegative val="0"/>
          <c:cat>
            <c:numRef>
              <c:f>Sheet1!$B$3:$K$3</c:f>
              <c:numCache>
                <c:formatCode>0</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Sheet1!$B$7:$K$7</c:f>
              <c:numCache>
                <c:formatCode>0.000</c:formatCode>
                <c:ptCount val="10"/>
                <c:pt idx="0">
                  <c:v>646.87676045810804</c:v>
                </c:pt>
                <c:pt idx="1">
                  <c:v>1032.3624908193949</c:v>
                </c:pt>
                <c:pt idx="2">
                  <c:v>2326.3788999999997</c:v>
                </c:pt>
                <c:pt idx="3">
                  <c:v>308.25640999999945</c:v>
                </c:pt>
                <c:pt idx="4">
                  <c:v>208.68394000000001</c:v>
                </c:pt>
                <c:pt idx="5">
                  <c:v>263.12377000000004</c:v>
                </c:pt>
                <c:pt idx="6">
                  <c:v>665.55220999999813</c:v>
                </c:pt>
                <c:pt idx="7">
                  <c:v>0</c:v>
                </c:pt>
                <c:pt idx="8">
                  <c:v>290.15185329999997</c:v>
                </c:pt>
                <c:pt idx="9" formatCode="General">
                  <c:v>381.11392670000004</c:v>
                </c:pt>
              </c:numCache>
            </c:numRef>
          </c:val>
        </c:ser>
        <c:dLbls>
          <c:showLegendKey val="0"/>
          <c:showVal val="0"/>
          <c:showCatName val="0"/>
          <c:showSerName val="0"/>
          <c:showPercent val="0"/>
          <c:showBubbleSize val="0"/>
        </c:dLbls>
        <c:gapWidth val="0"/>
        <c:shape val="box"/>
        <c:axId val="305441792"/>
        <c:axId val="305459968"/>
        <c:axId val="304653184"/>
      </c:bar3DChart>
      <c:catAx>
        <c:axId val="305441792"/>
        <c:scaling>
          <c:orientation val="minMax"/>
        </c:scaling>
        <c:delete val="0"/>
        <c:axPos val="b"/>
        <c:numFmt formatCode="0" sourceLinked="1"/>
        <c:majorTickMark val="out"/>
        <c:minorTickMark val="none"/>
        <c:tickLblPos val="nextTo"/>
        <c:txPr>
          <a:bodyPr/>
          <a:lstStyle/>
          <a:p>
            <a:pPr>
              <a:defRPr>
                <a:latin typeface="Arial" pitchFamily="34" charset="0"/>
                <a:cs typeface="Arial" pitchFamily="34" charset="0"/>
              </a:defRPr>
            </a:pPr>
            <a:endParaRPr lang="en-US"/>
          </a:p>
        </c:txPr>
        <c:crossAx val="305459968"/>
        <c:crosses val="autoZero"/>
        <c:auto val="1"/>
        <c:lblAlgn val="ctr"/>
        <c:lblOffset val="100"/>
        <c:noMultiLvlLbl val="0"/>
      </c:catAx>
      <c:valAx>
        <c:axId val="305459968"/>
        <c:scaling>
          <c:orientation val="minMax"/>
          <c:max val="70000"/>
          <c:min val="0"/>
        </c:scaling>
        <c:delete val="0"/>
        <c:axPos val="l"/>
        <c:majorGridlines>
          <c:spPr>
            <a:ln>
              <a:solidFill>
                <a:schemeClr val="bg1">
                  <a:lumMod val="85000"/>
                </a:schemeClr>
              </a:solidFill>
              <a:prstDash val="sysDot"/>
            </a:ln>
          </c:spPr>
        </c:majorGridlines>
        <c:title>
          <c:tx>
            <c:rich>
              <a:bodyPr rot="0" vert="horz"/>
              <a:lstStyle/>
              <a:p>
                <a:pPr>
                  <a:defRPr b="1" i="0" baseline="0">
                    <a:latin typeface="Arial" pitchFamily="34" charset="0"/>
                  </a:defRPr>
                </a:pPr>
                <a:r>
                  <a:rPr lang="en-US" b="1" i="0" baseline="0">
                    <a:latin typeface="Arial" pitchFamily="34" charset="0"/>
                  </a:rPr>
                  <a:t>t</a:t>
                </a:r>
              </a:p>
            </c:rich>
          </c:tx>
          <c:layout>
            <c:manualLayout>
              <c:xMode val="edge"/>
              <c:yMode val="edge"/>
              <c:x val="7.1295342889831081E-2"/>
              <c:y val="0.10906659481253067"/>
            </c:manualLayout>
          </c:layout>
          <c:overlay val="0"/>
        </c:title>
        <c:numFmt formatCode="0.000" sourceLinked="1"/>
        <c:majorTickMark val="out"/>
        <c:minorTickMark val="none"/>
        <c:tickLblPos val="nextTo"/>
        <c:txPr>
          <a:bodyPr/>
          <a:lstStyle/>
          <a:p>
            <a:pPr>
              <a:defRPr>
                <a:latin typeface="Arial" pitchFamily="34" charset="0"/>
                <a:cs typeface="Arial" pitchFamily="34" charset="0"/>
              </a:defRPr>
            </a:pPr>
            <a:endParaRPr lang="en-US"/>
          </a:p>
        </c:txPr>
        <c:crossAx val="305441792"/>
        <c:crosses val="autoZero"/>
        <c:crossBetween val="between"/>
      </c:valAx>
      <c:serAx>
        <c:axId val="304653184"/>
        <c:scaling>
          <c:orientation val="minMax"/>
        </c:scaling>
        <c:delete val="0"/>
        <c:axPos val="b"/>
        <c:majorTickMark val="out"/>
        <c:minorTickMark val="none"/>
        <c:tickLblPos val="nextTo"/>
        <c:txPr>
          <a:bodyPr/>
          <a:lstStyle/>
          <a:p>
            <a:pPr>
              <a:defRPr sz="900" baseline="30000"/>
            </a:pPr>
            <a:endParaRPr lang="en-US"/>
          </a:p>
        </c:txPr>
        <c:crossAx val="305459968"/>
        <c:crosses val="autoZero"/>
      </c:serAx>
    </c:plotArea>
    <c:legend>
      <c:legendPos val="r"/>
      <c:layout>
        <c:manualLayout>
          <c:xMode val="edge"/>
          <c:yMode val="edge"/>
          <c:x val="0.3987522765879955"/>
          <c:y val="0.26583817174368457"/>
          <c:w val="0.42803231308148737"/>
          <c:h val="6.4824624194702932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cu efect de acidifiere si eutrofizare din sectorul de activitate energie</a:t>
            </a:r>
          </a:p>
        </c:rich>
      </c:tx>
      <c:layout>
        <c:manualLayout>
          <c:xMode val="edge"/>
          <c:yMode val="edge"/>
          <c:x val="0.15392337976983644"/>
          <c:y val="2.3311176339643941E-2"/>
        </c:manualLayout>
      </c:layout>
      <c:overlay val="1"/>
    </c:title>
    <c:autoTitleDeleted val="0"/>
    <c:plotArea>
      <c:layout>
        <c:manualLayout>
          <c:layoutTarget val="inner"/>
          <c:xMode val="edge"/>
          <c:yMode val="edge"/>
          <c:x val="9.7931855740254745E-2"/>
          <c:y val="0.18038568811190175"/>
          <c:w val="0.87984721817180633"/>
          <c:h val="0.71658498039192753"/>
        </c:manualLayout>
      </c:layout>
      <c:barChart>
        <c:barDir val="col"/>
        <c:grouping val="clustered"/>
        <c:varyColors val="0"/>
        <c:ser>
          <c:idx val="1"/>
          <c:order val="0"/>
          <c:tx>
            <c:strRef>
              <c:f>Sheet1!$A$4</c:f>
              <c:strCache>
                <c:ptCount val="1"/>
                <c:pt idx="0">
                  <c:v>NOX </c:v>
                </c:pt>
              </c:strCache>
            </c:strRef>
          </c:tx>
          <c:spPr>
            <a:solidFill>
              <a:srgbClr val="00B050"/>
            </a:solidFill>
            <a:ln>
              <a:solidFill>
                <a:srgbClr val="00B050"/>
              </a:solid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0">
                  <c:v>1619.9178245273829</c:v>
                </c:pt>
                <c:pt idx="1">
                  <c:v>1711.3697237486931</c:v>
                </c:pt>
                <c:pt idx="2">
                  <c:v>3843.2823449846696</c:v>
                </c:pt>
                <c:pt idx="3">
                  <c:v>535.59340883000004</c:v>
                </c:pt>
                <c:pt idx="5" formatCode="0.000">
                  <c:v>1825.367280160661</c:v>
                </c:pt>
                <c:pt idx="6">
                  <c:v>393.98848365656357</c:v>
                </c:pt>
                <c:pt idx="8">
                  <c:v>442.24099999999999</c:v>
                </c:pt>
                <c:pt idx="9">
                  <c:v>533.56899999999996</c:v>
                </c:pt>
              </c:numCache>
            </c:numRef>
          </c:val>
        </c:ser>
        <c:dLbls>
          <c:showLegendKey val="0"/>
          <c:showVal val="0"/>
          <c:showCatName val="0"/>
          <c:showSerName val="0"/>
          <c:showPercent val="0"/>
          <c:showBubbleSize val="0"/>
        </c:dLbls>
        <c:gapWidth val="20"/>
        <c:overlap val="60"/>
        <c:axId val="305501312"/>
        <c:axId val="305503232"/>
      </c:barChart>
      <c:lineChart>
        <c:grouping val="standard"/>
        <c:varyColors val="0"/>
        <c:ser>
          <c:idx val="0"/>
          <c:order val="1"/>
          <c:tx>
            <c:strRef>
              <c:f>Sheet1!$A$3</c:f>
              <c:strCache>
                <c:ptCount val="1"/>
                <c:pt idx="0">
                  <c:v>SO2 </c:v>
                </c:pt>
              </c:strCache>
            </c:strRef>
          </c:tx>
          <c:spPr>
            <a:ln>
              <a:solidFill>
                <a:schemeClr val="tx2">
                  <a:lumMod val="75000"/>
                </a:schemeClr>
              </a:solidFill>
            </a:ln>
          </c:spPr>
          <c:marker>
            <c:symbol val="diamond"/>
            <c:size val="6"/>
            <c:spPr>
              <a:solidFill>
                <a:schemeClr val="tx2">
                  <a:lumMod val="75000"/>
                </a:schemeClr>
              </a:solidFill>
              <a:ln w="3175">
                <a:solidFill>
                  <a:srgbClr val="1F497D">
                    <a:lumMod val="75000"/>
                  </a:srgbClr>
                </a:solidFill>
              </a:ln>
            </c:spPr>
          </c:marker>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2786.1211016310672</c:v>
                </c:pt>
                <c:pt idx="1">
                  <c:v>15296.468987301731</c:v>
                </c:pt>
                <c:pt idx="2">
                  <c:v>48462.546811183201</c:v>
                </c:pt>
                <c:pt idx="3">
                  <c:v>320.14631114099973</c:v>
                </c:pt>
                <c:pt idx="5">
                  <c:v>883.23561644916958</c:v>
                </c:pt>
                <c:pt idx="6">
                  <c:v>13.34985417133802</c:v>
                </c:pt>
                <c:pt idx="8">
                  <c:v>90.989000000000004</c:v>
                </c:pt>
                <c:pt idx="9">
                  <c:v>25.550999999999988</c:v>
                </c:pt>
              </c:numCache>
            </c:numRef>
          </c:val>
          <c:smooth val="0"/>
        </c:ser>
        <c:dLbls>
          <c:showLegendKey val="0"/>
          <c:showVal val="0"/>
          <c:showCatName val="0"/>
          <c:showSerName val="0"/>
          <c:showPercent val="0"/>
          <c:showBubbleSize val="0"/>
        </c:dLbls>
        <c:marker val="1"/>
        <c:smooth val="0"/>
        <c:axId val="305501312"/>
        <c:axId val="305503232"/>
      </c:lineChart>
      <c:lineChart>
        <c:grouping val="standard"/>
        <c:varyColors val="0"/>
        <c:ser>
          <c:idx val="2"/>
          <c:order val="2"/>
          <c:tx>
            <c:strRef>
              <c:f>Sheet1!$A$5</c:f>
              <c:strCache>
                <c:ptCount val="1"/>
                <c:pt idx="0">
                  <c:v>NH3</c:v>
                </c:pt>
              </c:strCache>
            </c:strRef>
          </c:tx>
          <c:spPr>
            <a:ln>
              <a:solidFill>
                <a:srgbClr val="FF0000"/>
              </a:solidFill>
            </a:ln>
          </c:spPr>
          <c:marker>
            <c:symbol val="triangle"/>
            <c:size val="4"/>
            <c:spPr>
              <a:solidFill>
                <a:srgbClr val="FF0000"/>
              </a:solidFill>
              <a:ln>
                <a:solidFill>
                  <a:srgbClr val="FF0000"/>
                </a:solidFill>
              </a:ln>
            </c:spPr>
          </c:marker>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Sheet1!$B$5:$K$5</c:f>
              <c:numCache>
                <c:formatCode>General</c:formatCode>
                <c:ptCount val="10"/>
                <c:pt idx="0">
                  <c:v>1.7689643318377879</c:v>
                </c:pt>
                <c:pt idx="1">
                  <c:v>2.9581400286168487</c:v>
                </c:pt>
                <c:pt idx="2">
                  <c:v>2.9364007258205267</c:v>
                </c:pt>
                <c:pt idx="5" formatCode="0.000">
                  <c:v>0.315893732846797</c:v>
                </c:pt>
                <c:pt idx="6">
                  <c:v>1.0049999999999986</c:v>
                </c:pt>
              </c:numCache>
            </c:numRef>
          </c:val>
          <c:smooth val="0"/>
        </c:ser>
        <c:dLbls>
          <c:showLegendKey val="0"/>
          <c:showVal val="0"/>
          <c:showCatName val="0"/>
          <c:showSerName val="0"/>
          <c:showPercent val="0"/>
          <c:showBubbleSize val="0"/>
        </c:dLbls>
        <c:marker val="1"/>
        <c:smooth val="0"/>
        <c:axId val="305515136"/>
        <c:axId val="305513600"/>
      </c:lineChart>
      <c:catAx>
        <c:axId val="305501312"/>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05503232"/>
        <c:crosses val="autoZero"/>
        <c:auto val="1"/>
        <c:lblAlgn val="ctr"/>
        <c:lblOffset val="100"/>
        <c:noMultiLvlLbl val="0"/>
      </c:catAx>
      <c:valAx>
        <c:axId val="305503232"/>
        <c:scaling>
          <c:orientation val="minMax"/>
          <c:max val="550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8.8788113568011501E-2"/>
              <c:y val="0.12955655035043276"/>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05501312"/>
        <c:crosses val="autoZero"/>
        <c:crossBetween val="between"/>
        <c:majorUnit val="5000"/>
      </c:valAx>
      <c:valAx>
        <c:axId val="305513600"/>
        <c:scaling>
          <c:orientation val="minMax"/>
          <c:max val="4"/>
        </c:scaling>
        <c:delete val="0"/>
        <c:axPos val="r"/>
        <c:numFmt formatCode="General" sourceLinked="1"/>
        <c:majorTickMark val="out"/>
        <c:minorTickMark val="none"/>
        <c:tickLblPos val="nextTo"/>
        <c:spPr>
          <a:ln w="34925">
            <a:solidFill>
              <a:srgbClr val="FF0000"/>
            </a:solidFill>
          </a:ln>
        </c:spPr>
        <c:txPr>
          <a:bodyPr/>
          <a:lstStyle/>
          <a:p>
            <a:pPr>
              <a:defRPr>
                <a:solidFill>
                  <a:srgbClr val="FF0000"/>
                </a:solidFill>
                <a:latin typeface="Arial" pitchFamily="34" charset="0"/>
                <a:cs typeface="Arial" pitchFamily="34" charset="0"/>
              </a:defRPr>
            </a:pPr>
            <a:endParaRPr lang="en-US"/>
          </a:p>
        </c:txPr>
        <c:crossAx val="305515136"/>
        <c:crosses val="max"/>
        <c:crossBetween val="between"/>
      </c:valAx>
      <c:catAx>
        <c:axId val="305515136"/>
        <c:scaling>
          <c:orientation val="minMax"/>
        </c:scaling>
        <c:delete val="1"/>
        <c:axPos val="b"/>
        <c:title>
          <c:tx>
            <c:rich>
              <a:bodyPr/>
              <a:lstStyle/>
              <a:p>
                <a:pPr>
                  <a:defRPr b="0">
                    <a:solidFill>
                      <a:srgbClr val="FF0000"/>
                    </a:solidFill>
                    <a:latin typeface="Arial" pitchFamily="34" charset="0"/>
                    <a:cs typeface="Arial" pitchFamily="34" charset="0"/>
                  </a:defRPr>
                </a:pPr>
                <a:r>
                  <a:rPr lang="en-US" b="0">
                    <a:solidFill>
                      <a:srgbClr val="FF0000"/>
                    </a:solidFill>
                    <a:latin typeface="Arial" pitchFamily="34" charset="0"/>
                    <a:cs typeface="Arial" pitchFamily="34" charset="0"/>
                  </a:rPr>
                  <a:t> NH3 t</a:t>
                </a:r>
              </a:p>
            </c:rich>
          </c:tx>
          <c:layout>
            <c:manualLayout>
              <c:xMode val="edge"/>
              <c:yMode val="edge"/>
              <c:x val="0.9069942287081989"/>
              <c:y val="0.11349032572590001"/>
            </c:manualLayout>
          </c:layout>
          <c:overlay val="0"/>
        </c:title>
        <c:numFmt formatCode="General" sourceLinked="1"/>
        <c:majorTickMark val="out"/>
        <c:minorTickMark val="none"/>
        <c:tickLblPos val="nextTo"/>
        <c:crossAx val="305513600"/>
        <c:crosses val="autoZero"/>
        <c:auto val="1"/>
        <c:lblAlgn val="ctr"/>
        <c:lblOffset val="100"/>
        <c:noMultiLvlLbl val="0"/>
      </c:catAx>
    </c:plotArea>
    <c:legend>
      <c:legendPos val="r"/>
      <c:layout>
        <c:manualLayout>
          <c:xMode val="edge"/>
          <c:yMode val="edge"/>
          <c:x val="0.74501012109012699"/>
          <c:y val="0.31049161617697285"/>
          <c:w val="0.12818581011065683"/>
          <c:h val="0.19016907833659188"/>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O3 </a:t>
            </a:r>
            <a:r>
              <a:rPr lang="en-US" sz="1200" b="1" i="0" u="none" strike="noStrike" baseline="0"/>
              <a:t>- Evolutia concentratiilor medii anuale inregistrate </a:t>
            </a:r>
            <a:br>
              <a:rPr lang="en-US" sz="1200" b="1" i="0" u="none" strike="noStrike" baseline="0"/>
            </a:br>
            <a:r>
              <a:rPr lang="en-US" sz="1200" b="1" i="0" u="none" strike="noStrike" baseline="0"/>
              <a:t>
in anul 2017 la statiile de monitorizare</a:t>
            </a:r>
            <a:endParaRPr lang="en-US"/>
          </a:p>
        </c:rich>
      </c:tx>
      <c:layout>
        <c:manualLayout>
          <c:xMode val="edge"/>
          <c:yMode val="edge"/>
          <c:x val="0.24851206099237608"/>
          <c:y val="1.5194681861348529E-2"/>
        </c:manualLayout>
      </c:layout>
      <c:overlay val="0"/>
      <c:spPr>
        <a:noFill/>
        <a:ln w="25400">
          <a:noFill/>
        </a:ln>
      </c:spPr>
    </c:title>
    <c:autoTitleDeleted val="0"/>
    <c:plotArea>
      <c:layout>
        <c:manualLayout>
          <c:layoutTarget val="inner"/>
          <c:xMode val="edge"/>
          <c:yMode val="edge"/>
          <c:x val="6.1011993425632211E-2"/>
          <c:y val="0.15384658188262873"/>
          <c:w val="0.9092275117819818"/>
          <c:h val="0.74359181243270533"/>
        </c:manualLayout>
      </c:layout>
      <c:barChart>
        <c:barDir val="col"/>
        <c:grouping val="clustered"/>
        <c:varyColors val="0"/>
        <c:ser>
          <c:idx val="0"/>
          <c:order val="0"/>
          <c:tx>
            <c:strRef>
              <c:f>Sheet1!$A$2</c:f>
              <c:strCache>
                <c:ptCount val="1"/>
                <c:pt idx="0">
                  <c:v>2017</c:v>
                </c:pt>
              </c:strCache>
            </c:strRef>
          </c:tx>
          <c:spPr>
            <a:solidFill>
              <a:srgbClr val="FFCC00"/>
            </a:solidFill>
            <a:ln w="25400">
              <a:noFill/>
            </a:ln>
          </c:spPr>
          <c:invertIfNegative val="0"/>
          <c:cat>
            <c:strRef>
              <c:f>Sheet1!$B$1:$F$1</c:f>
              <c:strCache>
                <c:ptCount val="5"/>
                <c:pt idx="0">
                  <c:v>CT-2</c:v>
                </c:pt>
                <c:pt idx="1">
                  <c:v>CT-3 </c:v>
                </c:pt>
                <c:pt idx="2">
                  <c:v>CT-5 </c:v>
                </c:pt>
                <c:pt idx="3">
                  <c:v>CT-6 </c:v>
                </c:pt>
                <c:pt idx="4">
                  <c:v>CT-7</c:v>
                </c:pt>
              </c:strCache>
            </c:strRef>
          </c:cat>
          <c:val>
            <c:numRef>
              <c:f>Sheet1!$B$2:$F$2</c:f>
              <c:numCache>
                <c:formatCode>General</c:formatCode>
                <c:ptCount val="5"/>
                <c:pt idx="0">
                  <c:v>50.53</c:v>
                </c:pt>
                <c:pt idx="1">
                  <c:v>56</c:v>
                </c:pt>
                <c:pt idx="2">
                  <c:v>47.99</c:v>
                </c:pt>
                <c:pt idx="3">
                  <c:v>55.11</c:v>
                </c:pt>
                <c:pt idx="4">
                  <c:v>51.46</c:v>
                </c:pt>
              </c:numCache>
            </c:numRef>
          </c:val>
        </c:ser>
        <c:dLbls>
          <c:showLegendKey val="0"/>
          <c:showVal val="0"/>
          <c:showCatName val="0"/>
          <c:showSerName val="0"/>
          <c:showPercent val="0"/>
          <c:showBubbleSize val="0"/>
        </c:dLbls>
        <c:gapWidth val="150"/>
        <c:axId val="303464448"/>
        <c:axId val="303465984"/>
      </c:barChart>
      <c:lineChart>
        <c:grouping val="stacked"/>
        <c:varyColors val="0"/>
        <c:ser>
          <c:idx val="1"/>
          <c:order val="1"/>
          <c:tx>
            <c:strRef>
              <c:f>Sheet1!$A$3</c:f>
              <c:strCache>
                <c:ptCount val="1"/>
                <c:pt idx="0">
                  <c:v>val max zilnica a mediilor dintr-un an</c:v>
                </c:pt>
              </c:strCache>
            </c:strRef>
          </c:tx>
          <c:spPr>
            <a:ln w="25400">
              <a:solidFill>
                <a:srgbClr val="FF0000"/>
              </a:solidFill>
              <a:prstDash val="solid"/>
            </a:ln>
          </c:spPr>
          <c:marker>
            <c:symbol val="none"/>
          </c:marker>
          <c:cat>
            <c:strRef>
              <c:f>Sheet1!$B$1:$F$1</c:f>
              <c:strCache>
                <c:ptCount val="5"/>
                <c:pt idx="0">
                  <c:v>CT-2</c:v>
                </c:pt>
                <c:pt idx="1">
                  <c:v>CT-3 </c:v>
                </c:pt>
                <c:pt idx="2">
                  <c:v>CT-5 </c:v>
                </c:pt>
                <c:pt idx="3">
                  <c:v>CT-6 </c:v>
                </c:pt>
                <c:pt idx="4">
                  <c:v>CT-7</c:v>
                </c:pt>
              </c:strCache>
            </c:strRef>
          </c:cat>
          <c:val>
            <c:numRef>
              <c:f>Sheet1!$B$3:$F$3</c:f>
              <c:numCache>
                <c:formatCode>General</c:formatCode>
                <c:ptCount val="5"/>
                <c:pt idx="0">
                  <c:v>120</c:v>
                </c:pt>
                <c:pt idx="1">
                  <c:v>120</c:v>
                </c:pt>
                <c:pt idx="2">
                  <c:v>120</c:v>
                </c:pt>
                <c:pt idx="3">
                  <c:v>120</c:v>
                </c:pt>
                <c:pt idx="4">
                  <c:v>120</c:v>
                </c:pt>
              </c:numCache>
            </c:numRef>
          </c:val>
          <c:smooth val="0"/>
        </c:ser>
        <c:dLbls>
          <c:showLegendKey val="0"/>
          <c:showVal val="0"/>
          <c:showCatName val="0"/>
          <c:showSerName val="0"/>
          <c:showPercent val="0"/>
          <c:showBubbleSize val="0"/>
        </c:dLbls>
        <c:marker val="1"/>
        <c:smooth val="0"/>
        <c:axId val="303464448"/>
        <c:axId val="303465984"/>
      </c:lineChart>
      <c:catAx>
        <c:axId val="3034644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465984"/>
        <c:crosses val="autoZero"/>
        <c:auto val="1"/>
        <c:lblAlgn val="ctr"/>
        <c:lblOffset val="100"/>
        <c:tickLblSkip val="1"/>
        <c:tickMarkSkip val="1"/>
        <c:noMultiLvlLbl val="0"/>
      </c:catAx>
      <c:valAx>
        <c:axId val="303465984"/>
        <c:scaling>
          <c:orientation val="minMax"/>
          <c:max val="140"/>
        </c:scaling>
        <c:delete val="0"/>
        <c:axPos val="l"/>
        <c:majorGridlines>
          <c:spPr>
            <a:ln w="3175">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464448"/>
        <c:crosses val="autoZero"/>
        <c:crossBetween val="between"/>
      </c:valAx>
      <c:spPr>
        <a:noFill/>
        <a:ln w="25400">
          <a:noFill/>
        </a:ln>
      </c:spPr>
    </c:plotArea>
    <c:legend>
      <c:legendPos val="r"/>
      <c:legendEntry>
        <c:idx val="0"/>
        <c:delete val="1"/>
      </c:legendEntry>
      <c:layout>
        <c:manualLayout>
          <c:xMode val="edge"/>
          <c:yMode val="edge"/>
          <c:x val="0.10863126484189482"/>
          <c:y val="0.28205188026710332"/>
          <c:w val="0.865576334208224"/>
          <c:h val="7.2175037949316206E-2"/>
        </c:manualLayout>
      </c:layout>
      <c:overlay val="0"/>
      <c:spPr>
        <a:noFill/>
        <a:ln w="25400">
          <a:noFill/>
        </a:ln>
      </c:spPr>
      <c:txPr>
        <a:bodyPr/>
        <a:lstStyle/>
        <a:p>
          <a:pPr>
            <a:defRPr sz="94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25400">
      <a:solidFill>
        <a:srgbClr val="92D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cu efect de acidifiere si eutrofizare din sectorul de activitate industrie</a:t>
            </a:r>
          </a:p>
        </c:rich>
      </c:tx>
      <c:overlay val="1"/>
    </c:title>
    <c:autoTitleDeleted val="0"/>
    <c:plotArea>
      <c:layout>
        <c:manualLayout>
          <c:layoutTarget val="inner"/>
          <c:xMode val="edge"/>
          <c:yMode val="edge"/>
          <c:x val="9.7931855740254745E-2"/>
          <c:y val="0.16484485012421971"/>
          <c:w val="0.87984721817180656"/>
          <c:h val="0.7321258183796131"/>
        </c:manualLayout>
      </c:layout>
      <c:barChart>
        <c:barDir val="col"/>
        <c:grouping val="clustered"/>
        <c:varyColors val="0"/>
        <c:ser>
          <c:idx val="1"/>
          <c:order val="1"/>
          <c:tx>
            <c:strRef>
              <c:f>Sheet1!$A$4</c:f>
              <c:strCache>
                <c:ptCount val="1"/>
                <c:pt idx="0">
                  <c:v>NOX </c:v>
                </c:pt>
              </c:strCache>
            </c:strRef>
          </c:tx>
          <c:spPr>
            <a:solidFill>
              <a:srgbClr val="FFC000"/>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0">
                  <c:v>5450.9249481860088</c:v>
                </c:pt>
                <c:pt idx="1">
                  <c:v>5160.9254449646814</c:v>
                </c:pt>
                <c:pt idx="2">
                  <c:v>2092.8632742553209</c:v>
                </c:pt>
                <c:pt idx="3">
                  <c:v>5044.6287307000002</c:v>
                </c:pt>
                <c:pt idx="5" formatCode="0.000">
                  <c:v>1128.3664293979828</c:v>
                </c:pt>
                <c:pt idx="6">
                  <c:v>1234.5346318975105</c:v>
                </c:pt>
                <c:pt idx="8">
                  <c:v>251.38100000000017</c:v>
                </c:pt>
                <c:pt idx="9">
                  <c:v>982.00400000000002</c:v>
                </c:pt>
              </c:numCache>
            </c:numRef>
          </c:val>
        </c:ser>
        <c:dLbls>
          <c:showLegendKey val="0"/>
          <c:showVal val="0"/>
          <c:showCatName val="0"/>
          <c:showSerName val="0"/>
          <c:showPercent val="0"/>
          <c:showBubbleSize val="0"/>
        </c:dLbls>
        <c:gapWidth val="209"/>
        <c:overlap val="-100"/>
        <c:axId val="305617152"/>
        <c:axId val="305623424"/>
      </c:barChart>
      <c:barChart>
        <c:barDir val="col"/>
        <c:grouping val="clustered"/>
        <c:varyColors val="0"/>
        <c:ser>
          <c:idx val="2"/>
          <c:order val="2"/>
          <c:tx>
            <c:strRef>
              <c:f>Sheet1!$A$5</c:f>
              <c:strCache>
                <c:ptCount val="1"/>
                <c:pt idx="0">
                  <c:v>NH3</c:v>
                </c:pt>
              </c:strCache>
            </c:strRef>
          </c:tx>
          <c:spPr>
            <a:solidFill>
              <a:srgbClr val="FF0000"/>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Sheet1!$B$5:$K$5</c:f>
              <c:numCache>
                <c:formatCode>General</c:formatCode>
                <c:ptCount val="10"/>
                <c:pt idx="0">
                  <c:v>2.0065340335352069</c:v>
                </c:pt>
                <c:pt idx="1">
                  <c:v>0.20740187759720033</c:v>
                </c:pt>
                <c:pt idx="2">
                  <c:v>0.19894582769520022</c:v>
                </c:pt>
                <c:pt idx="5" formatCode="00.000">
                  <c:v>1.00312E-4</c:v>
                </c:pt>
                <c:pt idx="6">
                  <c:v>1.00494004639169</c:v>
                </c:pt>
                <c:pt idx="8">
                  <c:v>3.9579999999999997</c:v>
                </c:pt>
                <c:pt idx="9">
                  <c:v>9.4040000000000035</c:v>
                </c:pt>
              </c:numCache>
            </c:numRef>
          </c:val>
        </c:ser>
        <c:dLbls>
          <c:showLegendKey val="0"/>
          <c:showVal val="0"/>
          <c:showCatName val="0"/>
          <c:showSerName val="0"/>
          <c:showPercent val="0"/>
          <c:showBubbleSize val="0"/>
        </c:dLbls>
        <c:gapWidth val="500"/>
        <c:overlap val="-100"/>
        <c:axId val="305631232"/>
        <c:axId val="305625344"/>
      </c:barChart>
      <c:lineChart>
        <c:grouping val="standard"/>
        <c:varyColors val="0"/>
        <c:ser>
          <c:idx val="0"/>
          <c:order val="0"/>
          <c:tx>
            <c:strRef>
              <c:f>Sheet1!$A$3</c:f>
              <c:strCache>
                <c:ptCount val="1"/>
                <c:pt idx="0">
                  <c:v>SO2 </c:v>
                </c:pt>
              </c:strCache>
            </c:strRef>
          </c:tx>
          <c:spPr>
            <a:ln>
              <a:solidFill>
                <a:srgbClr val="002060"/>
              </a:solidFill>
            </a:ln>
          </c:spPr>
          <c:marker>
            <c:spPr>
              <a:solidFill>
                <a:srgbClr val="002060"/>
              </a:solidFill>
            </c:spPr>
          </c:marker>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11963.579096846952</c:v>
                </c:pt>
                <c:pt idx="1">
                  <c:v>11263.246781327916</c:v>
                </c:pt>
                <c:pt idx="2">
                  <c:v>7881.4497680980885</c:v>
                </c:pt>
                <c:pt idx="3">
                  <c:v>3686.4732083900012</c:v>
                </c:pt>
                <c:pt idx="5">
                  <c:v>2187.713113513983</c:v>
                </c:pt>
                <c:pt idx="6">
                  <c:v>142.47279650939623</c:v>
                </c:pt>
                <c:pt idx="8">
                  <c:v>9.282</c:v>
                </c:pt>
                <c:pt idx="9">
                  <c:v>353.61900000000031</c:v>
                </c:pt>
              </c:numCache>
            </c:numRef>
          </c:val>
          <c:smooth val="0"/>
        </c:ser>
        <c:dLbls>
          <c:showLegendKey val="0"/>
          <c:showVal val="0"/>
          <c:showCatName val="0"/>
          <c:showSerName val="0"/>
          <c:showPercent val="0"/>
          <c:showBubbleSize val="0"/>
        </c:dLbls>
        <c:marker val="1"/>
        <c:smooth val="0"/>
        <c:axId val="305617152"/>
        <c:axId val="305623424"/>
      </c:lineChart>
      <c:catAx>
        <c:axId val="305617152"/>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05623424"/>
        <c:crosses val="autoZero"/>
        <c:auto val="1"/>
        <c:lblAlgn val="ctr"/>
        <c:lblOffset val="100"/>
        <c:noMultiLvlLbl val="0"/>
      </c:catAx>
      <c:valAx>
        <c:axId val="305623424"/>
        <c:scaling>
          <c:orientation val="minMax"/>
          <c:max val="200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9.8765432098765843E-2"/>
              <c:y val="9.5790715554495226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05617152"/>
        <c:crosses val="autoZero"/>
        <c:crossBetween val="between"/>
      </c:valAx>
      <c:valAx>
        <c:axId val="305625344"/>
        <c:scaling>
          <c:orientation val="minMax"/>
          <c:max val="10"/>
        </c:scaling>
        <c:delete val="0"/>
        <c:axPos val="r"/>
        <c:numFmt formatCode="General" sourceLinked="1"/>
        <c:majorTickMark val="out"/>
        <c:minorTickMark val="none"/>
        <c:tickLblPos val="nextTo"/>
        <c:spPr>
          <a:ln w="34925">
            <a:solidFill>
              <a:srgbClr val="FF0000"/>
            </a:solidFill>
          </a:ln>
        </c:spPr>
        <c:txPr>
          <a:bodyPr/>
          <a:lstStyle/>
          <a:p>
            <a:pPr>
              <a:defRPr>
                <a:solidFill>
                  <a:srgbClr val="FF0000"/>
                </a:solidFill>
                <a:latin typeface="Arial" pitchFamily="34" charset="0"/>
                <a:cs typeface="Arial" pitchFamily="34" charset="0"/>
              </a:defRPr>
            </a:pPr>
            <a:endParaRPr lang="en-US"/>
          </a:p>
        </c:txPr>
        <c:crossAx val="305631232"/>
        <c:crosses val="max"/>
        <c:crossBetween val="between"/>
      </c:valAx>
      <c:catAx>
        <c:axId val="305631232"/>
        <c:scaling>
          <c:orientation val="minMax"/>
        </c:scaling>
        <c:delete val="1"/>
        <c:axPos val="b"/>
        <c:title>
          <c:tx>
            <c:rich>
              <a:bodyPr/>
              <a:lstStyle/>
              <a:p>
                <a:pPr>
                  <a:defRPr b="0">
                    <a:solidFill>
                      <a:srgbClr val="FF0000"/>
                    </a:solidFill>
                    <a:latin typeface="Arial" pitchFamily="34" charset="0"/>
                    <a:cs typeface="Arial" pitchFamily="34" charset="0"/>
                  </a:defRPr>
                </a:pPr>
                <a:r>
                  <a:rPr lang="en-US" b="0">
                    <a:solidFill>
                      <a:srgbClr val="FF0000"/>
                    </a:solidFill>
                    <a:latin typeface="Arial" pitchFamily="34" charset="0"/>
                    <a:cs typeface="Arial" pitchFamily="34" charset="0"/>
                  </a:rPr>
                  <a:t>NH3 t</a:t>
                </a:r>
              </a:p>
            </c:rich>
          </c:tx>
          <c:layout>
            <c:manualLayout>
              <c:xMode val="edge"/>
              <c:yMode val="edge"/>
              <c:x val="0.91760906130627884"/>
              <c:y val="7.5453827650271352E-2"/>
            </c:manualLayout>
          </c:layout>
          <c:overlay val="0"/>
        </c:title>
        <c:numFmt formatCode="General" sourceLinked="1"/>
        <c:majorTickMark val="out"/>
        <c:minorTickMark val="none"/>
        <c:tickLblPos val="nextTo"/>
        <c:crossAx val="305625344"/>
        <c:crosses val="autoZero"/>
        <c:auto val="1"/>
        <c:lblAlgn val="ctr"/>
        <c:lblOffset val="100"/>
        <c:noMultiLvlLbl val="0"/>
      </c:catAx>
    </c:plotArea>
    <c:legend>
      <c:legendPos val="r"/>
      <c:layout>
        <c:manualLayout>
          <c:xMode val="edge"/>
          <c:yMode val="edge"/>
          <c:x val="0.26281608441738685"/>
          <c:y val="0.21533312123863305"/>
          <c:w val="0.54253409655557672"/>
          <c:h val="6.1244730772289653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cu efect de acidifiere si eutrofizare din sectorul de activitate  transport</a:t>
            </a:r>
          </a:p>
        </c:rich>
      </c:tx>
      <c:overlay val="1"/>
    </c:title>
    <c:autoTitleDeleted val="0"/>
    <c:plotArea>
      <c:layout>
        <c:manualLayout>
          <c:layoutTarget val="inner"/>
          <c:xMode val="edge"/>
          <c:yMode val="edge"/>
          <c:x val="9.7931855740254745E-2"/>
          <c:y val="0.12210769108406903"/>
          <c:w val="0.87984721817180656"/>
          <c:h val="0.78644052069248915"/>
        </c:manualLayout>
      </c:layout>
      <c:barChart>
        <c:barDir val="col"/>
        <c:grouping val="clustered"/>
        <c:varyColors val="0"/>
        <c:ser>
          <c:idx val="1"/>
          <c:order val="1"/>
          <c:tx>
            <c:strRef>
              <c:f>Sheet1!$A$4</c:f>
              <c:strCache>
                <c:ptCount val="1"/>
                <c:pt idx="0">
                  <c:v>NOX </c:v>
                </c:pt>
              </c:strCache>
            </c:strRef>
          </c:tx>
          <c:spPr>
            <a:solidFill>
              <a:srgbClr val="FFC000"/>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0">
                  <c:v>506.35910840697227</c:v>
                </c:pt>
                <c:pt idx="1">
                  <c:v>734.91928986330947</c:v>
                </c:pt>
                <c:pt idx="2">
                  <c:v>1814.1820422906742</c:v>
                </c:pt>
                <c:pt idx="3">
                  <c:v>8.6720000000000006</c:v>
                </c:pt>
                <c:pt idx="5">
                  <c:v>1318.711457552268</c:v>
                </c:pt>
                <c:pt idx="6">
                  <c:v>347.92682392939315</c:v>
                </c:pt>
                <c:pt idx="8">
                  <c:v>4696.2580000000007</c:v>
                </c:pt>
                <c:pt idx="9">
                  <c:v>5311.2739999999994</c:v>
                </c:pt>
              </c:numCache>
            </c:numRef>
          </c:val>
        </c:ser>
        <c:dLbls>
          <c:showLegendKey val="0"/>
          <c:showVal val="0"/>
          <c:showCatName val="0"/>
          <c:showSerName val="0"/>
          <c:showPercent val="0"/>
          <c:showBubbleSize val="0"/>
        </c:dLbls>
        <c:gapWidth val="209"/>
        <c:overlap val="-100"/>
        <c:axId val="318970880"/>
        <c:axId val="318973056"/>
      </c:barChart>
      <c:barChart>
        <c:barDir val="col"/>
        <c:grouping val="clustered"/>
        <c:varyColors val="0"/>
        <c:ser>
          <c:idx val="2"/>
          <c:order val="2"/>
          <c:tx>
            <c:strRef>
              <c:f>Sheet1!$A$5</c:f>
              <c:strCache>
                <c:ptCount val="1"/>
                <c:pt idx="0">
                  <c:v>NH3</c:v>
                </c:pt>
              </c:strCache>
            </c:strRef>
          </c:tx>
          <c:spPr>
            <a:solidFill>
              <a:srgbClr val="FF0000"/>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Sheet1!$B$5:$K$5</c:f>
              <c:numCache>
                <c:formatCode>General</c:formatCode>
                <c:ptCount val="10"/>
                <c:pt idx="0">
                  <c:v>2.3317619403000006E-2</c:v>
                </c:pt>
                <c:pt idx="1">
                  <c:v>0.31106060920870054</c:v>
                </c:pt>
                <c:pt idx="2">
                  <c:v>2.7451016348700025E-2</c:v>
                </c:pt>
                <c:pt idx="5">
                  <c:v>0.67098757099220008</c:v>
                </c:pt>
                <c:pt idx="6">
                  <c:v>9.7076612400000012E-2</c:v>
                </c:pt>
                <c:pt idx="8">
                  <c:v>21.158000000000001</c:v>
                </c:pt>
                <c:pt idx="9">
                  <c:v>24.451000000000001</c:v>
                </c:pt>
              </c:numCache>
            </c:numRef>
          </c:val>
        </c:ser>
        <c:dLbls>
          <c:showLegendKey val="0"/>
          <c:showVal val="0"/>
          <c:showCatName val="0"/>
          <c:showSerName val="0"/>
          <c:showPercent val="0"/>
          <c:showBubbleSize val="0"/>
        </c:dLbls>
        <c:gapWidth val="500"/>
        <c:overlap val="-100"/>
        <c:axId val="318993152"/>
        <c:axId val="318974976"/>
      </c:barChart>
      <c:lineChart>
        <c:grouping val="standard"/>
        <c:varyColors val="0"/>
        <c:ser>
          <c:idx val="0"/>
          <c:order val="0"/>
          <c:tx>
            <c:strRef>
              <c:f>Sheet1!$A$3</c:f>
              <c:strCache>
                <c:ptCount val="1"/>
                <c:pt idx="0">
                  <c:v>SO2 </c:v>
                </c:pt>
              </c:strCache>
            </c:strRef>
          </c:tx>
          <c:spPr>
            <a:ln>
              <a:solidFill>
                <a:schemeClr val="accent1"/>
              </a:solidFill>
            </a:ln>
          </c:spPr>
          <c:marker>
            <c:symbol val="diamond"/>
            <c:size val="8"/>
            <c:spPr>
              <a:solidFill>
                <a:srgbClr val="002060"/>
              </a:solidFill>
            </c:spPr>
          </c:marker>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9.9797418838270513</c:v>
                </c:pt>
                <c:pt idx="1">
                  <c:v>53.578659268368327</c:v>
                </c:pt>
                <c:pt idx="2">
                  <c:v>8.7527652750863343</c:v>
                </c:pt>
                <c:pt idx="3">
                  <c:v>2.1680000000000001</c:v>
                </c:pt>
                <c:pt idx="6">
                  <c:v>1.1189004586142255</c:v>
                </c:pt>
                <c:pt idx="8">
                  <c:v>0.26400000000000001</c:v>
                </c:pt>
                <c:pt idx="9">
                  <c:v>2.2490000000000001</c:v>
                </c:pt>
              </c:numCache>
            </c:numRef>
          </c:val>
          <c:smooth val="0"/>
        </c:ser>
        <c:dLbls>
          <c:showLegendKey val="0"/>
          <c:showVal val="0"/>
          <c:showCatName val="0"/>
          <c:showSerName val="0"/>
          <c:showPercent val="0"/>
          <c:showBubbleSize val="0"/>
        </c:dLbls>
        <c:marker val="1"/>
        <c:smooth val="0"/>
        <c:axId val="318970880"/>
        <c:axId val="318973056"/>
      </c:lineChart>
      <c:catAx>
        <c:axId val="318970880"/>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8973056"/>
        <c:crosses val="autoZero"/>
        <c:auto val="1"/>
        <c:lblAlgn val="ctr"/>
        <c:lblOffset val="100"/>
        <c:noMultiLvlLbl val="0"/>
      </c:catAx>
      <c:valAx>
        <c:axId val="318973056"/>
        <c:scaling>
          <c:orientation val="minMax"/>
          <c:max val="60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9.8765432098765843E-2"/>
              <c:y val="9.5790715554495226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8970880"/>
        <c:crosses val="autoZero"/>
        <c:crossBetween val="between"/>
      </c:valAx>
      <c:valAx>
        <c:axId val="318974976"/>
        <c:scaling>
          <c:orientation val="minMax"/>
          <c:max val="30"/>
        </c:scaling>
        <c:delete val="0"/>
        <c:axPos val="r"/>
        <c:numFmt formatCode="General" sourceLinked="1"/>
        <c:majorTickMark val="out"/>
        <c:minorTickMark val="none"/>
        <c:tickLblPos val="nextTo"/>
        <c:spPr>
          <a:ln w="34925">
            <a:solidFill>
              <a:srgbClr val="FF0000"/>
            </a:solidFill>
          </a:ln>
        </c:spPr>
        <c:txPr>
          <a:bodyPr/>
          <a:lstStyle/>
          <a:p>
            <a:pPr>
              <a:defRPr>
                <a:solidFill>
                  <a:srgbClr val="FF0000"/>
                </a:solidFill>
                <a:latin typeface="Arial" pitchFamily="34" charset="0"/>
                <a:cs typeface="Arial" pitchFamily="34" charset="0"/>
              </a:defRPr>
            </a:pPr>
            <a:endParaRPr lang="en-US"/>
          </a:p>
        </c:txPr>
        <c:crossAx val="318993152"/>
        <c:crosses val="max"/>
        <c:crossBetween val="between"/>
        <c:majorUnit val="5"/>
      </c:valAx>
      <c:catAx>
        <c:axId val="318993152"/>
        <c:scaling>
          <c:orientation val="minMax"/>
        </c:scaling>
        <c:delete val="1"/>
        <c:axPos val="b"/>
        <c:title>
          <c:tx>
            <c:rich>
              <a:bodyPr/>
              <a:lstStyle/>
              <a:p>
                <a:pPr>
                  <a:defRPr b="0">
                    <a:solidFill>
                      <a:srgbClr val="FF0000"/>
                    </a:solidFill>
                    <a:latin typeface="Arial" pitchFamily="34" charset="0"/>
                    <a:cs typeface="Arial" pitchFamily="34" charset="0"/>
                  </a:defRPr>
                </a:pPr>
                <a:r>
                  <a:rPr lang="en-US" b="0">
                    <a:solidFill>
                      <a:srgbClr val="FF0000"/>
                    </a:solidFill>
                    <a:latin typeface="Arial" pitchFamily="34" charset="0"/>
                    <a:cs typeface="Arial" pitchFamily="34" charset="0"/>
                  </a:rPr>
                  <a:t>NH3 t</a:t>
                </a:r>
              </a:p>
            </c:rich>
          </c:tx>
          <c:layout>
            <c:manualLayout>
              <c:xMode val="edge"/>
              <c:yMode val="edge"/>
              <c:x val="0.94240478134372629"/>
              <c:y val="4.0486942177987262E-2"/>
            </c:manualLayout>
          </c:layout>
          <c:overlay val="0"/>
        </c:title>
        <c:numFmt formatCode="General" sourceLinked="1"/>
        <c:majorTickMark val="out"/>
        <c:minorTickMark val="none"/>
        <c:tickLblPos val="nextTo"/>
        <c:crossAx val="318974976"/>
        <c:crosses val="autoZero"/>
        <c:auto val="1"/>
        <c:lblAlgn val="ctr"/>
        <c:lblOffset val="100"/>
        <c:noMultiLvlLbl val="0"/>
      </c:catAx>
    </c:plotArea>
    <c:legend>
      <c:legendPos val="r"/>
      <c:layout>
        <c:manualLayout>
          <c:xMode val="edge"/>
          <c:yMode val="edge"/>
          <c:x val="0.39092730461086606"/>
          <c:y val="0.21533312123863305"/>
          <c:w val="0.41442287636209818"/>
          <c:h val="6.1244730772289653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cu efect de acidifiere si eutrofizare din sectorul de activitate  agricultura</a:t>
            </a:r>
          </a:p>
        </c:rich>
      </c:tx>
      <c:overlay val="1"/>
    </c:title>
    <c:autoTitleDeleted val="0"/>
    <c:plotArea>
      <c:layout>
        <c:manualLayout>
          <c:layoutTarget val="inner"/>
          <c:xMode val="edge"/>
          <c:yMode val="edge"/>
          <c:x val="9.7931855740254745E-2"/>
          <c:y val="0.18046400414585542"/>
          <c:w val="0.87984721817180689"/>
          <c:h val="0.71650666435797528"/>
        </c:manualLayout>
      </c:layout>
      <c:barChart>
        <c:barDir val="col"/>
        <c:grouping val="clustered"/>
        <c:varyColors val="0"/>
        <c:ser>
          <c:idx val="0"/>
          <c:order val="0"/>
          <c:tx>
            <c:strRef>
              <c:f>Sheet1!$A$3</c:f>
              <c:strCache>
                <c:ptCount val="1"/>
                <c:pt idx="0">
                  <c:v>NH3</c:v>
                </c:pt>
              </c:strCache>
            </c:strRef>
          </c:tx>
          <c:spPr>
            <a:solidFill>
              <a:srgbClr val="93096C"/>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364.05630999999948</c:v>
                </c:pt>
                <c:pt idx="1">
                  <c:v>438.4109999999996</c:v>
                </c:pt>
                <c:pt idx="2">
                  <c:v>269.83251999999953</c:v>
                </c:pt>
                <c:pt idx="3">
                  <c:v>1473.9963295</c:v>
                </c:pt>
                <c:pt idx="5">
                  <c:v>384.97380000000004</c:v>
                </c:pt>
                <c:pt idx="6">
                  <c:v>1091.8644999999988</c:v>
                </c:pt>
                <c:pt idx="8">
                  <c:v>2209.7599999999998</c:v>
                </c:pt>
                <c:pt idx="9">
                  <c:v>990.202</c:v>
                </c:pt>
              </c:numCache>
            </c:numRef>
          </c:val>
        </c:ser>
        <c:dLbls>
          <c:showLegendKey val="0"/>
          <c:showVal val="0"/>
          <c:showCatName val="0"/>
          <c:showSerName val="0"/>
          <c:showPercent val="0"/>
          <c:showBubbleSize val="0"/>
        </c:dLbls>
        <c:gapWidth val="100"/>
        <c:overlap val="-100"/>
        <c:axId val="319010304"/>
        <c:axId val="319011840"/>
      </c:barChart>
      <c:catAx>
        <c:axId val="319010304"/>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011840"/>
        <c:crosses val="autoZero"/>
        <c:auto val="1"/>
        <c:lblAlgn val="ctr"/>
        <c:lblOffset val="100"/>
        <c:noMultiLvlLbl val="0"/>
      </c:catAx>
      <c:valAx>
        <c:axId val="319011840"/>
        <c:scaling>
          <c:orientation val="minMax"/>
          <c:max val="25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2.8510847802113277E-2"/>
              <c:y val="6.4708928976229069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010304"/>
        <c:crosses val="autoZero"/>
        <c:crossBetween val="between"/>
        <c:majorUnit val="500"/>
      </c:valAx>
    </c:plotArea>
    <c:legend>
      <c:legendPos val="r"/>
      <c:layout>
        <c:manualLayout>
          <c:xMode val="edge"/>
          <c:yMode val="edge"/>
          <c:x val="0.13883748423014991"/>
          <c:y val="0.21921820407261777"/>
          <c:w val="8.7945895869039767E-2"/>
          <c:h val="6.1244730772289646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precursori ai ozonului</a:t>
            </a:r>
          </a:p>
        </c:rich>
      </c:tx>
      <c:overlay val="1"/>
    </c:title>
    <c:autoTitleDeleted val="0"/>
    <c:plotArea>
      <c:layout>
        <c:manualLayout>
          <c:layoutTarget val="inner"/>
          <c:xMode val="edge"/>
          <c:yMode val="edge"/>
          <c:x val="9.7931855740254745E-2"/>
          <c:y val="0.18046400414585551"/>
          <c:w val="0.87984721817180755"/>
          <c:h val="0.71650666435797528"/>
        </c:manualLayout>
      </c:layout>
      <c:barChart>
        <c:barDir val="col"/>
        <c:grouping val="clustered"/>
        <c:varyColors val="0"/>
        <c:ser>
          <c:idx val="0"/>
          <c:order val="0"/>
          <c:tx>
            <c:strRef>
              <c:f>Sheet1!$A$3</c:f>
              <c:strCache>
                <c:ptCount val="1"/>
                <c:pt idx="0">
                  <c:v>NOX</c:v>
                </c:pt>
              </c:strCache>
            </c:strRef>
          </c:tx>
          <c:spPr>
            <a:solidFill>
              <a:srgbClr val="FFC000"/>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7526.8240000000014</c:v>
                </c:pt>
                <c:pt idx="1">
                  <c:v>7607.8050000000003</c:v>
                </c:pt>
                <c:pt idx="2">
                  <c:v>12204.6</c:v>
                </c:pt>
                <c:pt idx="3">
                  <c:v>3857.4</c:v>
                </c:pt>
                <c:pt idx="4">
                  <c:v>6619.8</c:v>
                </c:pt>
                <c:pt idx="5">
                  <c:v>6650.4</c:v>
                </c:pt>
                <c:pt idx="6">
                  <c:v>27355.5</c:v>
                </c:pt>
                <c:pt idx="8">
                  <c:v>5526.817</c:v>
                </c:pt>
                <c:pt idx="9">
                  <c:v>7111.2130000000006</c:v>
                </c:pt>
              </c:numCache>
            </c:numRef>
          </c:val>
        </c:ser>
        <c:ser>
          <c:idx val="1"/>
          <c:order val="1"/>
          <c:tx>
            <c:strRef>
              <c:f>Sheet1!$A$4</c:f>
              <c:strCache>
                <c:ptCount val="1"/>
                <c:pt idx="0">
                  <c:v>NMVOC</c:v>
                </c:pt>
              </c:strCache>
            </c:strRef>
          </c:tx>
          <c:spPr>
            <a:solidFill>
              <a:schemeClr val="tx2"/>
            </a:solidFill>
          </c:spPr>
          <c:invertIfNegative val="0"/>
          <c:dPt>
            <c:idx val="3"/>
            <c:invertIfNegative val="0"/>
            <c:bubble3D val="0"/>
            <c:spPr>
              <a:solidFill>
                <a:srgbClr val="1B416F"/>
              </a:solidFill>
            </c:spPr>
          </c:dPt>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0">
                  <c:v>2887.384217724426</c:v>
                </c:pt>
                <c:pt idx="1">
                  <c:v>17734.640020236406</c:v>
                </c:pt>
                <c:pt idx="2">
                  <c:v>11193.582053026888</c:v>
                </c:pt>
                <c:pt idx="3">
                  <c:v>9703.5568173327993</c:v>
                </c:pt>
                <c:pt idx="5">
                  <c:v>1838.4105896277767</c:v>
                </c:pt>
                <c:pt idx="6">
                  <c:v>1747.2354770771333</c:v>
                </c:pt>
                <c:pt idx="8">
                  <c:v>5573.0110000000004</c:v>
                </c:pt>
                <c:pt idx="9">
                  <c:v>9624.1740000000009</c:v>
                </c:pt>
              </c:numCache>
            </c:numRef>
          </c:val>
        </c:ser>
        <c:ser>
          <c:idx val="2"/>
          <c:order val="2"/>
          <c:tx>
            <c:strRef>
              <c:f>Sheet1!$A$5</c:f>
              <c:strCache>
                <c:ptCount val="1"/>
                <c:pt idx="0">
                  <c:v>CO</c:v>
                </c:pt>
              </c:strCache>
            </c:strRef>
          </c:tx>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Sheet1!$B$5:$K$5</c:f>
              <c:numCache>
                <c:formatCode>General</c:formatCode>
                <c:ptCount val="10"/>
                <c:pt idx="0">
                  <c:v>3445.8813835090518</c:v>
                </c:pt>
                <c:pt idx="1">
                  <c:v>4970.2788565448936</c:v>
                </c:pt>
                <c:pt idx="2">
                  <c:v>5762.9091443470188</c:v>
                </c:pt>
                <c:pt idx="3">
                  <c:v>7458.9355162299989</c:v>
                </c:pt>
                <c:pt idx="5">
                  <c:v>5301.3294108233003</c:v>
                </c:pt>
                <c:pt idx="6">
                  <c:v>5555.1669724744015</c:v>
                </c:pt>
                <c:pt idx="8">
                  <c:v>7733.3920000000044</c:v>
                </c:pt>
                <c:pt idx="9">
                  <c:v>8161.1960000000054</c:v>
                </c:pt>
              </c:numCache>
            </c:numRef>
          </c:val>
        </c:ser>
        <c:dLbls>
          <c:showLegendKey val="0"/>
          <c:showVal val="0"/>
          <c:showCatName val="0"/>
          <c:showSerName val="0"/>
          <c:showPercent val="0"/>
          <c:showBubbleSize val="0"/>
        </c:dLbls>
        <c:gapWidth val="150"/>
        <c:axId val="319121280"/>
        <c:axId val="319122816"/>
      </c:barChart>
      <c:catAx>
        <c:axId val="319121280"/>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122816"/>
        <c:crosses val="autoZero"/>
        <c:auto val="1"/>
        <c:lblAlgn val="ctr"/>
        <c:lblOffset val="100"/>
        <c:noMultiLvlLbl val="0"/>
      </c:catAx>
      <c:valAx>
        <c:axId val="319122816"/>
        <c:scaling>
          <c:orientation val="minMax"/>
          <c:max val="500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0.10909693792381764"/>
              <c:y val="0.11910186193311524"/>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121280"/>
        <c:crosses val="autoZero"/>
        <c:crossBetween val="between"/>
      </c:valAx>
    </c:plotArea>
    <c:legend>
      <c:legendPos val="r"/>
      <c:layout>
        <c:manualLayout>
          <c:xMode val="edge"/>
          <c:yMode val="edge"/>
          <c:x val="0.58929306491044275"/>
          <c:y val="0.26972592753258295"/>
          <c:w val="0.33177047623727368"/>
          <c:h val="4.5703830174127824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precursori ai ozonului din sectorul activitate</a:t>
            </a:r>
            <a:r>
              <a:rPr lang="en-US" sz="1200" baseline="0">
                <a:latin typeface="Arial" pitchFamily="34" charset="0"/>
                <a:cs typeface="Arial" pitchFamily="34" charset="0"/>
              </a:rPr>
              <a:t> energie</a:t>
            </a:r>
            <a:endParaRPr lang="en-US" sz="1200">
              <a:latin typeface="Arial" pitchFamily="34" charset="0"/>
              <a:cs typeface="Arial" pitchFamily="34" charset="0"/>
            </a:endParaRPr>
          </a:p>
        </c:rich>
      </c:tx>
      <c:overlay val="1"/>
    </c:title>
    <c:autoTitleDeleted val="0"/>
    <c:plotArea>
      <c:layout>
        <c:manualLayout>
          <c:layoutTarget val="inner"/>
          <c:xMode val="edge"/>
          <c:yMode val="edge"/>
          <c:x val="9.7931855740254745E-2"/>
          <c:y val="0.20377135275542926"/>
          <c:w val="0.87984721817180755"/>
          <c:h val="0.67384464272943456"/>
        </c:manualLayout>
      </c:layout>
      <c:barChart>
        <c:barDir val="col"/>
        <c:grouping val="clustered"/>
        <c:varyColors val="0"/>
        <c:ser>
          <c:idx val="0"/>
          <c:order val="0"/>
          <c:tx>
            <c:strRef>
              <c:f>Sheet1!$A$3</c:f>
              <c:strCache>
                <c:ptCount val="1"/>
                <c:pt idx="0">
                  <c:v>NOX</c:v>
                </c:pt>
              </c:strCache>
            </c:strRef>
          </c:tx>
          <c:spPr>
            <a:solidFill>
              <a:schemeClr val="accent3"/>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1619.9178245273829</c:v>
                </c:pt>
                <c:pt idx="1">
                  <c:v>1711.3697237486931</c:v>
                </c:pt>
                <c:pt idx="2">
                  <c:v>3843.2823449846696</c:v>
                </c:pt>
                <c:pt idx="3">
                  <c:v>535.59340883000004</c:v>
                </c:pt>
                <c:pt idx="5">
                  <c:v>1825.367280160661</c:v>
                </c:pt>
                <c:pt idx="6">
                  <c:v>393.98848365656357</c:v>
                </c:pt>
                <c:pt idx="7">
                  <c:v>500</c:v>
                </c:pt>
                <c:pt idx="8">
                  <c:v>442.24099999999999</c:v>
                </c:pt>
                <c:pt idx="9">
                  <c:v>533.56899999999996</c:v>
                </c:pt>
              </c:numCache>
            </c:numRef>
          </c:val>
        </c:ser>
        <c:ser>
          <c:idx val="1"/>
          <c:order val="1"/>
          <c:tx>
            <c:strRef>
              <c:f>Sheet1!$A$4</c:f>
              <c:strCache>
                <c:ptCount val="1"/>
                <c:pt idx="0">
                  <c:v>NMVOC</c:v>
                </c:pt>
              </c:strCache>
            </c:strRef>
          </c:tx>
          <c:spPr>
            <a:solidFill>
              <a:schemeClr val="tx2"/>
            </a:solidFill>
          </c:spPr>
          <c:invertIfNegative val="0"/>
          <c:dPt>
            <c:idx val="3"/>
            <c:invertIfNegative val="0"/>
            <c:bubble3D val="0"/>
            <c:spPr>
              <a:solidFill>
                <a:srgbClr val="1B416F"/>
              </a:solidFill>
            </c:spPr>
          </c:dPt>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0">
                  <c:v>105.81595536588537</c:v>
                </c:pt>
                <c:pt idx="1">
                  <c:v>257.55886806824566</c:v>
                </c:pt>
                <c:pt idx="2">
                  <c:v>533.20859694292324</c:v>
                </c:pt>
                <c:pt idx="3">
                  <c:v>970.3556817332792</c:v>
                </c:pt>
                <c:pt idx="5">
                  <c:v>33.406394365993044</c:v>
                </c:pt>
                <c:pt idx="6">
                  <c:v>9.402562826419425</c:v>
                </c:pt>
                <c:pt idx="7">
                  <c:v>300</c:v>
                </c:pt>
                <c:pt idx="8">
                  <c:v>39.149000000000001</c:v>
                </c:pt>
                <c:pt idx="9">
                  <c:v>39.556000000000004</c:v>
                </c:pt>
              </c:numCache>
            </c:numRef>
          </c:val>
        </c:ser>
        <c:ser>
          <c:idx val="2"/>
          <c:order val="2"/>
          <c:tx>
            <c:strRef>
              <c:f>Sheet1!$A$5</c:f>
              <c:strCache>
                <c:ptCount val="1"/>
                <c:pt idx="0">
                  <c:v>CO</c:v>
                </c:pt>
              </c:strCache>
            </c:strRef>
          </c:tx>
          <c:spPr>
            <a:solidFill>
              <a:srgbClr val="FF0000"/>
            </a:solidFill>
            <a:ln>
              <a:solidFill>
                <a:srgbClr val="FF0000"/>
              </a:solid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Sheet1!$B$5:$K$5</c:f>
              <c:numCache>
                <c:formatCode>General</c:formatCode>
                <c:ptCount val="10"/>
                <c:pt idx="0">
                  <c:v>926.4061615436425</c:v>
                </c:pt>
                <c:pt idx="1">
                  <c:v>2222.7005563948492</c:v>
                </c:pt>
                <c:pt idx="2">
                  <c:v>3522.9563622315036</c:v>
                </c:pt>
                <c:pt idx="3">
                  <c:v>7458.9355162299989</c:v>
                </c:pt>
                <c:pt idx="5">
                  <c:v>5301.2704449460634</c:v>
                </c:pt>
                <c:pt idx="6">
                  <c:v>133.53723127341507</c:v>
                </c:pt>
                <c:pt idx="7">
                  <c:v>2200</c:v>
                </c:pt>
                <c:pt idx="8">
                  <c:v>123.63500000000001</c:v>
                </c:pt>
                <c:pt idx="9">
                  <c:v>155.67899999999997</c:v>
                </c:pt>
              </c:numCache>
            </c:numRef>
          </c:val>
        </c:ser>
        <c:dLbls>
          <c:showLegendKey val="0"/>
          <c:showVal val="0"/>
          <c:showCatName val="0"/>
          <c:showSerName val="0"/>
          <c:showPercent val="0"/>
          <c:showBubbleSize val="0"/>
        </c:dLbls>
        <c:gapWidth val="500"/>
        <c:overlap val="-100"/>
        <c:axId val="319035264"/>
        <c:axId val="319036800"/>
      </c:barChart>
      <c:catAx>
        <c:axId val="319035264"/>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036800"/>
        <c:crosses val="autoZero"/>
        <c:auto val="1"/>
        <c:lblAlgn val="ctr"/>
        <c:lblOffset val="100"/>
        <c:noMultiLvlLbl val="0"/>
      </c:catAx>
      <c:valAx>
        <c:axId val="319036800"/>
        <c:scaling>
          <c:orientation val="minMax"/>
          <c:max val="80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3.914465035596728E-2"/>
              <c:y val="9.2256304583028068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035264"/>
        <c:crosses val="autoZero"/>
        <c:crossBetween val="between"/>
      </c:valAx>
    </c:plotArea>
    <c:legend>
      <c:legendPos val="r"/>
      <c:layout>
        <c:manualLayout>
          <c:xMode val="edge"/>
          <c:yMode val="edge"/>
          <c:x val="0.58372685331386664"/>
          <c:y val="0.29044256885181452"/>
          <c:w val="0.36773469090994637"/>
          <c:h val="7.0656495391324389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precursori ai ozonului din sectorul activitate</a:t>
            </a:r>
            <a:r>
              <a:rPr lang="en-US" sz="1200" baseline="0">
                <a:latin typeface="Arial" pitchFamily="34" charset="0"/>
                <a:cs typeface="Arial" pitchFamily="34" charset="0"/>
              </a:rPr>
              <a:t>  industrie</a:t>
            </a:r>
            <a:endParaRPr lang="en-US" sz="1200">
              <a:latin typeface="Arial" pitchFamily="34" charset="0"/>
              <a:cs typeface="Arial" pitchFamily="34" charset="0"/>
            </a:endParaRPr>
          </a:p>
        </c:rich>
      </c:tx>
      <c:overlay val="1"/>
    </c:title>
    <c:autoTitleDeleted val="0"/>
    <c:plotArea>
      <c:layout>
        <c:manualLayout>
          <c:layoutTarget val="inner"/>
          <c:xMode val="edge"/>
          <c:yMode val="edge"/>
          <c:x val="9.7931855740254745E-2"/>
          <c:y val="0.17269358515201441"/>
          <c:w val="0.87984721817180778"/>
          <c:h val="0.72427708335181662"/>
        </c:manualLayout>
      </c:layout>
      <c:barChart>
        <c:barDir val="col"/>
        <c:grouping val="clustered"/>
        <c:varyColors val="0"/>
        <c:ser>
          <c:idx val="0"/>
          <c:order val="0"/>
          <c:tx>
            <c:strRef>
              <c:f>Sheet1!$A$3</c:f>
              <c:strCache>
                <c:ptCount val="1"/>
                <c:pt idx="0">
                  <c:v>NOX</c:v>
                </c:pt>
              </c:strCache>
            </c:strRef>
          </c:tx>
          <c:spPr>
            <a:solidFill>
              <a:srgbClr val="FFC000"/>
            </a:solidFill>
            <a:ln>
              <a:solidFill>
                <a:srgbClr val="FFC000"/>
              </a:solid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5450.9249481860088</c:v>
                </c:pt>
                <c:pt idx="1">
                  <c:v>5160.9254449646814</c:v>
                </c:pt>
                <c:pt idx="2">
                  <c:v>2092.8632742553209</c:v>
                </c:pt>
                <c:pt idx="3">
                  <c:v>5044.6287307000002</c:v>
                </c:pt>
                <c:pt idx="5">
                  <c:v>1128.3664293979828</c:v>
                </c:pt>
                <c:pt idx="6">
                  <c:v>1234.5346318975105</c:v>
                </c:pt>
                <c:pt idx="8">
                  <c:v>251.38100000000017</c:v>
                </c:pt>
                <c:pt idx="9">
                  <c:v>982.00400000000002</c:v>
                </c:pt>
              </c:numCache>
            </c:numRef>
          </c:val>
        </c:ser>
        <c:ser>
          <c:idx val="2"/>
          <c:order val="2"/>
          <c:tx>
            <c:strRef>
              <c:f>Sheet1!$A$5</c:f>
              <c:strCache>
                <c:ptCount val="1"/>
                <c:pt idx="0">
                  <c:v>CO</c:v>
                </c:pt>
              </c:strCache>
            </c:strRef>
          </c:tx>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Sheet1!$B$5:$K$5</c:f>
              <c:numCache>
                <c:formatCode>General</c:formatCode>
                <c:ptCount val="10"/>
                <c:pt idx="0">
                  <c:v>390.37013648351774</c:v>
                </c:pt>
                <c:pt idx="1">
                  <c:v>99.194979193800009</c:v>
                </c:pt>
                <c:pt idx="2">
                  <c:v>375.24157626728913</c:v>
                </c:pt>
                <c:pt idx="3">
                  <c:v>6302.8033614000014</c:v>
                </c:pt>
                <c:pt idx="5">
                  <c:v>2.2307976067604702</c:v>
                </c:pt>
                <c:pt idx="6">
                  <c:v>1649.7415391900031</c:v>
                </c:pt>
                <c:pt idx="8">
                  <c:v>310.57299999999969</c:v>
                </c:pt>
                <c:pt idx="9">
                  <c:v>1011.7730000000008</c:v>
                </c:pt>
              </c:numCache>
            </c:numRef>
          </c:val>
        </c:ser>
        <c:dLbls>
          <c:showLegendKey val="0"/>
          <c:showVal val="0"/>
          <c:showCatName val="0"/>
          <c:showSerName val="0"/>
          <c:showPercent val="0"/>
          <c:showBubbleSize val="0"/>
        </c:dLbls>
        <c:gapWidth val="150"/>
        <c:axId val="304025984"/>
        <c:axId val="319089280"/>
      </c:barChart>
      <c:lineChart>
        <c:grouping val="standard"/>
        <c:varyColors val="0"/>
        <c:ser>
          <c:idx val="1"/>
          <c:order val="1"/>
          <c:tx>
            <c:strRef>
              <c:f>Sheet1!$A$4</c:f>
              <c:strCache>
                <c:ptCount val="1"/>
                <c:pt idx="0">
                  <c:v>NMVOC</c:v>
                </c:pt>
              </c:strCache>
            </c:strRef>
          </c:tx>
          <c:spPr>
            <a:ln>
              <a:solidFill>
                <a:srgbClr val="002060"/>
              </a:solidFill>
            </a:ln>
          </c:spPr>
          <c:marker>
            <c:symbol val="diamond"/>
            <c:size val="7"/>
            <c:spPr>
              <a:solidFill>
                <a:srgbClr val="002060"/>
              </a:solidFill>
              <a:ln>
                <a:solidFill>
                  <a:srgbClr val="002060"/>
                </a:solidFill>
              </a:ln>
            </c:spPr>
          </c:marker>
          <c:dPt>
            <c:idx val="3"/>
            <c:bubble3D val="0"/>
            <c:spPr>
              <a:ln>
                <a:solidFill>
                  <a:srgbClr val="002060"/>
                </a:solidFill>
              </a:ln>
            </c:spPr>
          </c:dPt>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0">
                  <c:v>1591.9698625065851</c:v>
                </c:pt>
                <c:pt idx="1">
                  <c:v>14897.225617167293</c:v>
                </c:pt>
                <c:pt idx="2">
                  <c:v>7088.511874953756</c:v>
                </c:pt>
                <c:pt idx="3">
                  <c:v>95807.450815909979</c:v>
                </c:pt>
                <c:pt idx="5">
                  <c:v>1146.9104253206117</c:v>
                </c:pt>
                <c:pt idx="6">
                  <c:v>393.45274847153689</c:v>
                </c:pt>
                <c:pt idx="8">
                  <c:v>36.989000000000004</c:v>
                </c:pt>
                <c:pt idx="9">
                  <c:v>103.40700000000002</c:v>
                </c:pt>
              </c:numCache>
            </c:numRef>
          </c:val>
          <c:smooth val="0"/>
        </c:ser>
        <c:dLbls>
          <c:showLegendKey val="0"/>
          <c:showVal val="0"/>
          <c:showCatName val="0"/>
          <c:showSerName val="0"/>
          <c:showPercent val="0"/>
          <c:showBubbleSize val="0"/>
        </c:dLbls>
        <c:marker val="1"/>
        <c:smooth val="0"/>
        <c:axId val="319081472"/>
        <c:axId val="319087360"/>
      </c:lineChart>
      <c:catAx>
        <c:axId val="319081472"/>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087360"/>
        <c:crosses val="autoZero"/>
        <c:auto val="1"/>
        <c:lblAlgn val="ctr"/>
        <c:lblOffset val="100"/>
        <c:noMultiLvlLbl val="0"/>
      </c:catAx>
      <c:valAx>
        <c:axId val="319087360"/>
        <c:scaling>
          <c:orientation val="minMax"/>
          <c:max val="1000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4.9173947833319492E-2"/>
              <c:y val="0.13852790941771723"/>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081472"/>
        <c:crosses val="autoZero"/>
        <c:crossBetween val="between"/>
      </c:valAx>
      <c:valAx>
        <c:axId val="319089280"/>
        <c:scaling>
          <c:orientation val="minMax"/>
        </c:scaling>
        <c:delete val="0"/>
        <c:axPos val="r"/>
        <c:numFmt formatCode="General" sourceLinked="1"/>
        <c:majorTickMark val="out"/>
        <c:minorTickMark val="none"/>
        <c:tickLblPos val="nextTo"/>
        <c:spPr>
          <a:noFill/>
          <a:ln w="34925">
            <a:solidFill>
              <a:srgbClr val="FFC000"/>
            </a:solidFill>
          </a:ln>
        </c:spPr>
        <c:txPr>
          <a:bodyPr/>
          <a:lstStyle/>
          <a:p>
            <a:pPr>
              <a:defRPr b="1" baseline="0">
                <a:solidFill>
                  <a:srgbClr val="FFC000"/>
                </a:solidFill>
              </a:defRPr>
            </a:pPr>
            <a:endParaRPr lang="en-US"/>
          </a:p>
        </c:txPr>
        <c:crossAx val="304025984"/>
        <c:crosses val="max"/>
        <c:crossBetween val="between"/>
      </c:valAx>
      <c:catAx>
        <c:axId val="304025984"/>
        <c:scaling>
          <c:orientation val="minMax"/>
        </c:scaling>
        <c:delete val="1"/>
        <c:axPos val="b"/>
        <c:title>
          <c:tx>
            <c:rich>
              <a:bodyPr/>
              <a:lstStyle/>
              <a:p>
                <a:pPr>
                  <a:defRPr b="1"/>
                </a:pPr>
                <a:r>
                  <a:rPr lang="en-US" sz="1000" b="1">
                    <a:solidFill>
                      <a:srgbClr val="FFC000"/>
                    </a:solidFill>
                    <a:latin typeface="Arial" pitchFamily="34" charset="0"/>
                    <a:cs typeface="Arial" pitchFamily="34" charset="0"/>
                  </a:rPr>
                  <a:t>NOX  t </a:t>
                </a:r>
              </a:p>
            </c:rich>
          </c:tx>
          <c:layout>
            <c:manualLayout>
              <c:xMode val="edge"/>
              <c:yMode val="edge"/>
              <c:x val="0.89580428432295456"/>
              <c:y val="9.0064356812745466E-2"/>
            </c:manualLayout>
          </c:layout>
          <c:overlay val="0"/>
        </c:title>
        <c:numFmt formatCode="General" sourceLinked="1"/>
        <c:majorTickMark val="out"/>
        <c:minorTickMark val="none"/>
        <c:tickLblPos val="nextTo"/>
        <c:crossAx val="319089280"/>
        <c:crosses val="autoZero"/>
        <c:auto val="1"/>
        <c:lblAlgn val="ctr"/>
        <c:lblOffset val="100"/>
        <c:noMultiLvlLbl val="0"/>
      </c:catAx>
    </c:plotArea>
    <c:legend>
      <c:legendPos val="r"/>
      <c:layout>
        <c:manualLayout>
          <c:xMode val="edge"/>
          <c:yMode val="edge"/>
          <c:x val="0.55003317485115133"/>
          <c:y val="0.26584071803566311"/>
          <c:w val="0.32970416623415277"/>
          <c:h val="6.1244668161809353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precursori ai ozonului din sectorul activitate</a:t>
            </a:r>
            <a:r>
              <a:rPr lang="en-US" sz="1200" baseline="0">
                <a:latin typeface="Arial" pitchFamily="34" charset="0"/>
                <a:cs typeface="Arial" pitchFamily="34" charset="0"/>
              </a:rPr>
              <a:t>  transport</a:t>
            </a:r>
            <a:endParaRPr lang="en-US" sz="1200">
              <a:latin typeface="Arial" pitchFamily="34" charset="0"/>
              <a:cs typeface="Arial" pitchFamily="34" charset="0"/>
            </a:endParaRPr>
          </a:p>
        </c:rich>
      </c:tx>
      <c:overlay val="1"/>
    </c:title>
    <c:autoTitleDeleted val="0"/>
    <c:plotArea>
      <c:layout>
        <c:manualLayout>
          <c:layoutTarget val="inner"/>
          <c:xMode val="edge"/>
          <c:yMode val="edge"/>
          <c:x val="9.7931855740254745E-2"/>
          <c:y val="0.16492316615817329"/>
          <c:w val="0.879847218171808"/>
          <c:h val="0.73204750234565763"/>
        </c:manualLayout>
      </c:layout>
      <c:barChart>
        <c:barDir val="col"/>
        <c:grouping val="clustered"/>
        <c:varyColors val="0"/>
        <c:ser>
          <c:idx val="0"/>
          <c:order val="0"/>
          <c:tx>
            <c:strRef>
              <c:f>Sheet1!$A$3</c:f>
              <c:strCache>
                <c:ptCount val="1"/>
                <c:pt idx="0">
                  <c:v>NOX</c:v>
                </c:pt>
              </c:strCache>
            </c:strRef>
          </c:tx>
          <c:spPr>
            <a:solidFill>
              <a:srgbClr val="FFC000"/>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506.35910840697227</c:v>
                </c:pt>
                <c:pt idx="1">
                  <c:v>734.91928986330947</c:v>
                </c:pt>
                <c:pt idx="2">
                  <c:v>1814.1820422906742</c:v>
                </c:pt>
                <c:pt idx="3">
                  <c:v>8.6720000000000006</c:v>
                </c:pt>
                <c:pt idx="5">
                  <c:v>1318.711457552268</c:v>
                </c:pt>
                <c:pt idx="6">
                  <c:v>347.92682392939315</c:v>
                </c:pt>
                <c:pt idx="8">
                  <c:v>4696.8120000000044</c:v>
                </c:pt>
                <c:pt idx="9">
                  <c:v>5311.2739999999994</c:v>
                </c:pt>
              </c:numCache>
            </c:numRef>
          </c:val>
        </c:ser>
        <c:ser>
          <c:idx val="2"/>
          <c:order val="2"/>
          <c:tx>
            <c:strRef>
              <c:f>Sheet1!$A$5</c:f>
              <c:strCache>
                <c:ptCount val="1"/>
                <c:pt idx="0">
                  <c:v>CO</c:v>
                </c:pt>
              </c:strCache>
            </c:strRef>
          </c:tx>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Sheet1!$B$5:$K$5</c:f>
              <c:numCache>
                <c:formatCode>General</c:formatCode>
                <c:ptCount val="10"/>
                <c:pt idx="0">
                  <c:v>390.37013648351774</c:v>
                </c:pt>
                <c:pt idx="1">
                  <c:v>99.194979193800009</c:v>
                </c:pt>
                <c:pt idx="2">
                  <c:v>375.24157626728913</c:v>
                </c:pt>
                <c:pt idx="3">
                  <c:v>6302.8033614000014</c:v>
                </c:pt>
                <c:pt idx="5">
                  <c:v>2.2307976067604702</c:v>
                </c:pt>
                <c:pt idx="6">
                  <c:v>1649.7415391900031</c:v>
                </c:pt>
                <c:pt idx="8">
                  <c:v>6487.7640000000001</c:v>
                </c:pt>
                <c:pt idx="9">
                  <c:v>4910.6140000000014</c:v>
                </c:pt>
              </c:numCache>
            </c:numRef>
          </c:val>
        </c:ser>
        <c:dLbls>
          <c:showLegendKey val="0"/>
          <c:showVal val="0"/>
          <c:showCatName val="0"/>
          <c:showSerName val="0"/>
          <c:showPercent val="0"/>
          <c:showBubbleSize val="0"/>
        </c:dLbls>
        <c:gapWidth val="500"/>
        <c:axId val="304059520"/>
        <c:axId val="304053632"/>
      </c:barChart>
      <c:lineChart>
        <c:grouping val="standard"/>
        <c:varyColors val="0"/>
        <c:ser>
          <c:idx val="1"/>
          <c:order val="1"/>
          <c:tx>
            <c:strRef>
              <c:f>Sheet1!$A$4</c:f>
              <c:strCache>
                <c:ptCount val="1"/>
                <c:pt idx="0">
                  <c:v>NMVOC</c:v>
                </c:pt>
              </c:strCache>
            </c:strRef>
          </c:tx>
          <c:spPr>
            <a:ln>
              <a:solidFill>
                <a:srgbClr val="002060"/>
              </a:solidFill>
            </a:ln>
          </c:spPr>
          <c:marker>
            <c:symbol val="diamond"/>
            <c:size val="7"/>
            <c:spPr>
              <a:solidFill>
                <a:srgbClr val="002060"/>
              </a:solidFill>
              <a:ln>
                <a:solidFill>
                  <a:srgbClr val="002060"/>
                </a:solidFill>
              </a:ln>
            </c:spPr>
          </c:marker>
          <c:dPt>
            <c:idx val="3"/>
            <c:bubble3D val="0"/>
            <c:spPr>
              <a:ln>
                <a:solidFill>
                  <a:srgbClr val="002060"/>
                </a:solidFill>
              </a:ln>
            </c:spPr>
          </c:dPt>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0">
                  <c:v>1591.9698625065851</c:v>
                </c:pt>
                <c:pt idx="1">
                  <c:v>14897.225617167293</c:v>
                </c:pt>
                <c:pt idx="2">
                  <c:v>7088.511874953756</c:v>
                </c:pt>
                <c:pt idx="3">
                  <c:v>95807.450815909979</c:v>
                </c:pt>
                <c:pt idx="5">
                  <c:v>1146.9104253206117</c:v>
                </c:pt>
                <c:pt idx="6">
                  <c:v>393.45274847153689</c:v>
                </c:pt>
                <c:pt idx="8">
                  <c:v>1034.489</c:v>
                </c:pt>
                <c:pt idx="9">
                  <c:v>1034.1629999999998</c:v>
                </c:pt>
              </c:numCache>
            </c:numRef>
          </c:val>
          <c:smooth val="0"/>
        </c:ser>
        <c:dLbls>
          <c:showLegendKey val="0"/>
          <c:showVal val="0"/>
          <c:showCatName val="0"/>
          <c:showSerName val="0"/>
          <c:showPercent val="0"/>
          <c:showBubbleSize val="0"/>
        </c:dLbls>
        <c:marker val="1"/>
        <c:smooth val="0"/>
        <c:axId val="304050176"/>
        <c:axId val="304051712"/>
      </c:lineChart>
      <c:catAx>
        <c:axId val="304050176"/>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04051712"/>
        <c:crosses val="autoZero"/>
        <c:auto val="1"/>
        <c:lblAlgn val="ctr"/>
        <c:lblOffset val="100"/>
        <c:noMultiLvlLbl val="0"/>
      </c:catAx>
      <c:valAx>
        <c:axId val="304051712"/>
        <c:scaling>
          <c:orientation val="minMax"/>
          <c:max val="1000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3.4709777811475176E-2"/>
              <c:y val="8.0249766963910688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04050176"/>
        <c:crosses val="autoZero"/>
        <c:crossBetween val="between"/>
      </c:valAx>
      <c:valAx>
        <c:axId val="304053632"/>
        <c:scaling>
          <c:orientation val="minMax"/>
        </c:scaling>
        <c:delete val="0"/>
        <c:axPos val="r"/>
        <c:numFmt formatCode="General" sourceLinked="1"/>
        <c:majorTickMark val="out"/>
        <c:minorTickMark val="none"/>
        <c:tickLblPos val="nextTo"/>
        <c:spPr>
          <a:ln w="31750">
            <a:solidFill>
              <a:schemeClr val="accent3"/>
            </a:solidFill>
          </a:ln>
        </c:spPr>
        <c:txPr>
          <a:bodyPr/>
          <a:lstStyle/>
          <a:p>
            <a:pPr>
              <a:defRPr b="1">
                <a:solidFill>
                  <a:srgbClr val="FFC000"/>
                </a:solidFill>
              </a:defRPr>
            </a:pPr>
            <a:endParaRPr lang="en-US"/>
          </a:p>
        </c:txPr>
        <c:crossAx val="304059520"/>
        <c:crosses val="max"/>
        <c:crossBetween val="between"/>
      </c:valAx>
      <c:catAx>
        <c:axId val="304059520"/>
        <c:scaling>
          <c:orientation val="minMax"/>
        </c:scaling>
        <c:delete val="1"/>
        <c:axPos val="b"/>
        <c:title>
          <c:tx>
            <c:rich>
              <a:bodyPr/>
              <a:lstStyle/>
              <a:p>
                <a:pPr>
                  <a:defRPr b="1"/>
                </a:pPr>
                <a:r>
                  <a:rPr lang="en-US" b="1">
                    <a:solidFill>
                      <a:srgbClr val="FFC000"/>
                    </a:solidFill>
                  </a:rPr>
                  <a:t>NOX t</a:t>
                </a:r>
              </a:p>
            </c:rich>
          </c:tx>
          <c:layout>
            <c:manualLayout>
              <c:xMode val="edge"/>
              <c:yMode val="edge"/>
              <c:x val="0.91233476434791827"/>
              <c:y val="9.0064356812745466E-2"/>
            </c:manualLayout>
          </c:layout>
          <c:overlay val="0"/>
        </c:title>
        <c:numFmt formatCode="General" sourceLinked="1"/>
        <c:majorTickMark val="out"/>
        <c:minorTickMark val="none"/>
        <c:tickLblPos val="nextTo"/>
        <c:crossAx val="304053632"/>
        <c:crosses val="autoZero"/>
        <c:auto val="1"/>
        <c:lblAlgn val="ctr"/>
        <c:lblOffset val="100"/>
        <c:noMultiLvlLbl val="0"/>
      </c:catAx>
    </c:plotArea>
    <c:legend>
      <c:legendPos val="r"/>
      <c:layout>
        <c:manualLayout>
          <c:xMode val="edge"/>
          <c:yMode val="edge"/>
          <c:x val="0.13263855422078766"/>
          <c:y val="0.26195550853874205"/>
          <c:w val="0.17001078060636318"/>
          <c:h val="0.18722702196856528"/>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precursori ai ozonului din sectorul activitate  agricultura</a:t>
            </a:r>
          </a:p>
        </c:rich>
      </c:tx>
      <c:layout>
        <c:manualLayout>
          <c:xMode val="edge"/>
          <c:yMode val="edge"/>
          <c:x val="0.11237570006420212"/>
          <c:y val="0"/>
        </c:manualLayout>
      </c:layout>
      <c:overlay val="1"/>
    </c:title>
    <c:autoTitleDeleted val="0"/>
    <c:plotArea>
      <c:layout>
        <c:manualLayout>
          <c:layoutTarget val="inner"/>
          <c:xMode val="edge"/>
          <c:yMode val="edge"/>
          <c:x val="9.7931855740254745E-2"/>
          <c:y val="0.15715274716433267"/>
          <c:w val="0.87984721817180822"/>
          <c:h val="0.73607833071821005"/>
        </c:manualLayout>
      </c:layout>
      <c:barChart>
        <c:barDir val="col"/>
        <c:grouping val="clustered"/>
        <c:varyColors val="0"/>
        <c:ser>
          <c:idx val="1"/>
          <c:order val="1"/>
          <c:tx>
            <c:strRef>
              <c:f>Sheet1!$A$4</c:f>
              <c:strCache>
                <c:ptCount val="1"/>
                <c:pt idx="0">
                  <c:v>NMVOC</c:v>
                </c:pt>
              </c:strCache>
            </c:strRef>
          </c:tx>
          <c:spPr>
            <a:solidFill>
              <a:srgbClr val="FFC000"/>
            </a:solidFill>
          </c:spPr>
          <c:invertIfNegative val="0"/>
          <c:dPt>
            <c:idx val="3"/>
            <c:invertIfNegative val="0"/>
            <c:bubble3D val="0"/>
            <c:spPr>
              <a:solidFill>
                <a:srgbClr val="FFC000"/>
              </a:solidFill>
            </c:spPr>
          </c:dPt>
          <c:cat>
            <c:numRef>
              <c:f>Sheet1!$B$2:$H$2</c:f>
              <c:numCache>
                <c:formatCode>General</c:formatCode>
                <c:ptCount val="7"/>
                <c:pt idx="0">
                  <c:v>2010</c:v>
                </c:pt>
                <c:pt idx="1">
                  <c:v>2011</c:v>
                </c:pt>
                <c:pt idx="2">
                  <c:v>2012</c:v>
                </c:pt>
                <c:pt idx="3">
                  <c:v>2013</c:v>
                </c:pt>
                <c:pt idx="4">
                  <c:v>2014</c:v>
                </c:pt>
                <c:pt idx="5">
                  <c:v>2015</c:v>
                </c:pt>
                <c:pt idx="6">
                  <c:v>2016</c:v>
                </c:pt>
              </c:numCache>
            </c:numRef>
          </c:cat>
          <c:val>
            <c:numRef>
              <c:f>Sheet1!$B$4:$H$4</c:f>
              <c:numCache>
                <c:formatCode>General</c:formatCode>
                <c:ptCount val="7"/>
                <c:pt idx="2">
                  <c:v>228.41459999999998</c:v>
                </c:pt>
                <c:pt idx="3">
                  <c:v>322.99740000000003</c:v>
                </c:pt>
                <c:pt idx="5">
                  <c:v>160.61899999999997</c:v>
                </c:pt>
              </c:numCache>
            </c:numRef>
          </c:val>
        </c:ser>
        <c:dLbls>
          <c:showLegendKey val="0"/>
          <c:showVal val="0"/>
          <c:showCatName val="0"/>
          <c:showSerName val="0"/>
          <c:showPercent val="0"/>
          <c:showBubbleSize val="0"/>
        </c:dLbls>
        <c:gapWidth val="500"/>
        <c:axId val="319317120"/>
        <c:axId val="319318656"/>
      </c:barChart>
      <c:barChart>
        <c:barDir val="col"/>
        <c:grouping val="clustered"/>
        <c:varyColors val="0"/>
        <c:ser>
          <c:idx val="0"/>
          <c:order val="0"/>
          <c:tx>
            <c:strRef>
              <c:f>Sheet1!$A$3</c:f>
              <c:strCache>
                <c:ptCount val="1"/>
                <c:pt idx="0">
                  <c:v>NOX</c:v>
                </c:pt>
              </c:strCache>
            </c:strRef>
          </c:tx>
          <c:spPr>
            <a:solidFill>
              <a:srgbClr val="93096C"/>
            </a:solidFill>
            <a:ln>
              <a:solidFill>
                <a:srgbClr val="93096C"/>
              </a:solidFill>
            </a:ln>
          </c:spPr>
          <c:invertIfNegative val="0"/>
          <c:cat>
            <c:numRef>
              <c:f>Sheet1!$B$2:$H$2</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General</c:formatCode>
                <c:ptCount val="7"/>
                <c:pt idx="0">
                  <c:v>1.7263034999999999E-2</c:v>
                </c:pt>
                <c:pt idx="5">
                  <c:v>0.84300000000000064</c:v>
                </c:pt>
                <c:pt idx="6">
                  <c:v>3.0630000000000002</c:v>
                </c:pt>
              </c:numCache>
            </c:numRef>
          </c:val>
        </c:ser>
        <c:dLbls>
          <c:showLegendKey val="0"/>
          <c:showVal val="0"/>
          <c:showCatName val="0"/>
          <c:showSerName val="0"/>
          <c:showPercent val="0"/>
          <c:showBubbleSize val="0"/>
        </c:dLbls>
        <c:gapWidth val="500"/>
        <c:axId val="319322368"/>
        <c:axId val="319320832"/>
      </c:barChart>
      <c:lineChart>
        <c:grouping val="standard"/>
        <c:varyColors val="0"/>
        <c:ser>
          <c:idx val="2"/>
          <c:order val="2"/>
          <c:tx>
            <c:strRef>
              <c:f>Sheet1!$A$5</c:f>
              <c:strCache>
                <c:ptCount val="1"/>
                <c:pt idx="0">
                  <c:v>CO</c:v>
                </c:pt>
              </c:strCache>
            </c:strRef>
          </c:tx>
          <c:cat>
            <c:numRef>
              <c:f>Sheet1!$B$2:$H$2</c:f>
              <c:numCache>
                <c:formatCode>General</c:formatCode>
                <c:ptCount val="7"/>
                <c:pt idx="0">
                  <c:v>2010</c:v>
                </c:pt>
                <c:pt idx="1">
                  <c:v>2011</c:v>
                </c:pt>
                <c:pt idx="2">
                  <c:v>2012</c:v>
                </c:pt>
                <c:pt idx="3">
                  <c:v>2013</c:v>
                </c:pt>
                <c:pt idx="4">
                  <c:v>2014</c:v>
                </c:pt>
                <c:pt idx="5">
                  <c:v>2015</c:v>
                </c:pt>
                <c:pt idx="6">
                  <c:v>2016</c:v>
                </c:pt>
              </c:numCache>
            </c:numRef>
          </c:cat>
          <c:val>
            <c:numRef>
              <c:f>Sheet1!$B$5:$H$5</c:f>
              <c:numCache>
                <c:formatCode>General</c:formatCode>
                <c:ptCount val="7"/>
                <c:pt idx="5">
                  <c:v>3.8769999999999971</c:v>
                </c:pt>
              </c:numCache>
            </c:numRef>
          </c:val>
          <c:smooth val="0"/>
        </c:ser>
        <c:dLbls>
          <c:showLegendKey val="0"/>
          <c:showVal val="0"/>
          <c:showCatName val="0"/>
          <c:showSerName val="0"/>
          <c:showPercent val="0"/>
          <c:showBubbleSize val="0"/>
        </c:dLbls>
        <c:marker val="1"/>
        <c:smooth val="0"/>
        <c:axId val="319317120"/>
        <c:axId val="319318656"/>
      </c:lineChart>
      <c:catAx>
        <c:axId val="319317120"/>
        <c:scaling>
          <c:orientation val="minMax"/>
        </c:scaling>
        <c:delete val="0"/>
        <c:axPos val="b"/>
        <c:numFmt formatCode="General" sourceLinked="1"/>
        <c:majorTickMark val="out"/>
        <c:minorTickMark val="none"/>
        <c:tickLblPos val="nextTo"/>
        <c:crossAx val="319318656"/>
        <c:crosses val="autoZero"/>
        <c:auto val="1"/>
        <c:lblAlgn val="ctr"/>
        <c:lblOffset val="100"/>
        <c:noMultiLvlLbl val="0"/>
      </c:catAx>
      <c:valAx>
        <c:axId val="319318656"/>
        <c:scaling>
          <c:orientation val="minMax"/>
          <c:max val="400"/>
          <c:min val="0"/>
        </c:scaling>
        <c:delete val="0"/>
        <c:axPos val="l"/>
        <c:majorGridlines>
          <c:spPr>
            <a:ln>
              <a:solidFill>
                <a:schemeClr val="bg1">
                  <a:lumMod val="85000"/>
                </a:schemeClr>
              </a:solidFill>
              <a:prstDash val="sysDot"/>
            </a:ln>
          </c:spPr>
        </c:majorGridlines>
        <c:title>
          <c:tx>
            <c:rich>
              <a:bodyPr rot="0" vert="horz"/>
              <a:lstStyle/>
              <a:p>
                <a:pPr>
                  <a:defRPr/>
                </a:pPr>
                <a:r>
                  <a:rPr lang="en-US"/>
                  <a:t>t</a:t>
                </a:r>
              </a:p>
            </c:rich>
          </c:tx>
          <c:layout>
            <c:manualLayout>
              <c:xMode val="edge"/>
              <c:yMode val="edge"/>
              <c:x val="3.6776087814595695E-2"/>
              <c:y val="7.2479347970069816E-2"/>
            </c:manualLayout>
          </c:layout>
          <c:overlay val="0"/>
        </c:title>
        <c:numFmt formatCode="General" sourceLinked="1"/>
        <c:majorTickMark val="out"/>
        <c:minorTickMark val="none"/>
        <c:tickLblPos val="nextTo"/>
        <c:crossAx val="319317120"/>
        <c:crosses val="autoZero"/>
        <c:crossBetween val="between"/>
      </c:valAx>
      <c:valAx>
        <c:axId val="319320832"/>
        <c:scaling>
          <c:orientation val="minMax"/>
          <c:max val="4"/>
          <c:min val="0"/>
        </c:scaling>
        <c:delete val="0"/>
        <c:axPos val="r"/>
        <c:numFmt formatCode="General" sourceLinked="1"/>
        <c:majorTickMark val="out"/>
        <c:minorTickMark val="none"/>
        <c:tickLblPos val="nextTo"/>
        <c:spPr>
          <a:ln w="31750">
            <a:solidFill>
              <a:srgbClr val="93096C"/>
            </a:solidFill>
          </a:ln>
        </c:spPr>
        <c:txPr>
          <a:bodyPr/>
          <a:lstStyle/>
          <a:p>
            <a:pPr>
              <a:defRPr baseline="0">
                <a:solidFill>
                  <a:srgbClr val="93096C"/>
                </a:solidFill>
              </a:defRPr>
            </a:pPr>
            <a:endParaRPr lang="en-US"/>
          </a:p>
        </c:txPr>
        <c:crossAx val="319322368"/>
        <c:crosses val="max"/>
        <c:crossBetween val="between"/>
      </c:valAx>
      <c:catAx>
        <c:axId val="319322368"/>
        <c:scaling>
          <c:orientation val="minMax"/>
        </c:scaling>
        <c:delete val="1"/>
        <c:axPos val="b"/>
        <c:title>
          <c:tx>
            <c:rich>
              <a:bodyPr/>
              <a:lstStyle/>
              <a:p>
                <a:pPr>
                  <a:defRPr/>
                </a:pPr>
                <a:r>
                  <a:rPr lang="en-US">
                    <a:solidFill>
                      <a:srgbClr val="93096C"/>
                    </a:solidFill>
                    <a:latin typeface="Arial" pitchFamily="34" charset="0"/>
                    <a:cs typeface="Arial" pitchFamily="34" charset="0"/>
                  </a:rPr>
                  <a:t>NOX t</a:t>
                </a:r>
              </a:p>
            </c:rich>
          </c:tx>
          <c:layout>
            <c:manualLayout>
              <c:xMode val="edge"/>
              <c:yMode val="edge"/>
              <c:x val="0.90381375745946069"/>
              <c:y val="9.3949566309666124E-2"/>
            </c:manualLayout>
          </c:layout>
          <c:overlay val="0"/>
        </c:title>
        <c:numFmt formatCode="General" sourceLinked="1"/>
        <c:majorTickMark val="out"/>
        <c:minorTickMark val="none"/>
        <c:tickLblPos val="nextTo"/>
        <c:crossAx val="319320832"/>
        <c:crosses val="autoZero"/>
        <c:auto val="1"/>
        <c:lblAlgn val="ctr"/>
        <c:lblOffset val="100"/>
        <c:noMultiLvlLbl val="0"/>
      </c:catAx>
    </c:plotArea>
    <c:legend>
      <c:legendPos val="r"/>
      <c:layout>
        <c:manualLayout>
          <c:xMode val="edge"/>
          <c:yMode val="edge"/>
          <c:x val="0.13057224421766736"/>
          <c:y val="0.28526676552026548"/>
          <c:w val="0.29812200079984219"/>
          <c:h val="7.0670737060952199E-2"/>
        </c:manualLayout>
      </c:layout>
      <c:overlay val="0"/>
    </c:legend>
    <c:plotVisOnly val="1"/>
    <c:dispBlanksAs val="gap"/>
    <c:showDLblsOverMax val="0"/>
  </c:chart>
  <c:spPr>
    <a:noFill/>
    <a:ln w="25400">
      <a:solidFill>
        <a:srgbClr val="00B050"/>
      </a:solidFill>
    </a:ln>
  </c:spPr>
  <c:txPr>
    <a:bodyPr/>
    <a:lstStyle/>
    <a:p>
      <a:pPr>
        <a:defRPr baseline="0">
          <a:solidFill>
            <a:schemeClr val="tx2">
              <a:lumMod val="75000"/>
            </a:schemeClr>
          </a:solidFill>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particule primare in suspensie</a:t>
            </a:r>
          </a:p>
        </c:rich>
      </c:tx>
      <c:overlay val="1"/>
    </c:title>
    <c:autoTitleDeleted val="0"/>
    <c:plotArea>
      <c:layout>
        <c:manualLayout>
          <c:layoutTarget val="inner"/>
          <c:xMode val="edge"/>
          <c:yMode val="edge"/>
          <c:x val="9.7931855740254745E-2"/>
          <c:y val="0.14161195249886349"/>
          <c:w val="0.87984721817180755"/>
          <c:h val="0.75535868448601762"/>
        </c:manualLayout>
      </c:layout>
      <c:barChart>
        <c:barDir val="col"/>
        <c:grouping val="clustered"/>
        <c:varyColors val="0"/>
        <c:ser>
          <c:idx val="0"/>
          <c:order val="0"/>
          <c:tx>
            <c:strRef>
              <c:f>Sheet1!$A$3</c:f>
              <c:strCache>
                <c:ptCount val="1"/>
                <c:pt idx="0">
                  <c:v>PM10</c:v>
                </c:pt>
              </c:strCache>
            </c:strRef>
          </c:tx>
          <c:spPr>
            <a:solidFill>
              <a:srgbClr val="FFC000"/>
            </a:solidFill>
            <a:ln>
              <a:noFill/>
            </a:ln>
          </c:spPr>
          <c:invertIfNegative val="0"/>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3017.5645093154003</c:v>
                </c:pt>
                <c:pt idx="1">
                  <c:v>2842.3976406062952</c:v>
                </c:pt>
                <c:pt idx="2">
                  <c:v>625.403807290293</c:v>
                </c:pt>
                <c:pt idx="3">
                  <c:v>36.530553493000006</c:v>
                </c:pt>
                <c:pt idx="5">
                  <c:v>3780.0728764200608</c:v>
                </c:pt>
                <c:pt idx="6">
                  <c:v>946.33756221938449</c:v>
                </c:pt>
                <c:pt idx="8">
                  <c:v>568.154</c:v>
                </c:pt>
                <c:pt idx="9">
                  <c:v>843.04199999999946</c:v>
                </c:pt>
              </c:numCache>
            </c:numRef>
          </c:val>
        </c:ser>
        <c:ser>
          <c:idx val="1"/>
          <c:order val="1"/>
          <c:tx>
            <c:strRef>
              <c:f>Sheet1!$A$4</c:f>
              <c:strCache>
                <c:ptCount val="1"/>
                <c:pt idx="0">
                  <c:v>PM2,5</c:v>
                </c:pt>
              </c:strCache>
            </c:strRef>
          </c:tx>
          <c:spPr>
            <a:solidFill>
              <a:schemeClr val="tx2"/>
            </a:solidFill>
          </c:spPr>
          <c:invertIfNegative val="0"/>
          <c:dPt>
            <c:idx val="3"/>
            <c:invertIfNegative val="0"/>
            <c:bubble3D val="0"/>
            <c:spPr>
              <a:solidFill>
                <a:srgbClr val="1B416F"/>
              </a:solidFill>
            </c:spPr>
          </c:dPt>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5">
                  <c:v>2772.8006323284212</c:v>
                </c:pt>
                <c:pt idx="6">
                  <c:v>801.55084019023639</c:v>
                </c:pt>
                <c:pt idx="8">
                  <c:v>449.36500000000001</c:v>
                </c:pt>
                <c:pt idx="9">
                  <c:v>657.54399999999998</c:v>
                </c:pt>
              </c:numCache>
            </c:numRef>
          </c:val>
        </c:ser>
        <c:dLbls>
          <c:showLegendKey val="0"/>
          <c:showVal val="0"/>
          <c:showCatName val="0"/>
          <c:showSerName val="0"/>
          <c:showPercent val="0"/>
          <c:showBubbleSize val="0"/>
        </c:dLbls>
        <c:gapWidth val="500"/>
        <c:overlap val="-100"/>
        <c:axId val="319226240"/>
        <c:axId val="319227776"/>
      </c:barChart>
      <c:catAx>
        <c:axId val="319226240"/>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227776"/>
        <c:crosses val="autoZero"/>
        <c:auto val="1"/>
        <c:lblAlgn val="ctr"/>
        <c:lblOffset val="100"/>
        <c:noMultiLvlLbl val="0"/>
      </c:catAx>
      <c:valAx>
        <c:axId val="319227776"/>
        <c:scaling>
          <c:orientation val="minMax"/>
          <c:max val="40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8.8433837892611084E-2"/>
              <c:y val="6.0823738086628686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226240"/>
        <c:crosses val="autoZero"/>
        <c:crossBetween val="between"/>
      </c:valAx>
    </c:plotArea>
    <c:legend>
      <c:legendPos val="r"/>
      <c:layout>
        <c:manualLayout>
          <c:xMode val="edge"/>
          <c:yMode val="edge"/>
          <c:x val="0.72153690511016277"/>
          <c:y val="0.1842513749668839"/>
          <c:w val="0.22638866607812083"/>
          <c:h val="0.10009679375282608"/>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particule primare in suspensie </a:t>
            </a:r>
          </a:p>
          <a:p>
            <a:pPr>
              <a:defRPr/>
            </a:pPr>
            <a:r>
              <a:rPr lang="en-US" sz="1200">
                <a:latin typeface="Arial" pitchFamily="34" charset="0"/>
                <a:cs typeface="Arial" pitchFamily="34" charset="0"/>
              </a:rPr>
              <a:t>din</a:t>
            </a:r>
            <a:r>
              <a:rPr lang="en-US" sz="1200" baseline="0">
                <a:latin typeface="Arial" pitchFamily="34" charset="0"/>
                <a:cs typeface="Arial" pitchFamily="34" charset="0"/>
              </a:rPr>
              <a:t> activitate energie</a:t>
            </a:r>
            <a:endParaRPr lang="en-US" sz="1200">
              <a:latin typeface="Arial" pitchFamily="34" charset="0"/>
              <a:cs typeface="Arial" pitchFamily="34" charset="0"/>
            </a:endParaRPr>
          </a:p>
        </c:rich>
      </c:tx>
      <c:overlay val="1"/>
    </c:title>
    <c:autoTitleDeleted val="0"/>
    <c:plotArea>
      <c:layout>
        <c:manualLayout>
          <c:layoutTarget val="inner"/>
          <c:xMode val="edge"/>
          <c:yMode val="edge"/>
          <c:x val="9.7931855740254745E-2"/>
          <c:y val="0.18046400414585553"/>
          <c:w val="0.87984721817180778"/>
          <c:h val="0.71650666435797528"/>
        </c:manualLayout>
      </c:layout>
      <c:barChart>
        <c:barDir val="col"/>
        <c:grouping val="clustered"/>
        <c:varyColors val="0"/>
        <c:ser>
          <c:idx val="0"/>
          <c:order val="0"/>
          <c:tx>
            <c:strRef>
              <c:f>Sheet1!$A$3</c:f>
              <c:strCache>
                <c:ptCount val="1"/>
                <c:pt idx="0">
                  <c:v>PM10</c:v>
                </c:pt>
              </c:strCache>
            </c:strRef>
          </c:tx>
          <c:spPr>
            <a:solidFill>
              <a:srgbClr val="FFC000"/>
            </a:solidFill>
            <a:ln>
              <a:noFill/>
            </a:ln>
          </c:spPr>
          <c:invertIfNegative val="0"/>
          <c:cat>
            <c:numRef>
              <c:f>Sheet1!$B$2:$H$2</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General</c:formatCode>
                <c:ptCount val="7"/>
                <c:pt idx="0">
                  <c:v>14.186314223</c:v>
                </c:pt>
                <c:pt idx="2">
                  <c:v>22.63599453001309</c:v>
                </c:pt>
                <c:pt idx="3">
                  <c:v>9.9122822973424771</c:v>
                </c:pt>
                <c:pt idx="5">
                  <c:v>7.4729999999999999</c:v>
                </c:pt>
                <c:pt idx="6">
                  <c:v>5.593</c:v>
                </c:pt>
              </c:numCache>
            </c:numRef>
          </c:val>
        </c:ser>
        <c:ser>
          <c:idx val="1"/>
          <c:order val="1"/>
          <c:tx>
            <c:strRef>
              <c:f>Sheet1!$A$4</c:f>
              <c:strCache>
                <c:ptCount val="1"/>
                <c:pt idx="0">
                  <c:v>PM2,5</c:v>
                </c:pt>
              </c:strCache>
            </c:strRef>
          </c:tx>
          <c:spPr>
            <a:solidFill>
              <a:schemeClr val="tx2"/>
            </a:solidFill>
          </c:spPr>
          <c:invertIfNegative val="0"/>
          <c:dPt>
            <c:idx val="3"/>
            <c:invertIfNegative val="0"/>
            <c:bubble3D val="0"/>
            <c:spPr>
              <a:solidFill>
                <a:srgbClr val="1B416F"/>
              </a:solidFill>
            </c:spPr>
          </c:dPt>
          <c:cat>
            <c:numRef>
              <c:f>Sheet1!$B$2:$H$2</c:f>
              <c:numCache>
                <c:formatCode>General</c:formatCode>
                <c:ptCount val="7"/>
                <c:pt idx="0">
                  <c:v>2010</c:v>
                </c:pt>
                <c:pt idx="1">
                  <c:v>2011</c:v>
                </c:pt>
                <c:pt idx="2">
                  <c:v>2012</c:v>
                </c:pt>
                <c:pt idx="3">
                  <c:v>2013</c:v>
                </c:pt>
                <c:pt idx="4">
                  <c:v>2014</c:v>
                </c:pt>
                <c:pt idx="5">
                  <c:v>2015</c:v>
                </c:pt>
                <c:pt idx="6">
                  <c:v>2016</c:v>
                </c:pt>
              </c:numCache>
            </c:numRef>
          </c:cat>
          <c:val>
            <c:numRef>
              <c:f>Sheet1!$B$4:$H$4</c:f>
              <c:numCache>
                <c:formatCode>General</c:formatCode>
                <c:ptCount val="7"/>
                <c:pt idx="2">
                  <c:v>18.52554821248982</c:v>
                </c:pt>
                <c:pt idx="3">
                  <c:v>9.3730543509459618</c:v>
                </c:pt>
                <c:pt idx="5">
                  <c:v>6.4980000000000002</c:v>
                </c:pt>
                <c:pt idx="6">
                  <c:v>5.577</c:v>
                </c:pt>
              </c:numCache>
            </c:numRef>
          </c:val>
        </c:ser>
        <c:dLbls>
          <c:showLegendKey val="0"/>
          <c:showVal val="0"/>
          <c:showCatName val="0"/>
          <c:showSerName val="0"/>
          <c:showPercent val="0"/>
          <c:showBubbleSize val="0"/>
        </c:dLbls>
        <c:gapWidth val="500"/>
        <c:overlap val="-100"/>
        <c:axId val="319257984"/>
        <c:axId val="319267968"/>
      </c:barChart>
      <c:catAx>
        <c:axId val="319257984"/>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267968"/>
        <c:crosses val="autoZero"/>
        <c:auto val="1"/>
        <c:lblAlgn val="ctr"/>
        <c:lblOffset val="100"/>
        <c:noMultiLvlLbl val="0"/>
      </c:catAx>
      <c:valAx>
        <c:axId val="319267968"/>
        <c:scaling>
          <c:orientation val="minMax"/>
          <c:max val="25"/>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t</a:t>
                </a:r>
              </a:p>
            </c:rich>
          </c:tx>
          <c:layout>
            <c:manualLayout>
              <c:xMode val="edge"/>
              <c:yMode val="edge"/>
              <c:x val="0.10909693792381767"/>
              <c:y val="0.11910186193311526"/>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257984"/>
        <c:crosses val="autoZero"/>
        <c:crossBetween val="between"/>
      </c:valAx>
    </c:plotArea>
    <c:legend>
      <c:legendPos val="r"/>
      <c:layout>
        <c:manualLayout>
          <c:xMode val="edge"/>
          <c:yMode val="edge"/>
          <c:x val="0.75459786516009364"/>
          <c:y val="0.21144784976532799"/>
          <c:w val="0.19539401603131171"/>
          <c:h val="8.8441161696350287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Benzen </a:t>
            </a:r>
            <a:r>
              <a:rPr lang="en-US" sz="1200" b="1" i="0" u="none" strike="noStrike" baseline="0"/>
              <a:t>- Evolutia concentratiilor medii anuale inregistrate
in anul 2017 la statiile de monitorizare</a:t>
            </a:r>
            <a:endParaRPr lang="en-US"/>
          </a:p>
        </c:rich>
      </c:tx>
      <c:layout>
        <c:manualLayout>
          <c:xMode val="edge"/>
          <c:yMode val="edge"/>
          <c:x val="0.24851207349081375"/>
          <c:y val="1.5194681861348529E-2"/>
        </c:manualLayout>
      </c:layout>
      <c:overlay val="0"/>
      <c:spPr>
        <a:noFill/>
        <a:ln w="25400">
          <a:noFill/>
        </a:ln>
      </c:spPr>
    </c:title>
    <c:autoTitleDeleted val="0"/>
    <c:plotArea>
      <c:layout>
        <c:manualLayout>
          <c:layoutTarget val="inner"/>
          <c:xMode val="edge"/>
          <c:yMode val="edge"/>
          <c:x val="6.1011993425632211E-2"/>
          <c:y val="0.15384658188262873"/>
          <c:w val="0.9092275117819818"/>
          <c:h val="0.74359181243270533"/>
        </c:manualLayout>
      </c:layout>
      <c:barChart>
        <c:barDir val="col"/>
        <c:grouping val="clustered"/>
        <c:varyColors val="0"/>
        <c:ser>
          <c:idx val="0"/>
          <c:order val="0"/>
          <c:tx>
            <c:strRef>
              <c:f>Sheet1!$A$2</c:f>
              <c:strCache>
                <c:ptCount val="1"/>
                <c:pt idx="0">
                  <c:v>2017</c:v>
                </c:pt>
              </c:strCache>
            </c:strRef>
          </c:tx>
          <c:spPr>
            <a:solidFill>
              <a:srgbClr val="FFCC00"/>
            </a:solidFill>
            <a:ln w="25400">
              <a:noFill/>
            </a:ln>
          </c:spPr>
          <c:invertIfNegative val="0"/>
          <c:cat>
            <c:strRef>
              <c:f>Sheet1!$C$1:$H$1</c:f>
              <c:strCache>
                <c:ptCount val="4"/>
                <c:pt idx="0">
                  <c:v>CT-2</c:v>
                </c:pt>
                <c:pt idx="1">
                  <c:v>CT-3 </c:v>
                </c:pt>
                <c:pt idx="2">
                  <c:v>CT4</c:v>
                </c:pt>
                <c:pt idx="3">
                  <c:v>CT-6 </c:v>
                </c:pt>
              </c:strCache>
            </c:strRef>
          </c:cat>
          <c:val>
            <c:numRef>
              <c:f>Sheet1!$C$2:$H$2</c:f>
              <c:numCache>
                <c:formatCode>General</c:formatCode>
                <c:ptCount val="4"/>
                <c:pt idx="0">
                  <c:v>1.93</c:v>
                </c:pt>
                <c:pt idx="1">
                  <c:v>3.09</c:v>
                </c:pt>
                <c:pt idx="2">
                  <c:v>1.63</c:v>
                </c:pt>
                <c:pt idx="3">
                  <c:v>2.17</c:v>
                </c:pt>
              </c:numCache>
            </c:numRef>
          </c:val>
        </c:ser>
        <c:dLbls>
          <c:showLegendKey val="0"/>
          <c:showVal val="0"/>
          <c:showCatName val="0"/>
          <c:showSerName val="0"/>
          <c:showPercent val="0"/>
          <c:showBubbleSize val="0"/>
        </c:dLbls>
        <c:gapWidth val="150"/>
        <c:axId val="303631360"/>
        <c:axId val="303641344"/>
      </c:barChart>
      <c:lineChart>
        <c:grouping val="stacked"/>
        <c:varyColors val="0"/>
        <c:ser>
          <c:idx val="1"/>
          <c:order val="1"/>
          <c:tx>
            <c:strRef>
              <c:f>Sheet1!$A$3</c:f>
              <c:strCache>
                <c:ptCount val="1"/>
                <c:pt idx="0">
                  <c:v>cma</c:v>
                </c:pt>
              </c:strCache>
            </c:strRef>
          </c:tx>
          <c:spPr>
            <a:ln w="25400">
              <a:solidFill>
                <a:srgbClr val="FF0000"/>
              </a:solidFill>
              <a:prstDash val="solid"/>
            </a:ln>
          </c:spPr>
          <c:marker>
            <c:symbol val="none"/>
          </c:marker>
          <c:cat>
            <c:strRef>
              <c:f>Sheet1!$C$1:$H$1</c:f>
              <c:strCache>
                <c:ptCount val="4"/>
                <c:pt idx="0">
                  <c:v>CT-2</c:v>
                </c:pt>
                <c:pt idx="1">
                  <c:v>CT-3 </c:v>
                </c:pt>
                <c:pt idx="2">
                  <c:v>CT4</c:v>
                </c:pt>
                <c:pt idx="3">
                  <c:v>CT-6 </c:v>
                </c:pt>
              </c:strCache>
            </c:strRef>
          </c:cat>
          <c:val>
            <c:numRef>
              <c:f>Sheet1!$C$3:$H$3</c:f>
              <c:numCache>
                <c:formatCode>General</c:formatCode>
                <c:ptCount val="4"/>
                <c:pt idx="0">
                  <c:v>5</c:v>
                </c:pt>
                <c:pt idx="1">
                  <c:v>5</c:v>
                </c:pt>
                <c:pt idx="2">
                  <c:v>5</c:v>
                </c:pt>
                <c:pt idx="3">
                  <c:v>5</c:v>
                </c:pt>
              </c:numCache>
            </c:numRef>
          </c:val>
          <c:smooth val="0"/>
        </c:ser>
        <c:dLbls>
          <c:showLegendKey val="0"/>
          <c:showVal val="0"/>
          <c:showCatName val="0"/>
          <c:showSerName val="0"/>
          <c:showPercent val="0"/>
          <c:showBubbleSize val="0"/>
        </c:dLbls>
        <c:marker val="1"/>
        <c:smooth val="0"/>
        <c:axId val="303631360"/>
        <c:axId val="303641344"/>
      </c:lineChart>
      <c:catAx>
        <c:axId val="303631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641344"/>
        <c:crosses val="autoZero"/>
        <c:auto val="1"/>
        <c:lblAlgn val="ctr"/>
        <c:lblOffset val="100"/>
        <c:tickLblSkip val="1"/>
        <c:tickMarkSkip val="1"/>
        <c:noMultiLvlLbl val="0"/>
      </c:catAx>
      <c:valAx>
        <c:axId val="303641344"/>
        <c:scaling>
          <c:orientation val="minMax"/>
          <c:max val="7"/>
        </c:scaling>
        <c:delete val="0"/>
        <c:axPos val="l"/>
        <c:majorGridlines>
          <c:spPr>
            <a:ln w="3175">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n-US"/>
          </a:p>
        </c:txPr>
        <c:crossAx val="303631360"/>
        <c:crosses val="autoZero"/>
        <c:crossBetween val="between"/>
      </c:valAx>
      <c:spPr>
        <a:noFill/>
        <a:ln w="25400">
          <a:noFill/>
        </a:ln>
      </c:spPr>
    </c:plotArea>
    <c:plotVisOnly val="1"/>
    <c:dispBlanksAs val="zero"/>
    <c:showDLblsOverMax val="0"/>
  </c:chart>
  <c:spPr>
    <a:solidFill>
      <a:srgbClr val="FFFFFF"/>
    </a:solidFill>
    <a:ln w="25400">
      <a:solidFill>
        <a:srgbClr val="92D05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metale grele</a:t>
            </a:r>
          </a:p>
        </c:rich>
      </c:tx>
      <c:overlay val="1"/>
    </c:title>
    <c:autoTitleDeleted val="0"/>
    <c:plotArea>
      <c:layout>
        <c:manualLayout>
          <c:layoutTarget val="inner"/>
          <c:xMode val="edge"/>
          <c:yMode val="edge"/>
          <c:x val="9.7931855740254745E-2"/>
          <c:y val="0.11441547770042025"/>
          <c:w val="0.879847218171808"/>
          <c:h val="0.7825551592844604"/>
        </c:manualLayout>
      </c:layout>
      <c:barChart>
        <c:barDir val="col"/>
        <c:grouping val="clustered"/>
        <c:varyColors val="0"/>
        <c:ser>
          <c:idx val="0"/>
          <c:order val="0"/>
          <c:tx>
            <c:strRef>
              <c:f>Sheet1!$A$3</c:f>
              <c:strCache>
                <c:ptCount val="1"/>
                <c:pt idx="0">
                  <c:v>Pb</c:v>
                </c:pt>
              </c:strCache>
            </c:strRef>
          </c:tx>
          <c:spPr>
            <a:solidFill>
              <a:srgbClr val="FFC000"/>
            </a:solidFill>
            <a:ln>
              <a:noFill/>
            </a:ln>
          </c:spPr>
          <c:invertIfNegative val="0"/>
          <c:cat>
            <c:numRef>
              <c:f>Sheet1!$B$2:$J$2</c:f>
              <c:numCache>
                <c:formatCode>General</c:formatCode>
                <c:ptCount val="9"/>
                <c:pt idx="0">
                  <c:v>2007</c:v>
                </c:pt>
                <c:pt idx="1">
                  <c:v>2008</c:v>
                </c:pt>
                <c:pt idx="2">
                  <c:v>2009</c:v>
                </c:pt>
                <c:pt idx="3">
                  <c:v>2010</c:v>
                </c:pt>
                <c:pt idx="4">
                  <c:v>2012</c:v>
                </c:pt>
                <c:pt idx="5">
                  <c:v>2013</c:v>
                </c:pt>
                <c:pt idx="6">
                  <c:v>2014</c:v>
                </c:pt>
                <c:pt idx="7">
                  <c:v>2015</c:v>
                </c:pt>
                <c:pt idx="8">
                  <c:v>2016</c:v>
                </c:pt>
              </c:numCache>
            </c:numRef>
          </c:cat>
          <c:val>
            <c:numRef>
              <c:f>Sheet1!$B$3:$J$3</c:f>
              <c:numCache>
                <c:formatCode>General</c:formatCode>
                <c:ptCount val="9"/>
                <c:pt idx="0">
                  <c:v>500.71869009106996</c:v>
                </c:pt>
                <c:pt idx="1">
                  <c:v>553.56246659782198</c:v>
                </c:pt>
                <c:pt idx="2">
                  <c:v>479.16766425271834</c:v>
                </c:pt>
                <c:pt idx="3">
                  <c:v>14.417253823999999</c:v>
                </c:pt>
                <c:pt idx="4">
                  <c:v>202.37120133523726</c:v>
                </c:pt>
                <c:pt idx="5">
                  <c:v>71.198997672427325</c:v>
                </c:pt>
                <c:pt idx="6">
                  <c:v>123.35368840200091</c:v>
                </c:pt>
                <c:pt idx="7">
                  <c:v>143.79</c:v>
                </c:pt>
                <c:pt idx="8">
                  <c:v>345.815</c:v>
                </c:pt>
              </c:numCache>
            </c:numRef>
          </c:val>
        </c:ser>
        <c:ser>
          <c:idx val="1"/>
          <c:order val="1"/>
          <c:tx>
            <c:strRef>
              <c:f>Sheet1!$A$4</c:f>
              <c:strCache>
                <c:ptCount val="1"/>
                <c:pt idx="0">
                  <c:v>Cd</c:v>
                </c:pt>
              </c:strCache>
            </c:strRef>
          </c:tx>
          <c:spPr>
            <a:solidFill>
              <a:schemeClr val="tx2"/>
            </a:solidFill>
          </c:spPr>
          <c:invertIfNegative val="0"/>
          <c:dPt>
            <c:idx val="3"/>
            <c:invertIfNegative val="0"/>
            <c:bubble3D val="0"/>
            <c:spPr>
              <a:solidFill>
                <a:srgbClr val="1B416F"/>
              </a:solidFill>
            </c:spPr>
          </c:dPt>
          <c:cat>
            <c:numRef>
              <c:f>Sheet1!$B$2:$J$2</c:f>
              <c:numCache>
                <c:formatCode>General</c:formatCode>
                <c:ptCount val="9"/>
                <c:pt idx="0">
                  <c:v>2007</c:v>
                </c:pt>
                <c:pt idx="1">
                  <c:v>2008</c:v>
                </c:pt>
                <c:pt idx="2">
                  <c:v>2009</c:v>
                </c:pt>
                <c:pt idx="3">
                  <c:v>2010</c:v>
                </c:pt>
                <c:pt idx="4">
                  <c:v>2012</c:v>
                </c:pt>
                <c:pt idx="5">
                  <c:v>2013</c:v>
                </c:pt>
                <c:pt idx="6">
                  <c:v>2014</c:v>
                </c:pt>
                <c:pt idx="7">
                  <c:v>2015</c:v>
                </c:pt>
                <c:pt idx="8">
                  <c:v>2016</c:v>
                </c:pt>
              </c:numCache>
            </c:numRef>
          </c:cat>
          <c:val>
            <c:numRef>
              <c:f>Sheet1!$B$4:$J$4</c:f>
              <c:numCache>
                <c:formatCode>General</c:formatCode>
                <c:ptCount val="9"/>
                <c:pt idx="0">
                  <c:v>30.114393639236695</c:v>
                </c:pt>
                <c:pt idx="1">
                  <c:v>26.20706245611763</c:v>
                </c:pt>
                <c:pt idx="2">
                  <c:v>153.62379693342444</c:v>
                </c:pt>
                <c:pt idx="3">
                  <c:v>5.4129287169999944</c:v>
                </c:pt>
                <c:pt idx="4">
                  <c:v>17.84564849445691</c:v>
                </c:pt>
                <c:pt idx="5">
                  <c:v>12.550407156840224</c:v>
                </c:pt>
                <c:pt idx="6">
                  <c:v>11.317535501550006</c:v>
                </c:pt>
                <c:pt idx="7">
                  <c:v>12.764000000000001</c:v>
                </c:pt>
                <c:pt idx="8">
                  <c:v>36.175000000000011</c:v>
                </c:pt>
              </c:numCache>
            </c:numRef>
          </c:val>
        </c:ser>
        <c:ser>
          <c:idx val="2"/>
          <c:order val="2"/>
          <c:tx>
            <c:strRef>
              <c:f>Sheet1!$A$5</c:f>
              <c:strCache>
                <c:ptCount val="1"/>
                <c:pt idx="0">
                  <c:v>Hg</c:v>
                </c:pt>
              </c:strCache>
            </c:strRef>
          </c:tx>
          <c:invertIfNegative val="0"/>
          <c:cat>
            <c:numRef>
              <c:f>Sheet1!$B$2:$J$2</c:f>
              <c:numCache>
                <c:formatCode>General</c:formatCode>
                <c:ptCount val="9"/>
                <c:pt idx="0">
                  <c:v>2007</c:v>
                </c:pt>
                <c:pt idx="1">
                  <c:v>2008</c:v>
                </c:pt>
                <c:pt idx="2">
                  <c:v>2009</c:v>
                </c:pt>
                <c:pt idx="3">
                  <c:v>2010</c:v>
                </c:pt>
                <c:pt idx="4">
                  <c:v>2012</c:v>
                </c:pt>
                <c:pt idx="5">
                  <c:v>2013</c:v>
                </c:pt>
                <c:pt idx="6">
                  <c:v>2014</c:v>
                </c:pt>
                <c:pt idx="7">
                  <c:v>2015</c:v>
                </c:pt>
                <c:pt idx="8">
                  <c:v>2016</c:v>
                </c:pt>
              </c:numCache>
            </c:numRef>
          </c:cat>
          <c:val>
            <c:numRef>
              <c:f>Sheet1!$B$5:$J$5</c:f>
              <c:numCache>
                <c:formatCode>General</c:formatCode>
                <c:ptCount val="9"/>
                <c:pt idx="0">
                  <c:v>615.86616651243889</c:v>
                </c:pt>
                <c:pt idx="1">
                  <c:v>577.89131442348798</c:v>
                </c:pt>
                <c:pt idx="2">
                  <c:v>402.78637084303563</c:v>
                </c:pt>
                <c:pt idx="3">
                  <c:v>5.2345727569999942</c:v>
                </c:pt>
                <c:pt idx="7">
                  <c:v>36.638000000000012</c:v>
                </c:pt>
                <c:pt idx="8">
                  <c:v>96.154999999999987</c:v>
                </c:pt>
              </c:numCache>
            </c:numRef>
          </c:val>
        </c:ser>
        <c:dLbls>
          <c:showLegendKey val="0"/>
          <c:showVal val="0"/>
          <c:showCatName val="0"/>
          <c:showSerName val="0"/>
          <c:showPercent val="0"/>
          <c:showBubbleSize val="0"/>
        </c:dLbls>
        <c:gapWidth val="500"/>
        <c:overlap val="-100"/>
        <c:axId val="319577472"/>
        <c:axId val="319579264"/>
      </c:barChart>
      <c:catAx>
        <c:axId val="319577472"/>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579264"/>
        <c:crosses val="autoZero"/>
        <c:auto val="1"/>
        <c:lblAlgn val="ctr"/>
        <c:lblOffset val="100"/>
        <c:noMultiLvlLbl val="0"/>
      </c:catAx>
      <c:valAx>
        <c:axId val="319579264"/>
        <c:scaling>
          <c:orientation val="minMax"/>
          <c:max val="7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kg</a:t>
                </a:r>
              </a:p>
            </c:rich>
          </c:tx>
          <c:layout>
            <c:manualLayout>
              <c:xMode val="edge"/>
              <c:yMode val="edge"/>
              <c:x val="7.1903357867646192E-2"/>
              <c:y val="4.1397684659169133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577472"/>
        <c:crosses val="autoZero"/>
        <c:crossBetween val="between"/>
      </c:valAx>
    </c:plotArea>
    <c:legend>
      <c:legendPos val="r"/>
      <c:layout>
        <c:manualLayout>
          <c:xMode val="edge"/>
          <c:yMode val="edge"/>
          <c:x val="0.66574653502590764"/>
          <c:y val="0.24252953524926224"/>
          <c:w val="0.22282566428612569"/>
          <c:h val="5.9015126624217012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metale grele din</a:t>
            </a:r>
          </a:p>
          <a:p>
            <a:pPr>
              <a:defRPr/>
            </a:pPr>
            <a:r>
              <a:rPr lang="en-US" sz="1200">
                <a:latin typeface="Arial" pitchFamily="34" charset="0"/>
                <a:cs typeface="Arial" pitchFamily="34" charset="0"/>
              </a:rPr>
              <a:t> sectorul de activitate industrie</a:t>
            </a:r>
          </a:p>
        </c:rich>
      </c:tx>
      <c:overlay val="1"/>
    </c:title>
    <c:autoTitleDeleted val="0"/>
    <c:plotArea>
      <c:layout>
        <c:manualLayout>
          <c:layoutTarget val="inner"/>
          <c:xMode val="edge"/>
          <c:yMode val="edge"/>
          <c:x val="9.7931855740254745E-2"/>
          <c:y val="0.18046400414585559"/>
          <c:w val="0.87984721817180822"/>
          <c:h val="0.71650666435797528"/>
        </c:manualLayout>
      </c:layout>
      <c:barChart>
        <c:barDir val="col"/>
        <c:grouping val="clustered"/>
        <c:varyColors val="0"/>
        <c:ser>
          <c:idx val="0"/>
          <c:order val="0"/>
          <c:tx>
            <c:strRef>
              <c:f>Sheet1!$A$3</c:f>
              <c:strCache>
                <c:ptCount val="1"/>
                <c:pt idx="0">
                  <c:v>Pb</c:v>
                </c:pt>
              </c:strCache>
            </c:strRef>
          </c:tx>
          <c:spPr>
            <a:solidFill>
              <a:srgbClr val="FFC000"/>
            </a:solidFill>
            <a:ln>
              <a:noFill/>
            </a:ln>
          </c:spPr>
          <c:invertIfNegative val="0"/>
          <c:cat>
            <c:numRef>
              <c:f>Sheet1!$B$2:$J$2</c:f>
              <c:numCache>
                <c:formatCode>General</c:formatCode>
                <c:ptCount val="9"/>
                <c:pt idx="0">
                  <c:v>2007</c:v>
                </c:pt>
                <c:pt idx="1">
                  <c:v>2008</c:v>
                </c:pt>
                <c:pt idx="2">
                  <c:v>2009</c:v>
                </c:pt>
                <c:pt idx="3">
                  <c:v>2010</c:v>
                </c:pt>
                <c:pt idx="4">
                  <c:v>2012</c:v>
                </c:pt>
                <c:pt idx="5">
                  <c:v>2013</c:v>
                </c:pt>
                <c:pt idx="6">
                  <c:v>2014</c:v>
                </c:pt>
                <c:pt idx="7">
                  <c:v>2015</c:v>
                </c:pt>
                <c:pt idx="8">
                  <c:v>2016</c:v>
                </c:pt>
              </c:numCache>
            </c:numRef>
          </c:cat>
          <c:val>
            <c:numRef>
              <c:f>Sheet1!$B$3:$J$3</c:f>
              <c:numCache>
                <c:formatCode>General</c:formatCode>
                <c:ptCount val="9"/>
                <c:pt idx="0">
                  <c:v>465.73487999999969</c:v>
                </c:pt>
                <c:pt idx="1">
                  <c:v>435.88080000000002</c:v>
                </c:pt>
                <c:pt idx="2">
                  <c:v>187.32024000000024</c:v>
                </c:pt>
                <c:pt idx="3">
                  <c:v>1.7040617399999982</c:v>
                </c:pt>
                <c:pt idx="4">
                  <c:v>202.37120133523726</c:v>
                </c:pt>
                <c:pt idx="5">
                  <c:v>71.198997672427325</c:v>
                </c:pt>
                <c:pt idx="6">
                  <c:v>123.35368840200091</c:v>
                </c:pt>
                <c:pt idx="7">
                  <c:v>7.3069999999999995</c:v>
                </c:pt>
                <c:pt idx="8">
                  <c:v>178.727</c:v>
                </c:pt>
              </c:numCache>
            </c:numRef>
          </c:val>
        </c:ser>
        <c:ser>
          <c:idx val="1"/>
          <c:order val="1"/>
          <c:tx>
            <c:strRef>
              <c:f>Sheet1!$A$4</c:f>
              <c:strCache>
                <c:ptCount val="1"/>
                <c:pt idx="0">
                  <c:v>Cd</c:v>
                </c:pt>
              </c:strCache>
            </c:strRef>
          </c:tx>
          <c:spPr>
            <a:solidFill>
              <a:schemeClr val="tx2"/>
            </a:solidFill>
          </c:spPr>
          <c:invertIfNegative val="0"/>
          <c:dPt>
            <c:idx val="3"/>
            <c:invertIfNegative val="0"/>
            <c:bubble3D val="0"/>
            <c:spPr>
              <a:solidFill>
                <a:srgbClr val="1B416F"/>
              </a:solidFill>
            </c:spPr>
          </c:dPt>
          <c:cat>
            <c:numRef>
              <c:f>Sheet1!$B$2:$J$2</c:f>
              <c:numCache>
                <c:formatCode>General</c:formatCode>
                <c:ptCount val="9"/>
                <c:pt idx="0">
                  <c:v>2007</c:v>
                </c:pt>
                <c:pt idx="1">
                  <c:v>2008</c:v>
                </c:pt>
                <c:pt idx="2">
                  <c:v>2009</c:v>
                </c:pt>
                <c:pt idx="3">
                  <c:v>2010</c:v>
                </c:pt>
                <c:pt idx="4">
                  <c:v>2012</c:v>
                </c:pt>
                <c:pt idx="5">
                  <c:v>2013</c:v>
                </c:pt>
                <c:pt idx="6">
                  <c:v>2014</c:v>
                </c:pt>
                <c:pt idx="7">
                  <c:v>2015</c:v>
                </c:pt>
                <c:pt idx="8">
                  <c:v>2016</c:v>
                </c:pt>
              </c:numCache>
            </c:numRef>
          </c:cat>
          <c:val>
            <c:numRef>
              <c:f>Sheet1!$B$4:$J$4</c:f>
              <c:numCache>
                <c:formatCode>General</c:formatCode>
                <c:ptCount val="9"/>
                <c:pt idx="0">
                  <c:v>17.244917999999988</c:v>
                </c:pt>
                <c:pt idx="1">
                  <c:v>16.13664</c:v>
                </c:pt>
                <c:pt idx="2">
                  <c:v>6.9319599999999992</c:v>
                </c:pt>
                <c:pt idx="3">
                  <c:v>1.6440337220000001</c:v>
                </c:pt>
                <c:pt idx="4">
                  <c:v>17.84564849445691</c:v>
                </c:pt>
                <c:pt idx="5">
                  <c:v>12.550407156840224</c:v>
                </c:pt>
                <c:pt idx="6">
                  <c:v>11.317535501550006</c:v>
                </c:pt>
                <c:pt idx="7">
                  <c:v>4.25</c:v>
                </c:pt>
                <c:pt idx="8">
                  <c:v>16.056000000000001</c:v>
                </c:pt>
              </c:numCache>
            </c:numRef>
          </c:val>
        </c:ser>
        <c:ser>
          <c:idx val="2"/>
          <c:order val="2"/>
          <c:tx>
            <c:strRef>
              <c:f>Sheet1!$A$5</c:f>
              <c:strCache>
                <c:ptCount val="1"/>
                <c:pt idx="0">
                  <c:v>Hg</c:v>
                </c:pt>
              </c:strCache>
            </c:strRef>
          </c:tx>
          <c:invertIfNegative val="0"/>
          <c:cat>
            <c:numRef>
              <c:f>Sheet1!$B$2:$J$2</c:f>
              <c:numCache>
                <c:formatCode>General</c:formatCode>
                <c:ptCount val="9"/>
                <c:pt idx="0">
                  <c:v>2007</c:v>
                </c:pt>
                <c:pt idx="1">
                  <c:v>2008</c:v>
                </c:pt>
                <c:pt idx="2">
                  <c:v>2009</c:v>
                </c:pt>
                <c:pt idx="3">
                  <c:v>2010</c:v>
                </c:pt>
                <c:pt idx="4">
                  <c:v>2012</c:v>
                </c:pt>
                <c:pt idx="5">
                  <c:v>2013</c:v>
                </c:pt>
                <c:pt idx="6">
                  <c:v>2014</c:v>
                </c:pt>
                <c:pt idx="7">
                  <c:v>2015</c:v>
                </c:pt>
                <c:pt idx="8">
                  <c:v>2016</c:v>
                </c:pt>
              </c:numCache>
            </c:numRef>
          </c:cat>
          <c:val>
            <c:numRef>
              <c:f>Sheet1!$B$5:$J$5</c:f>
              <c:numCache>
                <c:formatCode>General</c:formatCode>
                <c:ptCount val="9"/>
                <c:pt idx="0">
                  <c:v>593.40748062683053</c:v>
                </c:pt>
                <c:pt idx="1">
                  <c:v>555.51369458767465</c:v>
                </c:pt>
                <c:pt idx="2">
                  <c:v>239.04442660777249</c:v>
                </c:pt>
                <c:pt idx="3">
                  <c:v>0.49136905000000008</c:v>
                </c:pt>
                <c:pt idx="7">
                  <c:v>0.80500000000000005</c:v>
                </c:pt>
                <c:pt idx="8">
                  <c:v>45.708000000000013</c:v>
                </c:pt>
              </c:numCache>
            </c:numRef>
          </c:val>
        </c:ser>
        <c:dLbls>
          <c:showLegendKey val="0"/>
          <c:showVal val="0"/>
          <c:showCatName val="0"/>
          <c:showSerName val="0"/>
          <c:showPercent val="0"/>
          <c:showBubbleSize val="0"/>
        </c:dLbls>
        <c:gapWidth val="500"/>
        <c:overlap val="-100"/>
        <c:axId val="319593856"/>
        <c:axId val="319493248"/>
      </c:barChart>
      <c:catAx>
        <c:axId val="319593856"/>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493248"/>
        <c:crosses val="autoZero"/>
        <c:auto val="1"/>
        <c:lblAlgn val="ctr"/>
        <c:lblOffset val="100"/>
        <c:noMultiLvlLbl val="0"/>
      </c:catAx>
      <c:valAx>
        <c:axId val="319493248"/>
        <c:scaling>
          <c:orientation val="minMax"/>
          <c:max val="7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kg</a:t>
                </a:r>
              </a:p>
            </c:rich>
          </c:tx>
          <c:layout>
            <c:manualLayout>
              <c:xMode val="edge"/>
              <c:yMode val="edge"/>
              <c:x val="9.6699077905093564E-2"/>
              <c:y val="8.8020212885071794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593856"/>
        <c:crosses val="autoZero"/>
        <c:crossBetween val="between"/>
      </c:valAx>
    </c:plotArea>
    <c:legend>
      <c:legendPos val="r"/>
      <c:layout>
        <c:manualLayout>
          <c:xMode val="edge"/>
          <c:yMode val="edge"/>
          <c:x val="0.67814439504463064"/>
          <c:y val="0.31246332758811635"/>
          <c:w val="0.19389732424243736"/>
          <c:h val="6.2900337309708912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metale grele din</a:t>
            </a:r>
          </a:p>
          <a:p>
            <a:pPr>
              <a:defRPr/>
            </a:pPr>
            <a:r>
              <a:rPr lang="en-US" sz="1200">
                <a:latin typeface="Arial" pitchFamily="34" charset="0"/>
                <a:cs typeface="Arial" pitchFamily="34" charset="0"/>
              </a:rPr>
              <a:t> sectorul de activitate transport</a:t>
            </a:r>
          </a:p>
        </c:rich>
      </c:tx>
      <c:overlay val="1"/>
    </c:title>
    <c:autoTitleDeleted val="0"/>
    <c:plotArea>
      <c:layout>
        <c:manualLayout>
          <c:layoutTarget val="inner"/>
          <c:xMode val="edge"/>
          <c:yMode val="edge"/>
          <c:x val="9.7931855740254745E-2"/>
          <c:y val="0.16492316615817329"/>
          <c:w val="0.87984721817180844"/>
          <c:h val="0.73204750234565763"/>
        </c:manualLayout>
      </c:layout>
      <c:barChart>
        <c:barDir val="col"/>
        <c:grouping val="clustered"/>
        <c:varyColors val="0"/>
        <c:ser>
          <c:idx val="0"/>
          <c:order val="0"/>
          <c:tx>
            <c:strRef>
              <c:f>Sheet1!$A$3</c:f>
              <c:strCache>
                <c:ptCount val="1"/>
                <c:pt idx="0">
                  <c:v>Pb</c:v>
                </c:pt>
              </c:strCache>
            </c:strRef>
          </c:tx>
          <c:spPr>
            <a:solidFill>
              <a:srgbClr val="FFC000"/>
            </a:solidFill>
            <a:ln>
              <a:noFill/>
            </a:ln>
          </c:spPr>
          <c:invertIfNegative val="0"/>
          <c:cat>
            <c:numRef>
              <c:f>Sheet1!$B$2:$I$2</c:f>
              <c:numCache>
                <c:formatCode>General</c:formatCode>
                <c:ptCount val="8"/>
                <c:pt idx="0">
                  <c:v>2007</c:v>
                </c:pt>
                <c:pt idx="1">
                  <c:v>2008</c:v>
                </c:pt>
                <c:pt idx="2">
                  <c:v>2009</c:v>
                </c:pt>
                <c:pt idx="3">
                  <c:v>2012</c:v>
                </c:pt>
                <c:pt idx="4">
                  <c:v>2013</c:v>
                </c:pt>
                <c:pt idx="5">
                  <c:v>2014</c:v>
                </c:pt>
                <c:pt idx="6">
                  <c:v>2015</c:v>
                </c:pt>
                <c:pt idx="7">
                  <c:v>2016</c:v>
                </c:pt>
              </c:numCache>
            </c:numRef>
          </c:cat>
          <c:val>
            <c:numRef>
              <c:f>Sheet1!$B$3:$I$3</c:f>
              <c:numCache>
                <c:formatCode>General</c:formatCode>
                <c:ptCount val="8"/>
                <c:pt idx="1">
                  <c:v>80.805617190421827</c:v>
                </c:pt>
                <c:pt idx="2">
                  <c:v>68.403146153218003</c:v>
                </c:pt>
                <c:pt idx="4">
                  <c:v>1.970995085079629</c:v>
                </c:pt>
                <c:pt idx="5">
                  <c:v>1.3435106256000018E-4</c:v>
                </c:pt>
                <c:pt idx="6">
                  <c:v>93.897999999999996</c:v>
                </c:pt>
                <c:pt idx="7">
                  <c:v>65.588999999999999</c:v>
                </c:pt>
              </c:numCache>
            </c:numRef>
          </c:val>
        </c:ser>
        <c:dLbls>
          <c:showLegendKey val="0"/>
          <c:showVal val="0"/>
          <c:showCatName val="0"/>
          <c:showSerName val="0"/>
          <c:showPercent val="0"/>
          <c:showBubbleSize val="0"/>
        </c:dLbls>
        <c:gapWidth val="500"/>
        <c:overlap val="-100"/>
        <c:axId val="319516672"/>
        <c:axId val="319518208"/>
      </c:barChart>
      <c:lineChart>
        <c:grouping val="standard"/>
        <c:varyColors val="0"/>
        <c:ser>
          <c:idx val="1"/>
          <c:order val="1"/>
          <c:tx>
            <c:strRef>
              <c:f>Sheet1!$A$4</c:f>
              <c:strCache>
                <c:ptCount val="1"/>
                <c:pt idx="0">
                  <c:v>Cd</c:v>
                </c:pt>
              </c:strCache>
            </c:strRef>
          </c:tx>
          <c:spPr>
            <a:ln w="41275">
              <a:solidFill>
                <a:srgbClr val="1B416F"/>
              </a:solidFill>
            </a:ln>
          </c:spPr>
          <c:marker>
            <c:symbol val="circle"/>
            <c:size val="5"/>
            <c:spPr>
              <a:solidFill>
                <a:srgbClr val="FFCCFF"/>
              </a:solidFill>
              <a:ln>
                <a:solidFill>
                  <a:srgbClr val="1F497D">
                    <a:lumMod val="20000"/>
                    <a:lumOff val="80000"/>
                  </a:srgbClr>
                </a:solidFill>
              </a:ln>
            </c:spPr>
          </c:marker>
          <c:dPt>
            <c:idx val="3"/>
            <c:bubble3D val="0"/>
            <c:spPr>
              <a:ln w="41275">
                <a:solidFill>
                  <a:srgbClr val="1B416F"/>
                </a:solidFill>
              </a:ln>
            </c:spPr>
          </c:dPt>
          <c:cat>
            <c:numRef>
              <c:f>Sheet1!$B$2:$I$2</c:f>
              <c:numCache>
                <c:formatCode>General</c:formatCode>
                <c:ptCount val="8"/>
                <c:pt idx="0">
                  <c:v>2007</c:v>
                </c:pt>
                <c:pt idx="1">
                  <c:v>2008</c:v>
                </c:pt>
                <c:pt idx="2">
                  <c:v>2009</c:v>
                </c:pt>
                <c:pt idx="3">
                  <c:v>2012</c:v>
                </c:pt>
                <c:pt idx="4">
                  <c:v>2013</c:v>
                </c:pt>
                <c:pt idx="5">
                  <c:v>2014</c:v>
                </c:pt>
                <c:pt idx="6">
                  <c:v>2015</c:v>
                </c:pt>
                <c:pt idx="7">
                  <c:v>2016</c:v>
                </c:pt>
              </c:numCache>
            </c:numRef>
          </c:cat>
          <c:val>
            <c:numRef>
              <c:f>Sheet1!$B$4:$I$4</c:f>
              <c:numCache>
                <c:formatCode>General</c:formatCode>
                <c:ptCount val="8"/>
                <c:pt idx="0">
                  <c:v>1.2111082667505722E-4</c:v>
                </c:pt>
                <c:pt idx="1">
                  <c:v>1.9421699176270023E-3</c:v>
                </c:pt>
                <c:pt idx="2">
                  <c:v>2.3473149243817006E-3</c:v>
                </c:pt>
                <c:pt idx="3">
                  <c:v>0.73883571374025003</c:v>
                </c:pt>
                <c:pt idx="4">
                  <c:v>0.1905917791663774</c:v>
                </c:pt>
                <c:pt idx="5">
                  <c:v>1.0492766119888001E-2</c:v>
                </c:pt>
                <c:pt idx="6">
                  <c:v>1.1581999999999999</c:v>
                </c:pt>
                <c:pt idx="7">
                  <c:v>1.6400000000000001</c:v>
                </c:pt>
              </c:numCache>
            </c:numRef>
          </c:val>
          <c:smooth val="0"/>
        </c:ser>
        <c:dLbls>
          <c:showLegendKey val="0"/>
          <c:showVal val="0"/>
          <c:showCatName val="0"/>
          <c:showSerName val="0"/>
          <c:showPercent val="0"/>
          <c:showBubbleSize val="0"/>
        </c:dLbls>
        <c:marker val="1"/>
        <c:smooth val="0"/>
        <c:axId val="319526016"/>
        <c:axId val="319520128"/>
      </c:lineChart>
      <c:catAx>
        <c:axId val="319516672"/>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518208"/>
        <c:crosses val="autoZero"/>
        <c:auto val="1"/>
        <c:lblAlgn val="ctr"/>
        <c:lblOffset val="100"/>
        <c:noMultiLvlLbl val="0"/>
      </c:catAx>
      <c:valAx>
        <c:axId val="319518208"/>
        <c:scaling>
          <c:orientation val="minMax"/>
          <c:max val="100"/>
          <c:min val="0"/>
        </c:scaling>
        <c:delete val="0"/>
        <c:axPos val="l"/>
        <c:majorGridlines>
          <c:spPr>
            <a:ln>
              <a:solidFill>
                <a:schemeClr val="bg1">
                  <a:lumMod val="85000"/>
                </a:schemeClr>
              </a:solidFill>
              <a:prstDash val="sysDot"/>
            </a:ln>
          </c:spPr>
        </c:majorGridlines>
        <c:title>
          <c:tx>
            <c:rich>
              <a:bodyPr rot="0" vert="horz"/>
              <a:lstStyle/>
              <a:p>
                <a:pPr>
                  <a:defRPr b="0" i="0" baseline="0">
                    <a:latin typeface="Arial" pitchFamily="34" charset="0"/>
                  </a:defRPr>
                </a:pPr>
                <a:r>
                  <a:rPr lang="en-US" b="0" i="0" baseline="0">
                    <a:latin typeface="Arial" pitchFamily="34" charset="0"/>
                  </a:rPr>
                  <a:t>kg</a:t>
                </a:r>
              </a:p>
            </c:rich>
          </c:tx>
          <c:layout>
            <c:manualLayout>
              <c:xMode val="edge"/>
              <c:yMode val="edge"/>
              <c:x val="5.3306567839560781E-2"/>
              <c:y val="7.2479347970069816E-2"/>
            </c:manualLayout>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516672"/>
        <c:crosses val="autoZero"/>
        <c:crossBetween val="between"/>
      </c:valAx>
      <c:valAx>
        <c:axId val="319520128"/>
        <c:scaling>
          <c:orientation val="minMax"/>
        </c:scaling>
        <c:delete val="0"/>
        <c:axPos val="r"/>
        <c:numFmt formatCode="General" sourceLinked="1"/>
        <c:majorTickMark val="out"/>
        <c:minorTickMark val="none"/>
        <c:tickLblPos val="nextTo"/>
        <c:spPr>
          <a:solidFill>
            <a:srgbClr val="FFCCFF"/>
          </a:solidFill>
          <a:ln w="31750" cap="sq">
            <a:solidFill>
              <a:srgbClr val="1B416F"/>
            </a:solidFill>
            <a:headEnd type="oval"/>
            <a:tailEnd type="oval"/>
          </a:ln>
        </c:spPr>
        <c:txPr>
          <a:bodyPr/>
          <a:lstStyle/>
          <a:p>
            <a:pPr>
              <a:defRPr b="1">
                <a:solidFill>
                  <a:srgbClr val="1B416F"/>
                </a:solidFill>
              </a:defRPr>
            </a:pPr>
            <a:endParaRPr lang="en-US"/>
          </a:p>
        </c:txPr>
        <c:crossAx val="319526016"/>
        <c:crosses val="max"/>
        <c:crossBetween val="between"/>
      </c:valAx>
      <c:catAx>
        <c:axId val="319526016"/>
        <c:scaling>
          <c:orientation val="minMax"/>
        </c:scaling>
        <c:delete val="1"/>
        <c:axPos val="b"/>
        <c:title>
          <c:tx>
            <c:rich>
              <a:bodyPr/>
              <a:lstStyle/>
              <a:p>
                <a:pPr>
                  <a:defRPr/>
                </a:pPr>
                <a:r>
                  <a:rPr lang="en-US">
                    <a:solidFill>
                      <a:srgbClr val="CCECFF"/>
                    </a:solidFill>
                  </a:rPr>
                  <a:t>Cd kg</a:t>
                </a:r>
              </a:p>
            </c:rich>
          </c:tx>
          <c:layout>
            <c:manualLayout>
              <c:xMode val="edge"/>
              <c:yMode val="edge"/>
              <c:x val="0.91661202605437964"/>
              <c:y val="9.3949566309666221E-2"/>
            </c:manualLayout>
          </c:layout>
          <c:overlay val="0"/>
        </c:title>
        <c:numFmt formatCode="General" sourceLinked="1"/>
        <c:majorTickMark val="out"/>
        <c:minorTickMark val="none"/>
        <c:tickLblPos val="nextTo"/>
        <c:crossAx val="319520128"/>
        <c:crosses val="autoZero"/>
        <c:auto val="1"/>
        <c:lblAlgn val="ctr"/>
        <c:lblOffset val="100"/>
        <c:noMultiLvlLbl val="0"/>
      </c:catAx>
    </c:plotArea>
    <c:legend>
      <c:legendPos val="r"/>
      <c:layout>
        <c:manualLayout>
          <c:xMode val="edge"/>
          <c:yMode val="edge"/>
          <c:x val="0.57689520489172064"/>
          <c:y val="0.26584071803566311"/>
          <c:w val="0.18976470423619624"/>
          <c:h val="4.735948007942959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Tendinta emisiilor de  poluanti organici persistenti</a:t>
            </a:r>
          </a:p>
        </c:rich>
      </c:tx>
      <c:overlay val="1"/>
    </c:title>
    <c:autoTitleDeleted val="0"/>
    <c:plotArea>
      <c:layout>
        <c:manualLayout>
          <c:layoutTarget val="inner"/>
          <c:xMode val="edge"/>
          <c:yMode val="edge"/>
          <c:x val="9.7931855740254745E-2"/>
          <c:y val="0.18046400414585556"/>
          <c:w val="0.879847218171808"/>
          <c:h val="0.71650666435797528"/>
        </c:manualLayout>
      </c:layout>
      <c:barChart>
        <c:barDir val="col"/>
        <c:grouping val="clustered"/>
        <c:varyColors val="0"/>
        <c:ser>
          <c:idx val="2"/>
          <c:order val="2"/>
          <c:tx>
            <c:strRef>
              <c:f>Sheet1!$A$5</c:f>
              <c:strCache>
                <c:ptCount val="1"/>
                <c:pt idx="0">
                  <c:v>HCB (kg)</c:v>
                </c:pt>
              </c:strCache>
            </c:strRef>
          </c:tx>
          <c:invertIfNegative val="0"/>
          <c:cat>
            <c:numRef>
              <c:f>Sheet1!$B$2:$D$2</c:f>
              <c:numCache>
                <c:formatCode>General</c:formatCode>
                <c:ptCount val="3"/>
                <c:pt idx="0">
                  <c:v>2014</c:v>
                </c:pt>
                <c:pt idx="1">
                  <c:v>2015</c:v>
                </c:pt>
                <c:pt idx="2">
                  <c:v>2016</c:v>
                </c:pt>
              </c:numCache>
            </c:numRef>
          </c:cat>
          <c:val>
            <c:numRef>
              <c:f>Sheet1!$B$5:$D$5</c:f>
              <c:numCache>
                <c:formatCode>General</c:formatCode>
                <c:ptCount val="3"/>
                <c:pt idx="0">
                  <c:v>34.907000000000004</c:v>
                </c:pt>
                <c:pt idx="1">
                  <c:v>26.494</c:v>
                </c:pt>
                <c:pt idx="2">
                  <c:v>142.89800000000011</c:v>
                </c:pt>
              </c:numCache>
            </c:numRef>
          </c:val>
        </c:ser>
        <c:dLbls>
          <c:showLegendKey val="0"/>
          <c:showVal val="0"/>
          <c:showCatName val="0"/>
          <c:showSerName val="0"/>
          <c:showPercent val="0"/>
          <c:showBubbleSize val="0"/>
        </c:dLbls>
        <c:gapWidth val="500"/>
        <c:overlap val="-100"/>
        <c:axId val="319701376"/>
        <c:axId val="319702912"/>
      </c:barChart>
      <c:barChart>
        <c:barDir val="col"/>
        <c:grouping val="clustered"/>
        <c:varyColors val="0"/>
        <c:ser>
          <c:idx val="0"/>
          <c:order val="0"/>
          <c:tx>
            <c:strRef>
              <c:f>Sheet1!$A$3</c:f>
              <c:strCache>
                <c:ptCount val="1"/>
                <c:pt idx="0">
                  <c:v>PCDD/PCDF (g)</c:v>
                </c:pt>
              </c:strCache>
            </c:strRef>
          </c:tx>
          <c:spPr>
            <a:solidFill>
              <a:srgbClr val="FFC000"/>
            </a:solidFill>
            <a:ln>
              <a:noFill/>
            </a:ln>
          </c:spPr>
          <c:invertIfNegative val="0"/>
          <c:cat>
            <c:numRef>
              <c:f>Sheet1!$B$2:$D$2</c:f>
              <c:numCache>
                <c:formatCode>General</c:formatCode>
                <c:ptCount val="3"/>
                <c:pt idx="0">
                  <c:v>2014</c:v>
                </c:pt>
                <c:pt idx="1">
                  <c:v>2015</c:v>
                </c:pt>
                <c:pt idx="2">
                  <c:v>2016</c:v>
                </c:pt>
              </c:numCache>
            </c:numRef>
          </c:cat>
          <c:val>
            <c:numRef>
              <c:f>Sheet1!$B$3:$D$3</c:f>
              <c:numCache>
                <c:formatCode>General</c:formatCode>
                <c:ptCount val="3"/>
                <c:pt idx="0">
                  <c:v>2.3529999999999984</c:v>
                </c:pt>
                <c:pt idx="1">
                  <c:v>10.614000000000001</c:v>
                </c:pt>
                <c:pt idx="2">
                  <c:v>37.506</c:v>
                </c:pt>
              </c:numCache>
            </c:numRef>
          </c:val>
        </c:ser>
        <c:ser>
          <c:idx val="1"/>
          <c:order val="1"/>
          <c:tx>
            <c:strRef>
              <c:f>Sheet1!$A$4</c:f>
              <c:strCache>
                <c:ptCount val="1"/>
                <c:pt idx="0">
                  <c:v>PAH (g)</c:v>
                </c:pt>
              </c:strCache>
            </c:strRef>
          </c:tx>
          <c:spPr>
            <a:solidFill>
              <a:schemeClr val="tx2"/>
            </a:solidFill>
          </c:spPr>
          <c:invertIfNegative val="0"/>
          <c:cat>
            <c:numRef>
              <c:f>Sheet1!$B$2:$D$2</c:f>
              <c:numCache>
                <c:formatCode>General</c:formatCode>
                <c:ptCount val="3"/>
                <c:pt idx="0">
                  <c:v>2014</c:v>
                </c:pt>
                <c:pt idx="1">
                  <c:v>2015</c:v>
                </c:pt>
                <c:pt idx="2">
                  <c:v>2016</c:v>
                </c:pt>
              </c:numCache>
            </c:numRef>
          </c:cat>
          <c:val>
            <c:numRef>
              <c:f>Sheet1!$B$4:$D$4</c:f>
              <c:numCache>
                <c:formatCode>General</c:formatCode>
                <c:ptCount val="3"/>
                <c:pt idx="0">
                  <c:v>0</c:v>
                </c:pt>
                <c:pt idx="1">
                  <c:v>3.5000000000000018E-3</c:v>
                </c:pt>
                <c:pt idx="2">
                  <c:v>28.748999999999981</c:v>
                </c:pt>
              </c:numCache>
            </c:numRef>
          </c:val>
        </c:ser>
        <c:dLbls>
          <c:showLegendKey val="0"/>
          <c:showVal val="0"/>
          <c:showCatName val="0"/>
          <c:showSerName val="0"/>
          <c:showPercent val="0"/>
          <c:showBubbleSize val="0"/>
        </c:dLbls>
        <c:gapWidth val="500"/>
        <c:overlap val="-100"/>
        <c:axId val="319718528"/>
        <c:axId val="319704448"/>
      </c:barChart>
      <c:catAx>
        <c:axId val="319701376"/>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319702912"/>
        <c:crosses val="autoZero"/>
        <c:auto val="1"/>
        <c:lblAlgn val="ctr"/>
        <c:lblOffset val="100"/>
        <c:noMultiLvlLbl val="0"/>
      </c:catAx>
      <c:valAx>
        <c:axId val="319702912"/>
        <c:scaling>
          <c:orientation val="minMax"/>
          <c:max val="150"/>
          <c:min val="0"/>
        </c:scaling>
        <c:delete val="0"/>
        <c:axPos val="l"/>
        <c:majorGridlines>
          <c:spPr>
            <a:ln>
              <a:solidFill>
                <a:schemeClr val="bg1">
                  <a:lumMod val="85000"/>
                </a:schemeClr>
              </a:solidFill>
              <a:prstDash val="sysDot"/>
            </a:ln>
          </c:spPr>
        </c:majorGridlines>
        <c:numFmt formatCode="General" sourceLinked="1"/>
        <c:majorTickMark val="out"/>
        <c:minorTickMark val="none"/>
        <c:tickLblPos val="nextTo"/>
        <c:spPr>
          <a:ln w="31750">
            <a:solidFill>
              <a:schemeClr val="accent3"/>
            </a:solidFill>
            <a:headEnd type="oval"/>
            <a:tailEnd type="oval"/>
          </a:ln>
        </c:spPr>
        <c:txPr>
          <a:bodyPr/>
          <a:lstStyle/>
          <a:p>
            <a:pPr>
              <a:defRPr b="1">
                <a:solidFill>
                  <a:schemeClr val="accent3"/>
                </a:solidFill>
                <a:latin typeface="Arial" pitchFamily="34" charset="0"/>
                <a:cs typeface="Arial" pitchFamily="34" charset="0"/>
              </a:defRPr>
            </a:pPr>
            <a:endParaRPr lang="en-US"/>
          </a:p>
        </c:txPr>
        <c:crossAx val="319701376"/>
        <c:crosses val="autoZero"/>
        <c:crossBetween val="between"/>
        <c:majorUnit val="25"/>
      </c:valAx>
      <c:valAx>
        <c:axId val="319704448"/>
        <c:scaling>
          <c:orientation val="minMax"/>
        </c:scaling>
        <c:delete val="0"/>
        <c:axPos val="r"/>
        <c:numFmt formatCode="General" sourceLinked="1"/>
        <c:majorTickMark val="out"/>
        <c:minorTickMark val="none"/>
        <c:tickLblPos val="nextTo"/>
        <c:spPr>
          <a:ln w="28575">
            <a:solidFill>
              <a:srgbClr val="FFC000"/>
            </a:solidFill>
            <a:headEnd type="stealth"/>
            <a:tailEnd type="stealth"/>
          </a:ln>
        </c:spPr>
        <c:txPr>
          <a:bodyPr/>
          <a:lstStyle/>
          <a:p>
            <a:pPr>
              <a:defRPr b="1">
                <a:solidFill>
                  <a:schemeClr val="tx2"/>
                </a:solidFill>
              </a:defRPr>
            </a:pPr>
            <a:endParaRPr lang="en-US"/>
          </a:p>
        </c:txPr>
        <c:crossAx val="319718528"/>
        <c:crosses val="max"/>
        <c:crossBetween val="between"/>
      </c:valAx>
      <c:catAx>
        <c:axId val="319718528"/>
        <c:scaling>
          <c:orientation val="minMax"/>
        </c:scaling>
        <c:delete val="1"/>
        <c:axPos val="b"/>
        <c:numFmt formatCode="General" sourceLinked="1"/>
        <c:majorTickMark val="out"/>
        <c:minorTickMark val="none"/>
        <c:tickLblPos val="nextTo"/>
        <c:crossAx val="319704448"/>
        <c:crosses val="autoZero"/>
        <c:auto val="1"/>
        <c:lblAlgn val="ctr"/>
        <c:lblOffset val="100"/>
        <c:noMultiLvlLbl val="0"/>
      </c:catAx>
    </c:plotArea>
    <c:legend>
      <c:legendPos val="r"/>
      <c:layout>
        <c:manualLayout>
          <c:xMode val="edge"/>
          <c:yMode val="edge"/>
          <c:x val="0.12024069420206428"/>
          <c:y val="0.21921827113631134"/>
          <c:w val="0.43978821461379036"/>
          <c:h val="6.67855479952007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noFill/>
    <a:ln w="25400">
      <a:solidFill>
        <a:srgbClr val="00B050"/>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PM10 grav - Evolutia concentratiilor medii anuale inregistrate 
in anul 2016 la statiile de monitorizare</a:t>
            </a:r>
          </a:p>
        </c:rich>
      </c:tx>
      <c:layout>
        <c:manualLayout>
          <c:xMode val="edge"/>
          <c:yMode val="edge"/>
          <c:x val="0.18640695400331414"/>
          <c:y val="1.2886597938144326E-2"/>
        </c:manualLayout>
      </c:layout>
      <c:overlay val="0"/>
      <c:spPr>
        <a:noFill/>
        <a:ln w="25400">
          <a:noFill/>
        </a:ln>
      </c:spPr>
    </c:title>
    <c:autoTitleDeleted val="0"/>
    <c:plotArea>
      <c:layout>
        <c:manualLayout>
          <c:layoutTarget val="inner"/>
          <c:xMode val="edge"/>
          <c:yMode val="edge"/>
          <c:x val="6.7466316255678491E-2"/>
          <c:y val="0.18556724383764536"/>
          <c:w val="0.92203965549426614"/>
          <c:h val="0.68556787306685052"/>
        </c:manualLayout>
      </c:layout>
      <c:barChart>
        <c:barDir val="col"/>
        <c:grouping val="clustered"/>
        <c:varyColors val="0"/>
        <c:ser>
          <c:idx val="0"/>
          <c:order val="0"/>
          <c:tx>
            <c:strRef>
              <c:f>Sheet1!$A$2</c:f>
              <c:strCache>
                <c:ptCount val="1"/>
                <c:pt idx="0">
                  <c:v>2015</c:v>
                </c:pt>
              </c:strCache>
            </c:strRef>
          </c:tx>
          <c:spPr>
            <a:solidFill>
              <a:srgbClr val="7030A0"/>
            </a:solidFill>
            <a:ln w="25400">
              <a:noFill/>
            </a:ln>
          </c:spPr>
          <c:invertIfNegative val="0"/>
          <c:cat>
            <c:strRef>
              <c:f>Sheet1!$B$1:$F$1</c:f>
              <c:strCache>
                <c:ptCount val="5"/>
                <c:pt idx="0">
                  <c:v>CT-1 </c:v>
                </c:pt>
                <c:pt idx="1">
                  <c:v>CT-3 </c:v>
                </c:pt>
                <c:pt idx="2">
                  <c:v>CT-4 </c:v>
                </c:pt>
                <c:pt idx="3">
                  <c:v>CT-5 </c:v>
                </c:pt>
                <c:pt idx="4">
                  <c:v>CT-7 </c:v>
                </c:pt>
              </c:strCache>
            </c:strRef>
          </c:cat>
          <c:val>
            <c:numRef>
              <c:f>Sheet1!$B$2:$F$2</c:f>
              <c:numCache>
                <c:formatCode>General</c:formatCode>
                <c:ptCount val="5"/>
                <c:pt idx="0">
                  <c:v>28.84</c:v>
                </c:pt>
                <c:pt idx="1">
                  <c:v>23.4</c:v>
                </c:pt>
                <c:pt idx="2">
                  <c:v>20.6</c:v>
                </c:pt>
                <c:pt idx="3">
                  <c:v>23.95</c:v>
                </c:pt>
                <c:pt idx="4">
                  <c:v>24.12</c:v>
                </c:pt>
              </c:numCache>
            </c:numRef>
          </c:val>
        </c:ser>
        <c:dLbls>
          <c:showLegendKey val="0"/>
          <c:showVal val="0"/>
          <c:showCatName val="0"/>
          <c:showSerName val="0"/>
          <c:showPercent val="0"/>
          <c:showBubbleSize val="0"/>
        </c:dLbls>
        <c:gapWidth val="150"/>
        <c:axId val="303658112"/>
        <c:axId val="303660032"/>
      </c:barChart>
      <c:lineChart>
        <c:grouping val="stacked"/>
        <c:varyColors val="0"/>
        <c:ser>
          <c:idx val="1"/>
          <c:order val="1"/>
          <c:tx>
            <c:strRef>
              <c:f>Sheet1!$A$3</c:f>
              <c:strCache>
                <c:ptCount val="1"/>
                <c:pt idx="0">
                  <c:v>Valoarea limita anuala pentru protectia sanatatii umane</c:v>
                </c:pt>
              </c:strCache>
            </c:strRef>
          </c:tx>
          <c:spPr>
            <a:ln w="38100">
              <a:solidFill>
                <a:srgbClr val="FF0000"/>
              </a:solidFill>
              <a:prstDash val="solid"/>
            </a:ln>
          </c:spPr>
          <c:marker>
            <c:symbol val="square"/>
            <c:size val="2"/>
            <c:spPr>
              <a:solidFill>
                <a:srgbClr val="FF0000"/>
              </a:solidFill>
              <a:ln>
                <a:solidFill>
                  <a:srgbClr val="FF0000"/>
                </a:solidFill>
                <a:prstDash val="solid"/>
              </a:ln>
            </c:spPr>
          </c:marker>
          <c:cat>
            <c:strRef>
              <c:f>Sheet1!$B$1:$F$1</c:f>
              <c:strCache>
                <c:ptCount val="5"/>
                <c:pt idx="0">
                  <c:v>CT-1 </c:v>
                </c:pt>
                <c:pt idx="1">
                  <c:v>CT-3 </c:v>
                </c:pt>
                <c:pt idx="2">
                  <c:v>CT-4 </c:v>
                </c:pt>
                <c:pt idx="3">
                  <c:v>CT-5 </c:v>
                </c:pt>
                <c:pt idx="4">
                  <c:v>CT-7 </c:v>
                </c:pt>
              </c:strCache>
            </c:strRef>
          </c:cat>
          <c:val>
            <c:numRef>
              <c:f>Sheet1!$B$3:$F$3</c:f>
              <c:numCache>
                <c:formatCode>General</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303658112"/>
        <c:axId val="303660032"/>
      </c:lineChart>
      <c:catAx>
        <c:axId val="303658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303660032"/>
        <c:crosses val="autoZero"/>
        <c:auto val="1"/>
        <c:lblAlgn val="ctr"/>
        <c:lblOffset val="100"/>
        <c:tickLblSkip val="1"/>
        <c:tickMarkSkip val="1"/>
        <c:noMultiLvlLbl val="0"/>
      </c:catAx>
      <c:valAx>
        <c:axId val="303660032"/>
        <c:scaling>
          <c:orientation val="minMax"/>
          <c:max val="60"/>
        </c:scaling>
        <c:delete val="0"/>
        <c:axPos val="l"/>
        <c:majorGridlines>
          <c:spPr>
            <a:ln w="3175">
              <a:solidFill>
                <a:srgbClr val="000000"/>
              </a:solidFill>
              <a:prstDash val="sysDash"/>
            </a:ln>
          </c:spPr>
        </c:majorGridlines>
        <c:title>
          <c:tx>
            <c:rich>
              <a:bodyPr rot="0" vert="horz"/>
              <a:lstStyle/>
              <a:p>
                <a:pPr algn="ctr">
                  <a:defRPr sz="1100" b="1" i="0" u="none" strike="noStrike" baseline="0">
                    <a:solidFill>
                      <a:srgbClr val="000000"/>
                    </a:solidFill>
                    <a:latin typeface="Arial"/>
                    <a:ea typeface="Arial"/>
                    <a:cs typeface="Arial"/>
                  </a:defRPr>
                </a:pPr>
                <a:r>
                  <a:rPr lang="en-US"/>
                  <a:t>µg/m3</a:t>
                </a:r>
              </a:p>
            </c:rich>
          </c:tx>
          <c:layout>
            <c:manualLayout>
              <c:xMode val="edge"/>
              <c:yMode val="edge"/>
              <c:x val="4.6476761619190413E-2"/>
              <c:y val="9.7938144329897045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303658112"/>
        <c:crosses val="autoZero"/>
        <c:crossBetween val="between"/>
      </c:valAx>
      <c:spPr>
        <a:noFill/>
        <a:ln w="25400">
          <a:noFill/>
        </a:ln>
      </c:spPr>
    </c:plotArea>
    <c:legend>
      <c:legendPos val="r"/>
      <c:legendEntry>
        <c:idx val="0"/>
        <c:delete val="1"/>
      </c:legendEntry>
      <c:layout>
        <c:manualLayout>
          <c:xMode val="edge"/>
          <c:yMode val="edge"/>
          <c:x val="0.30884573461300846"/>
          <c:y val="0.32732012879833478"/>
          <c:w val="0.61769162662763755"/>
          <c:h val="6.7010309278350499E-2"/>
        </c:manualLayout>
      </c:layout>
      <c:overlay val="0"/>
      <c:spPr>
        <a:no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zero"/>
    <c:showDLblsOverMax val="0"/>
  </c:chart>
  <c:spPr>
    <a:noFill/>
    <a:ln w="25400">
      <a:solidFill>
        <a:srgbClr val="92D050"/>
      </a:solid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NO2 - Evolutia concentratiilor medii anuale 2008-2016, in raport cu valoarea limita anuala</a:t>
            </a:r>
          </a:p>
        </c:rich>
      </c:tx>
      <c:layout>
        <c:manualLayout>
          <c:xMode val="edge"/>
          <c:yMode val="edge"/>
          <c:x val="0.10625000000000002"/>
          <c:y val="2.9126213592233007E-2"/>
        </c:manualLayout>
      </c:layout>
      <c:overlay val="0"/>
      <c:spPr>
        <a:noFill/>
        <a:ln w="25400">
          <a:noFill/>
        </a:ln>
      </c:spPr>
    </c:title>
    <c:autoTitleDeleted val="0"/>
    <c:plotArea>
      <c:layout>
        <c:manualLayout>
          <c:layoutTarget val="inner"/>
          <c:xMode val="edge"/>
          <c:yMode val="edge"/>
          <c:x val="4.8437536954908003E-2"/>
          <c:y val="0.14757281553398058"/>
          <c:w val="0.93906321644837742"/>
          <c:h val="0.76310679611650523"/>
        </c:manualLayout>
      </c:layout>
      <c:barChart>
        <c:barDir val="col"/>
        <c:grouping val="clustered"/>
        <c:varyColors val="0"/>
        <c:ser>
          <c:idx val="0"/>
          <c:order val="0"/>
          <c:tx>
            <c:strRef>
              <c:f>Data!$M$92</c:f>
              <c:strCache>
                <c:ptCount val="1"/>
                <c:pt idx="0">
                  <c:v>CT-1 </c:v>
                </c:pt>
              </c:strCache>
            </c:strRef>
          </c:tx>
          <c:spPr>
            <a:solidFill>
              <a:srgbClr val="000080"/>
            </a:solidFill>
            <a:ln w="25400">
              <a:noFill/>
            </a:ln>
          </c:spPr>
          <c:invertIfNegative val="0"/>
          <c:cat>
            <c:strRef>
              <c:f>Data!$N$91:$W$91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Data!$N$92:$W$92</c:f>
              <c:numCache>
                <c:formatCode>General</c:formatCode>
                <c:ptCount val="10"/>
                <c:pt idx="0">
                  <c:v>57.137394358467006</c:v>
                </c:pt>
                <c:pt idx="1">
                  <c:v>38.886387456155795</c:v>
                </c:pt>
                <c:pt idx="4">
                  <c:v>39.331698476997268</c:v>
                </c:pt>
                <c:pt idx="8">
                  <c:v>34.780999999999999</c:v>
                </c:pt>
                <c:pt idx="9">
                  <c:v>38.590000000000003</c:v>
                </c:pt>
              </c:numCache>
            </c:numRef>
          </c:val>
        </c:ser>
        <c:ser>
          <c:idx val="1"/>
          <c:order val="1"/>
          <c:tx>
            <c:strRef>
              <c:f>Data!$M$93</c:f>
              <c:strCache>
                <c:ptCount val="1"/>
                <c:pt idx="0">
                  <c:v>CT-2 </c:v>
                </c:pt>
              </c:strCache>
            </c:strRef>
          </c:tx>
          <c:spPr>
            <a:solidFill>
              <a:srgbClr val="99CC00"/>
            </a:solidFill>
            <a:ln w="25400">
              <a:noFill/>
            </a:ln>
          </c:spPr>
          <c:invertIfNegative val="0"/>
          <c:cat>
            <c:strRef>
              <c:f>Data!$N$91:$W$91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Data!$N$93:$W$93</c:f>
              <c:numCache>
                <c:formatCode>General</c:formatCode>
                <c:ptCount val="10"/>
                <c:pt idx="1">
                  <c:v>25.02384662462509</c:v>
                </c:pt>
                <c:pt idx="9">
                  <c:v>23.11</c:v>
                </c:pt>
              </c:numCache>
            </c:numRef>
          </c:val>
        </c:ser>
        <c:ser>
          <c:idx val="2"/>
          <c:order val="2"/>
          <c:tx>
            <c:strRef>
              <c:f>Data!$M$94</c:f>
              <c:strCache>
                <c:ptCount val="1"/>
                <c:pt idx="0">
                  <c:v>CT-3 </c:v>
                </c:pt>
              </c:strCache>
            </c:strRef>
          </c:tx>
          <c:spPr>
            <a:solidFill>
              <a:srgbClr val="993366"/>
            </a:solidFill>
            <a:ln w="25400">
              <a:noFill/>
            </a:ln>
          </c:spPr>
          <c:invertIfNegative val="0"/>
          <c:cat>
            <c:strRef>
              <c:f>Data!$N$91:$W$91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Data!$N$94:$W$94</c:f>
              <c:numCache>
                <c:formatCode>General</c:formatCode>
                <c:ptCount val="10"/>
                <c:pt idx="0">
                  <c:v>15.058517515171177</c:v>
                </c:pt>
                <c:pt idx="9">
                  <c:v>15.77</c:v>
                </c:pt>
              </c:numCache>
            </c:numRef>
          </c:val>
        </c:ser>
        <c:ser>
          <c:idx val="3"/>
          <c:order val="3"/>
          <c:tx>
            <c:strRef>
              <c:f>Data!$M$95</c:f>
              <c:strCache>
                <c:ptCount val="1"/>
                <c:pt idx="0">
                  <c:v>CT-4</c:v>
                </c:pt>
              </c:strCache>
            </c:strRef>
          </c:tx>
          <c:spPr>
            <a:solidFill>
              <a:srgbClr val="00FFFF"/>
            </a:solidFill>
            <a:ln w="25400">
              <a:noFill/>
            </a:ln>
          </c:spPr>
          <c:invertIfNegative val="0"/>
          <c:cat>
            <c:strRef>
              <c:f>Data!$N$91:$W$91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Data!$N$95:$W$95</c:f>
              <c:numCache>
                <c:formatCode>General</c:formatCode>
                <c:ptCount val="10"/>
                <c:pt idx="0">
                  <c:v>13.72344467263567</c:v>
                </c:pt>
                <c:pt idx="1">
                  <c:v>16.962847450047253</c:v>
                </c:pt>
                <c:pt idx="5">
                  <c:v>21.768471710855774</c:v>
                </c:pt>
                <c:pt idx="9">
                  <c:v>16.18</c:v>
                </c:pt>
              </c:numCache>
            </c:numRef>
          </c:val>
        </c:ser>
        <c:ser>
          <c:idx val="4"/>
          <c:order val="4"/>
          <c:tx>
            <c:strRef>
              <c:f>Data!$M$96</c:f>
              <c:strCache>
                <c:ptCount val="1"/>
                <c:pt idx="0">
                  <c:v>CT-5 </c:v>
                </c:pt>
              </c:strCache>
            </c:strRef>
          </c:tx>
          <c:spPr>
            <a:solidFill>
              <a:srgbClr val="FFCC00"/>
            </a:solidFill>
            <a:ln w="25400">
              <a:noFill/>
            </a:ln>
          </c:spPr>
          <c:invertIfNegative val="0"/>
          <c:cat>
            <c:strRef>
              <c:f>Data!$N$91:$W$91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Data!$N$96:$W$96</c:f>
              <c:numCache>
                <c:formatCode>General</c:formatCode>
                <c:ptCount val="10"/>
                <c:pt idx="0">
                  <c:v>34.744473012986823</c:v>
                </c:pt>
                <c:pt idx="1">
                  <c:v>26.740220602902436</c:v>
                </c:pt>
                <c:pt idx="2">
                  <c:v>28.735721864244891</c:v>
                </c:pt>
                <c:pt idx="9">
                  <c:v>19.59</c:v>
                </c:pt>
              </c:numCache>
            </c:numRef>
          </c:val>
        </c:ser>
        <c:ser>
          <c:idx val="5"/>
          <c:order val="5"/>
          <c:tx>
            <c:strRef>
              <c:f>Data!$M$97</c:f>
              <c:strCache>
                <c:ptCount val="1"/>
                <c:pt idx="0">
                  <c:v>CT-6 </c:v>
                </c:pt>
              </c:strCache>
            </c:strRef>
          </c:tx>
          <c:spPr>
            <a:solidFill>
              <a:srgbClr val="CC99FF"/>
            </a:solidFill>
            <a:ln w="25400">
              <a:noFill/>
            </a:ln>
          </c:spPr>
          <c:invertIfNegative val="0"/>
          <c:cat>
            <c:strRef>
              <c:f>Data!$N$91:$W$91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Data!$N$97:$W$97</c:f>
              <c:numCache>
                <c:formatCode>General</c:formatCode>
                <c:ptCount val="10"/>
                <c:pt idx="0">
                  <c:v>18.776153258647199</c:v>
                </c:pt>
                <c:pt idx="9">
                  <c:v>21.21</c:v>
                </c:pt>
              </c:numCache>
            </c:numRef>
          </c:val>
        </c:ser>
        <c:ser>
          <c:idx val="6"/>
          <c:order val="6"/>
          <c:tx>
            <c:strRef>
              <c:f>Data!$M$98</c:f>
              <c:strCache>
                <c:ptCount val="1"/>
                <c:pt idx="0">
                  <c:v>CT-7 </c:v>
                </c:pt>
              </c:strCache>
            </c:strRef>
          </c:tx>
          <c:spPr>
            <a:solidFill>
              <a:srgbClr val="FF00FF"/>
            </a:solidFill>
            <a:ln w="25400">
              <a:noFill/>
            </a:ln>
          </c:spPr>
          <c:invertIfNegative val="0"/>
          <c:cat>
            <c:strRef>
              <c:f>Data!$N$91:$W$91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Data!$N$98:$W$98</c:f>
              <c:numCache>
                <c:formatCode>General</c:formatCode>
                <c:ptCount val="10"/>
                <c:pt idx="0">
                  <c:v>18.026408738365468</c:v>
                </c:pt>
                <c:pt idx="2">
                  <c:v>19.435847703652783</c:v>
                </c:pt>
                <c:pt idx="3">
                  <c:v>26.679557410636999</c:v>
                </c:pt>
                <c:pt idx="9">
                  <c:v>21.3</c:v>
                </c:pt>
              </c:numCache>
            </c:numRef>
          </c:val>
        </c:ser>
        <c:dLbls>
          <c:showLegendKey val="0"/>
          <c:showVal val="0"/>
          <c:showCatName val="0"/>
          <c:showSerName val="0"/>
          <c:showPercent val="0"/>
          <c:showBubbleSize val="0"/>
        </c:dLbls>
        <c:gapWidth val="150"/>
        <c:axId val="303839104"/>
        <c:axId val="303840640"/>
      </c:barChart>
      <c:lineChart>
        <c:grouping val="standard"/>
        <c:varyColors val="0"/>
        <c:ser>
          <c:idx val="7"/>
          <c:order val="7"/>
          <c:tx>
            <c:strRef>
              <c:f>Data!$M$99</c:f>
              <c:strCache>
                <c:ptCount val="1"/>
                <c:pt idx="0">
                  <c:v>val. lim. anuala prot. sanat.</c:v>
                </c:pt>
              </c:strCache>
            </c:strRef>
          </c:tx>
          <c:spPr>
            <a:ln w="38100">
              <a:solidFill>
                <a:srgbClr val="FF0000"/>
              </a:solidFill>
              <a:prstDash val="solid"/>
            </a:ln>
          </c:spPr>
          <c:marker>
            <c:symbol val="none"/>
          </c:marker>
          <c:cat>
            <c:strRef>
              <c:f>Data!$N$91:$W$91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Data!$N$99:$W$99</c:f>
              <c:numCache>
                <c:formatCode>General</c:formatCode>
                <c:ptCount val="10"/>
                <c:pt idx="0">
                  <c:v>40</c:v>
                </c:pt>
                <c:pt idx="1">
                  <c:v>40</c:v>
                </c:pt>
                <c:pt idx="2">
                  <c:v>40</c:v>
                </c:pt>
                <c:pt idx="3">
                  <c:v>40</c:v>
                </c:pt>
                <c:pt idx="4">
                  <c:v>40</c:v>
                </c:pt>
                <c:pt idx="5">
                  <c:v>40</c:v>
                </c:pt>
                <c:pt idx="6">
                  <c:v>40</c:v>
                </c:pt>
                <c:pt idx="7">
                  <c:v>40</c:v>
                </c:pt>
                <c:pt idx="8">
                  <c:v>40</c:v>
                </c:pt>
              </c:numCache>
            </c:numRef>
          </c:val>
          <c:smooth val="0"/>
        </c:ser>
        <c:dLbls>
          <c:showLegendKey val="0"/>
          <c:showVal val="0"/>
          <c:showCatName val="0"/>
          <c:showSerName val="0"/>
          <c:showPercent val="0"/>
          <c:showBubbleSize val="0"/>
        </c:dLbls>
        <c:marker val="1"/>
        <c:smooth val="0"/>
        <c:axId val="303839104"/>
        <c:axId val="303840640"/>
      </c:lineChart>
      <c:catAx>
        <c:axId val="303839104"/>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3840640"/>
        <c:crosses val="autoZero"/>
        <c:auto val="1"/>
        <c:lblAlgn val="ctr"/>
        <c:lblOffset val="100"/>
        <c:tickLblSkip val="1"/>
        <c:tickMarkSkip val="1"/>
        <c:noMultiLvlLbl val="0"/>
      </c:catAx>
      <c:valAx>
        <c:axId val="303840640"/>
        <c:scaling>
          <c:orientation val="minMax"/>
          <c:max val="80"/>
        </c:scaling>
        <c:delete val="0"/>
        <c:axPos val="l"/>
        <c:majorGridlines>
          <c:spPr>
            <a:ln w="3175">
              <a:solidFill>
                <a:srgbClr val="808080"/>
              </a:solidFill>
              <a:prstDash val="sysDash"/>
            </a:ln>
          </c:spPr>
        </c:majorGridlines>
        <c:title>
          <c:tx>
            <c:rich>
              <a:bodyPr rot="0" vert="horz"/>
              <a:lstStyle/>
              <a:p>
                <a:pPr algn="ctr">
                  <a:defRPr sz="1000" b="0" i="0" u="none" strike="noStrike" baseline="0">
                    <a:solidFill>
                      <a:srgbClr val="000000"/>
                    </a:solidFill>
                    <a:latin typeface="Arial"/>
                    <a:ea typeface="Arial"/>
                    <a:cs typeface="Arial"/>
                  </a:defRPr>
                </a:pPr>
                <a:r>
                  <a:rPr lang="en-US"/>
                  <a:t>µg/m3</a:t>
                </a:r>
              </a:p>
            </c:rich>
          </c:tx>
          <c:layout>
            <c:manualLayout>
              <c:xMode val="edge"/>
              <c:yMode val="edge"/>
              <c:x val="4.8437500000000022E-2"/>
              <c:y val="9.7087378640776698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03839104"/>
        <c:crosses val="autoZero"/>
        <c:crossBetween val="between"/>
      </c:valAx>
      <c:spPr>
        <a:noFill/>
        <a:ln w="25400">
          <a:noFill/>
        </a:ln>
      </c:spPr>
    </c:plotArea>
    <c:legend>
      <c:legendPos val="r"/>
      <c:legendEntry>
        <c:idx val="4"/>
        <c:txPr>
          <a:bodyPr/>
          <a:lstStyle/>
          <a:p>
            <a:pPr>
              <a:defRPr sz="825" b="0" i="0" u="none" strike="noStrike" baseline="0">
                <a:solidFill>
                  <a:srgbClr val="000000"/>
                </a:solidFill>
                <a:latin typeface="Arial"/>
                <a:ea typeface="Arial"/>
                <a:cs typeface="Arial"/>
              </a:defRPr>
            </a:pPr>
            <a:endParaRPr lang="en-US"/>
          </a:p>
        </c:txPr>
      </c:legendEntry>
      <c:layout>
        <c:manualLayout>
          <c:xMode val="edge"/>
          <c:yMode val="edge"/>
          <c:x val="0.68906299212598432"/>
          <c:y val="0.17864077669902911"/>
          <c:w val="0.30156266404199489"/>
          <c:h val="0.20194174757281569"/>
        </c:manualLayout>
      </c:layout>
      <c:overlay val="0"/>
      <c:spPr>
        <a:no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Sheet1!$B$3</c:f>
              <c:strCache>
                <c:ptCount val="1"/>
                <c:pt idx="0">
                  <c:v>CT-1 </c:v>
                </c:pt>
              </c:strCache>
            </c:strRef>
          </c:tx>
          <c:invertIfNegative val="0"/>
          <c:cat>
            <c:strRef>
              <c:f>Sheet1!$C$2:$L$2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Sheet1!$C$3:$L$3</c:f>
              <c:numCache>
                <c:formatCode>General</c:formatCode>
                <c:ptCount val="10"/>
                <c:pt idx="0">
                  <c:v>5.4569107061566147</c:v>
                </c:pt>
                <c:pt idx="1">
                  <c:v>4.6988177891335914</c:v>
                </c:pt>
                <c:pt idx="9">
                  <c:v>5.8</c:v>
                </c:pt>
              </c:numCache>
            </c:numRef>
          </c:val>
        </c:ser>
        <c:ser>
          <c:idx val="1"/>
          <c:order val="1"/>
          <c:tx>
            <c:strRef>
              <c:f>Sheet1!$B$4</c:f>
              <c:strCache>
                <c:ptCount val="1"/>
                <c:pt idx="0">
                  <c:v>CT-2 </c:v>
                </c:pt>
              </c:strCache>
            </c:strRef>
          </c:tx>
          <c:invertIfNegative val="0"/>
          <c:cat>
            <c:strRef>
              <c:f>Sheet1!$C$2:$L$2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Sheet1!$C$4:$L$4</c:f>
              <c:numCache>
                <c:formatCode>General</c:formatCode>
                <c:ptCount val="10"/>
                <c:pt idx="1">
                  <c:v>7.802660135847983</c:v>
                </c:pt>
                <c:pt idx="2">
                  <c:v>5.7751124433129313</c:v>
                </c:pt>
                <c:pt idx="9">
                  <c:v>6.86</c:v>
                </c:pt>
              </c:numCache>
            </c:numRef>
          </c:val>
        </c:ser>
        <c:ser>
          <c:idx val="2"/>
          <c:order val="2"/>
          <c:tx>
            <c:strRef>
              <c:f>Sheet1!$B$5</c:f>
              <c:strCache>
                <c:ptCount val="1"/>
                <c:pt idx="0">
                  <c:v>CT-3 </c:v>
                </c:pt>
              </c:strCache>
            </c:strRef>
          </c:tx>
          <c:invertIfNegative val="0"/>
          <c:cat>
            <c:strRef>
              <c:f>Sheet1!$C$2:$L$2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Sheet1!$C$5:$L$5</c:f>
              <c:numCache>
                <c:formatCode>General</c:formatCode>
                <c:ptCount val="10"/>
                <c:pt idx="0">
                  <c:v>7.8190393820489801</c:v>
                </c:pt>
                <c:pt idx="6">
                  <c:v>7.1812162887300026</c:v>
                </c:pt>
                <c:pt idx="9">
                  <c:v>6.32</c:v>
                </c:pt>
              </c:numCache>
            </c:numRef>
          </c:val>
        </c:ser>
        <c:ser>
          <c:idx val="3"/>
          <c:order val="3"/>
          <c:tx>
            <c:strRef>
              <c:f>Sheet1!$B$6</c:f>
              <c:strCache>
                <c:ptCount val="1"/>
                <c:pt idx="0">
                  <c:v>CT-4  </c:v>
                </c:pt>
              </c:strCache>
            </c:strRef>
          </c:tx>
          <c:invertIfNegative val="0"/>
          <c:cat>
            <c:strRef>
              <c:f>Sheet1!$C$2:$L$2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Sheet1!$C$6:$L$6</c:f>
              <c:numCache>
                <c:formatCode>General</c:formatCode>
                <c:ptCount val="10"/>
                <c:pt idx="0">
                  <c:v>12.617288086324491</c:v>
                </c:pt>
                <c:pt idx="1">
                  <c:v>5.7295144053825817</c:v>
                </c:pt>
                <c:pt idx="5">
                  <c:v>7.0414351538112072</c:v>
                </c:pt>
                <c:pt idx="6">
                  <c:v>6.8786314168066838</c:v>
                </c:pt>
                <c:pt idx="9">
                  <c:v>6.41</c:v>
                </c:pt>
              </c:numCache>
            </c:numRef>
          </c:val>
        </c:ser>
        <c:ser>
          <c:idx val="4"/>
          <c:order val="4"/>
          <c:tx>
            <c:strRef>
              <c:f>Sheet1!$B$7</c:f>
              <c:strCache>
                <c:ptCount val="1"/>
                <c:pt idx="0">
                  <c:v>CT-5 </c:v>
                </c:pt>
              </c:strCache>
            </c:strRef>
          </c:tx>
          <c:invertIfNegative val="0"/>
          <c:cat>
            <c:strRef>
              <c:f>Sheet1!$C$2:$L$2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Sheet1!$C$7:$L$7</c:f>
              <c:numCache>
                <c:formatCode>General</c:formatCode>
                <c:ptCount val="10"/>
                <c:pt idx="0">
                  <c:v>8.4391460828979579</c:v>
                </c:pt>
                <c:pt idx="1">
                  <c:v>5.0214024892731208</c:v>
                </c:pt>
                <c:pt idx="2">
                  <c:v>6.4254835377626414</c:v>
                </c:pt>
                <c:pt idx="3">
                  <c:v>6.1666132805465859</c:v>
                </c:pt>
                <c:pt idx="4">
                  <c:v>7.3431212920516815</c:v>
                </c:pt>
                <c:pt idx="7">
                  <c:v>5.7530000000000001</c:v>
                </c:pt>
                <c:pt idx="9">
                  <c:v>7.06</c:v>
                </c:pt>
              </c:numCache>
            </c:numRef>
          </c:val>
        </c:ser>
        <c:ser>
          <c:idx val="5"/>
          <c:order val="5"/>
          <c:tx>
            <c:strRef>
              <c:f>Sheet1!$B$8</c:f>
              <c:strCache>
                <c:ptCount val="1"/>
                <c:pt idx="0">
                  <c:v>CT-6 </c:v>
                </c:pt>
              </c:strCache>
            </c:strRef>
          </c:tx>
          <c:invertIfNegative val="0"/>
          <c:cat>
            <c:strRef>
              <c:f>Sheet1!$C$2:$L$2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Sheet1!$C$8:$L$8</c:f>
              <c:numCache>
                <c:formatCode>General</c:formatCode>
                <c:ptCount val="10"/>
                <c:pt idx="0">
                  <c:v>17.023766626955279</c:v>
                </c:pt>
                <c:pt idx="1">
                  <c:v>7.5122349980046641</c:v>
                </c:pt>
                <c:pt idx="2">
                  <c:v>6.3170535574704099</c:v>
                </c:pt>
                <c:pt idx="3">
                  <c:v>13.0694616634933</c:v>
                </c:pt>
                <c:pt idx="9">
                  <c:v>6.73</c:v>
                </c:pt>
              </c:numCache>
            </c:numRef>
          </c:val>
        </c:ser>
        <c:ser>
          <c:idx val="6"/>
          <c:order val="6"/>
          <c:tx>
            <c:strRef>
              <c:f>Sheet1!$B$9</c:f>
              <c:strCache>
                <c:ptCount val="1"/>
                <c:pt idx="0">
                  <c:v>CT-7 </c:v>
                </c:pt>
              </c:strCache>
            </c:strRef>
          </c:tx>
          <c:invertIfNegative val="0"/>
          <c:cat>
            <c:strRef>
              <c:f>Sheet1!$C$2:$L$2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Sheet1!$C$9:$L$9</c:f>
              <c:numCache>
                <c:formatCode>General</c:formatCode>
                <c:ptCount val="10"/>
                <c:pt idx="0">
                  <c:v>2.971366148698412</c:v>
                </c:pt>
                <c:pt idx="9">
                  <c:v>6.71</c:v>
                </c:pt>
              </c:numCache>
            </c:numRef>
          </c:val>
        </c:ser>
        <c:ser>
          <c:idx val="7"/>
          <c:order val="7"/>
          <c:tx>
            <c:strRef>
              <c:f>Sheet1!$B$10</c:f>
              <c:strCache>
                <c:ptCount val="1"/>
              </c:strCache>
            </c:strRef>
          </c:tx>
          <c:invertIfNegative val="0"/>
          <c:cat>
            <c:strRef>
              <c:f>Sheet1!$C$2:$L$2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Sheet1!$C$10:$L$10</c:f>
              <c:numCache>
                <c:formatCode>General</c:formatCode>
                <c:ptCount val="10"/>
              </c:numCache>
            </c:numRef>
          </c:val>
        </c:ser>
        <c:dLbls>
          <c:showLegendKey val="0"/>
          <c:showVal val="0"/>
          <c:showCatName val="0"/>
          <c:showSerName val="0"/>
          <c:showPercent val="0"/>
          <c:showBubbleSize val="0"/>
        </c:dLbls>
        <c:gapWidth val="150"/>
        <c:axId val="303888256"/>
        <c:axId val="303889792"/>
      </c:barChart>
      <c:catAx>
        <c:axId val="303888256"/>
        <c:scaling>
          <c:orientation val="minMax"/>
        </c:scaling>
        <c:delete val="0"/>
        <c:axPos val="b"/>
        <c:majorTickMark val="out"/>
        <c:minorTickMark val="none"/>
        <c:tickLblPos val="nextTo"/>
        <c:crossAx val="303889792"/>
        <c:crosses val="autoZero"/>
        <c:auto val="1"/>
        <c:lblAlgn val="ctr"/>
        <c:lblOffset val="100"/>
        <c:noMultiLvlLbl val="0"/>
      </c:catAx>
      <c:valAx>
        <c:axId val="303889792"/>
        <c:scaling>
          <c:orientation val="minMax"/>
          <c:max val="25"/>
        </c:scaling>
        <c:delete val="0"/>
        <c:axPos val="l"/>
        <c:majorGridlines/>
        <c:numFmt formatCode="General" sourceLinked="1"/>
        <c:majorTickMark val="out"/>
        <c:minorTickMark val="none"/>
        <c:tickLblPos val="nextTo"/>
        <c:crossAx val="30388825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CO - Evolutia concentratiilor medii anuale 2008-2016</a:t>
            </a:r>
          </a:p>
        </c:rich>
      </c:tx>
      <c:layout>
        <c:manualLayout>
          <c:xMode val="edge"/>
          <c:yMode val="edge"/>
          <c:x val="0.18876755070202825"/>
          <c:y val="2.9069767441860479E-2"/>
        </c:manualLayout>
      </c:layout>
      <c:overlay val="0"/>
      <c:spPr>
        <a:noFill/>
        <a:ln w="25400">
          <a:noFill/>
        </a:ln>
      </c:spPr>
    </c:title>
    <c:autoTitleDeleted val="0"/>
    <c:plotArea>
      <c:layout>
        <c:manualLayout>
          <c:layoutTarget val="inner"/>
          <c:xMode val="edge"/>
          <c:yMode val="edge"/>
          <c:x val="5.3042121684867397E-2"/>
          <c:y val="0.14728710045554086"/>
          <c:w val="0.93447737909516349"/>
          <c:h val="0.76550532473603428"/>
        </c:manualLayout>
      </c:layout>
      <c:barChart>
        <c:barDir val="col"/>
        <c:grouping val="clustered"/>
        <c:varyColors val="0"/>
        <c:ser>
          <c:idx val="0"/>
          <c:order val="0"/>
          <c:tx>
            <c:strRef>
              <c:f>Data!$M$106</c:f>
              <c:strCache>
                <c:ptCount val="1"/>
                <c:pt idx="0">
                  <c:v>CT-1 </c:v>
                </c:pt>
              </c:strCache>
            </c:strRef>
          </c:tx>
          <c:spPr>
            <a:solidFill>
              <a:srgbClr val="000080"/>
            </a:solidFill>
            <a:ln w="25400">
              <a:noFill/>
            </a:ln>
          </c:spPr>
          <c:invertIfNegative val="0"/>
          <c:cat>
            <c:strRef>
              <c:f>Data!$N$105:$W$105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Data!$N$106:$W$106</c:f>
              <c:numCache>
                <c:formatCode>General</c:formatCode>
                <c:ptCount val="10"/>
                <c:pt idx="0">
                  <c:v>0.40685395378762668</c:v>
                </c:pt>
                <c:pt idx="1">
                  <c:v>0.280043153690126</c:v>
                </c:pt>
                <c:pt idx="2">
                  <c:v>0.27277844424993891</c:v>
                </c:pt>
                <c:pt idx="4">
                  <c:v>0.10809449935891559</c:v>
                </c:pt>
                <c:pt idx="7">
                  <c:v>0.15</c:v>
                </c:pt>
                <c:pt idx="8">
                  <c:v>0.192</c:v>
                </c:pt>
                <c:pt idx="9">
                  <c:v>0.14000000000000001</c:v>
                </c:pt>
              </c:numCache>
            </c:numRef>
          </c:val>
        </c:ser>
        <c:ser>
          <c:idx val="1"/>
          <c:order val="1"/>
          <c:tx>
            <c:strRef>
              <c:f>Data!$M$107</c:f>
              <c:strCache>
                <c:ptCount val="1"/>
                <c:pt idx="0">
                  <c:v>CT-2 </c:v>
                </c:pt>
              </c:strCache>
            </c:strRef>
          </c:tx>
          <c:spPr>
            <a:solidFill>
              <a:srgbClr val="99CC00"/>
            </a:solidFill>
            <a:ln w="25400">
              <a:noFill/>
            </a:ln>
          </c:spPr>
          <c:invertIfNegative val="0"/>
          <c:cat>
            <c:strRef>
              <c:f>Data!$N$105:$W$105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Data!$N$107:$W$107</c:f>
              <c:numCache>
                <c:formatCode>General</c:formatCode>
                <c:ptCount val="10"/>
                <c:pt idx="1">
                  <c:v>9.3479320950343295E-2</c:v>
                </c:pt>
                <c:pt idx="3">
                  <c:v>7.3512801503034103E-2</c:v>
                </c:pt>
                <c:pt idx="4">
                  <c:v>7.6932464172708007E-2</c:v>
                </c:pt>
                <c:pt idx="5">
                  <c:v>6.6609606062616344E-2</c:v>
                </c:pt>
                <c:pt idx="7">
                  <c:v>0.08</c:v>
                </c:pt>
                <c:pt idx="8">
                  <c:v>0.111</c:v>
                </c:pt>
                <c:pt idx="9">
                  <c:v>0.1</c:v>
                </c:pt>
              </c:numCache>
            </c:numRef>
          </c:val>
        </c:ser>
        <c:ser>
          <c:idx val="2"/>
          <c:order val="2"/>
          <c:tx>
            <c:strRef>
              <c:f>Data!$M$108</c:f>
              <c:strCache>
                <c:ptCount val="1"/>
                <c:pt idx="0">
                  <c:v>CT-3 </c:v>
                </c:pt>
              </c:strCache>
            </c:strRef>
          </c:tx>
          <c:spPr>
            <a:solidFill>
              <a:srgbClr val="993366"/>
            </a:solidFill>
            <a:ln w="25400">
              <a:noFill/>
            </a:ln>
          </c:spPr>
          <c:invertIfNegative val="0"/>
          <c:cat>
            <c:strRef>
              <c:f>Data!$N$105:$W$105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Data!$N$108:$W$108</c:f>
              <c:numCache>
                <c:formatCode>General</c:formatCode>
                <c:ptCount val="10"/>
                <c:pt idx="0">
                  <c:v>5.9450302714617285E-2</c:v>
                </c:pt>
                <c:pt idx="2">
                  <c:v>8.4142659692330313E-2</c:v>
                </c:pt>
                <c:pt idx="9">
                  <c:v>0.05</c:v>
                </c:pt>
              </c:numCache>
            </c:numRef>
          </c:val>
        </c:ser>
        <c:ser>
          <c:idx val="3"/>
          <c:order val="3"/>
          <c:tx>
            <c:strRef>
              <c:f>Data!$M$109</c:f>
              <c:strCache>
                <c:ptCount val="1"/>
                <c:pt idx="0">
                  <c:v>CT-4</c:v>
                </c:pt>
              </c:strCache>
            </c:strRef>
          </c:tx>
          <c:spPr>
            <a:solidFill>
              <a:srgbClr val="00FFFF"/>
            </a:solidFill>
            <a:ln w="25400">
              <a:noFill/>
            </a:ln>
          </c:spPr>
          <c:invertIfNegative val="0"/>
          <c:cat>
            <c:strRef>
              <c:f>Data!$N$105:$W$105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Data!$N$109:$W$109</c:f>
              <c:numCache>
                <c:formatCode>General</c:formatCode>
                <c:ptCount val="10"/>
                <c:pt idx="0">
                  <c:v>0.21248192071347893</c:v>
                </c:pt>
                <c:pt idx="1">
                  <c:v>0.17400738231649432</c:v>
                </c:pt>
                <c:pt idx="4">
                  <c:v>8.2950522277043984E-2</c:v>
                </c:pt>
                <c:pt idx="9">
                  <c:v>0.13</c:v>
                </c:pt>
              </c:numCache>
            </c:numRef>
          </c:val>
        </c:ser>
        <c:ser>
          <c:idx val="4"/>
          <c:order val="4"/>
          <c:tx>
            <c:strRef>
              <c:f>Data!$M$110</c:f>
              <c:strCache>
                <c:ptCount val="1"/>
                <c:pt idx="0">
                  <c:v>CT-5 </c:v>
                </c:pt>
              </c:strCache>
            </c:strRef>
          </c:tx>
          <c:spPr>
            <a:solidFill>
              <a:srgbClr val="FFCC00"/>
            </a:solidFill>
            <a:ln w="25400">
              <a:noFill/>
            </a:ln>
          </c:spPr>
          <c:invertIfNegative val="0"/>
          <c:cat>
            <c:strRef>
              <c:f>Data!$N$105:$W$105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Data!$N$110:$W$110</c:f>
              <c:numCache>
                <c:formatCode>General</c:formatCode>
                <c:ptCount val="10"/>
                <c:pt idx="0">
                  <c:v>0.15621174295150075</c:v>
                </c:pt>
                <c:pt idx="1">
                  <c:v>0.1385565442975204</c:v>
                </c:pt>
                <c:pt idx="2">
                  <c:v>9.1450703627703828E-2</c:v>
                </c:pt>
                <c:pt idx="3">
                  <c:v>6.677860393806323E-2</c:v>
                </c:pt>
                <c:pt idx="4">
                  <c:v>6.8248804559050705E-2</c:v>
                </c:pt>
                <c:pt idx="7">
                  <c:v>0.11</c:v>
                </c:pt>
                <c:pt idx="9">
                  <c:v>0.12</c:v>
                </c:pt>
              </c:numCache>
            </c:numRef>
          </c:val>
        </c:ser>
        <c:ser>
          <c:idx val="5"/>
          <c:order val="5"/>
          <c:tx>
            <c:strRef>
              <c:f>Data!$M$111</c:f>
              <c:strCache>
                <c:ptCount val="1"/>
                <c:pt idx="0">
                  <c:v>CT-6 </c:v>
                </c:pt>
              </c:strCache>
            </c:strRef>
          </c:tx>
          <c:spPr>
            <a:solidFill>
              <a:srgbClr val="CC99FF"/>
            </a:solidFill>
            <a:ln w="25400">
              <a:noFill/>
            </a:ln>
          </c:spPr>
          <c:invertIfNegative val="0"/>
          <c:cat>
            <c:strRef>
              <c:f>Data!$N$105:$W$105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Data!$N$111:$W$111</c:f>
              <c:numCache>
                <c:formatCode>General</c:formatCode>
                <c:ptCount val="10"/>
                <c:pt idx="0">
                  <c:v>0.15018569393650705</c:v>
                </c:pt>
                <c:pt idx="1">
                  <c:v>0.10940962509304014</c:v>
                </c:pt>
                <c:pt idx="2">
                  <c:v>9.5370276519028144E-2</c:v>
                </c:pt>
                <c:pt idx="3">
                  <c:v>7.1859329237524763E-2</c:v>
                </c:pt>
                <c:pt idx="9">
                  <c:v>0.09</c:v>
                </c:pt>
              </c:numCache>
            </c:numRef>
          </c:val>
        </c:ser>
        <c:ser>
          <c:idx val="6"/>
          <c:order val="6"/>
          <c:tx>
            <c:strRef>
              <c:f>Data!$M$112</c:f>
              <c:strCache>
                <c:ptCount val="1"/>
                <c:pt idx="0">
                  <c:v>CT-7 </c:v>
                </c:pt>
              </c:strCache>
            </c:strRef>
          </c:tx>
          <c:spPr>
            <a:solidFill>
              <a:srgbClr val="3366FF"/>
            </a:solidFill>
            <a:ln w="25400">
              <a:noFill/>
            </a:ln>
          </c:spPr>
          <c:invertIfNegative val="0"/>
          <c:cat>
            <c:strRef>
              <c:f>Data!$N$105:$W$105</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Data!$N$112:$W$112</c:f>
              <c:numCache>
                <c:formatCode>General</c:formatCode>
                <c:ptCount val="10"/>
                <c:pt idx="0">
                  <c:v>0.17953367046418386</c:v>
                </c:pt>
                <c:pt idx="1">
                  <c:v>0.11027549089532024</c:v>
                </c:pt>
                <c:pt idx="2">
                  <c:v>0.10146780825897206</c:v>
                </c:pt>
                <c:pt idx="5">
                  <c:v>8.772708695914043E-2</c:v>
                </c:pt>
                <c:pt idx="6">
                  <c:v>9.5523539173915775E-2</c:v>
                </c:pt>
                <c:pt idx="8">
                  <c:v>0.17</c:v>
                </c:pt>
                <c:pt idx="9">
                  <c:v>0.11</c:v>
                </c:pt>
              </c:numCache>
            </c:numRef>
          </c:val>
        </c:ser>
        <c:dLbls>
          <c:showLegendKey val="0"/>
          <c:showVal val="0"/>
          <c:showCatName val="0"/>
          <c:showSerName val="0"/>
          <c:showPercent val="0"/>
          <c:showBubbleSize val="0"/>
        </c:dLbls>
        <c:gapWidth val="150"/>
        <c:axId val="304152960"/>
        <c:axId val="304154496"/>
      </c:barChart>
      <c:catAx>
        <c:axId val="304152960"/>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154496"/>
        <c:crosses val="autoZero"/>
        <c:auto val="1"/>
        <c:lblAlgn val="ctr"/>
        <c:lblOffset val="100"/>
        <c:tickLblSkip val="1"/>
        <c:tickMarkSkip val="1"/>
        <c:noMultiLvlLbl val="0"/>
      </c:catAx>
      <c:valAx>
        <c:axId val="304154496"/>
        <c:scaling>
          <c:orientation val="minMax"/>
          <c:max val="1"/>
        </c:scaling>
        <c:delete val="0"/>
        <c:axPos val="l"/>
        <c:majorGridlines>
          <c:spPr>
            <a:ln w="3175">
              <a:solidFill>
                <a:srgbClr val="808080"/>
              </a:solidFill>
              <a:prstDash val="sysDash"/>
            </a:ln>
          </c:spPr>
        </c:majorGridlines>
        <c:title>
          <c:tx>
            <c:rich>
              <a:bodyPr rot="0" vert="horz"/>
              <a:lstStyle/>
              <a:p>
                <a:pPr algn="ctr">
                  <a:defRPr sz="925" b="0" i="0" u="none" strike="noStrike" baseline="0">
                    <a:solidFill>
                      <a:srgbClr val="000000"/>
                    </a:solidFill>
                    <a:latin typeface="Arial"/>
                    <a:ea typeface="Arial"/>
                    <a:cs typeface="Arial"/>
                  </a:defRPr>
                </a:pPr>
                <a:r>
                  <a:rPr lang="en-US"/>
                  <a:t>mg/m3</a:t>
                </a:r>
              </a:p>
            </c:rich>
          </c:tx>
          <c:layout>
            <c:manualLayout>
              <c:xMode val="edge"/>
              <c:yMode val="edge"/>
              <c:x val="7.3322932917316772E-2"/>
              <c:y val="9.1085474780768672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4152960"/>
        <c:crosses val="autoZero"/>
        <c:crossBetween val="between"/>
      </c:valAx>
      <c:spPr>
        <a:noFill/>
        <a:ln w="25400">
          <a:noFill/>
        </a:ln>
      </c:spPr>
    </c:plotArea>
    <c:legend>
      <c:legendPos val="r"/>
      <c:layout>
        <c:manualLayout>
          <c:xMode val="edge"/>
          <c:yMode val="edge"/>
          <c:x val="0.43057722308892371"/>
          <c:y val="0.31783006775315897"/>
          <c:w val="0.51638065522620868"/>
          <c:h val="5.42637693544121E-2"/>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25400">
      <a:solidFill>
        <a:srgbClr val="008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0.12597</cdr:x>
      <cdr:y>0.10412</cdr:y>
    </cdr:from>
    <cdr:to>
      <cdr:x>0.8444</cdr:x>
      <cdr:y>0.19306</cdr:y>
    </cdr:to>
    <cdr:sp macro="" textlink="">
      <cdr:nvSpPr>
        <cdr:cNvPr id="2" name="TextBox 1"/>
        <cdr:cNvSpPr txBox="1"/>
      </cdr:nvSpPr>
      <cdr:spPr>
        <a:xfrm xmlns:a="http://schemas.openxmlformats.org/drawingml/2006/main">
          <a:off x="748701" y="399011"/>
          <a:ext cx="4270076" cy="3408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400" b="1"/>
            <a:t>SO2 - evolutia concentratiilor medii anuale 2008-2017</a:t>
          </a:r>
        </a:p>
        <a:p xmlns:a="http://schemas.openxmlformats.org/drawingml/2006/main">
          <a:r>
            <a:rPr lang="en-US" sz="1400" b="1"/>
            <a:t> </a:t>
          </a:r>
        </a:p>
      </cdr:txBody>
    </cdr:sp>
  </cdr:relSizeAnchor>
</c:userShapes>
</file>

<file path=word/drawings/drawing2.xml><?xml version="1.0" encoding="utf-8"?>
<c:userShapes xmlns:c="http://schemas.openxmlformats.org/drawingml/2006/chart">
  <cdr:relSizeAnchor xmlns:cdr="http://schemas.openxmlformats.org/drawingml/2006/chartDrawing">
    <cdr:from>
      <cdr:x>0.12701</cdr:x>
      <cdr:y>0.10437</cdr:y>
    </cdr:from>
    <cdr:to>
      <cdr:x>0.96243</cdr:x>
      <cdr:y>0.23544</cdr:y>
    </cdr:to>
    <cdr:sp macro="" textlink="">
      <cdr:nvSpPr>
        <cdr:cNvPr id="2" name="TextBox 1"/>
        <cdr:cNvSpPr txBox="1"/>
      </cdr:nvSpPr>
      <cdr:spPr>
        <a:xfrm xmlns:a="http://schemas.openxmlformats.org/drawingml/2006/main">
          <a:off x="676276" y="409575"/>
          <a:ext cx="4448175" cy="5143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latin typeface="Arial" pitchFamily="34" charset="0"/>
              <a:cs typeface="Arial" pitchFamily="34" charset="0"/>
            </a:rPr>
            <a:t>Evolutia concentratiilor medii anuale de ozon in anii 2008-2017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F888A-46DC-44EC-BAAA-B52EA8130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6112</Words>
  <Characters>34843</Characters>
  <Application>Microsoft Office Word</Application>
  <DocSecurity>0</DocSecurity>
  <Lines>290</Lines>
  <Paragraphs>81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CUPRINS</vt:lpstr>
      <vt:lpstr>CUPRINS</vt:lpstr>
    </vt:vector>
  </TitlesOfParts>
  <Company>IPM</Company>
  <LinksUpToDate>false</LinksUpToDate>
  <CharactersWithSpaces>40874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CUPRINS</dc:title>
  <dc:creator>&lt;&gt;</dc:creator>
  <cp:lastModifiedBy>Elena Cerbanescu</cp:lastModifiedBy>
  <cp:revision>6</cp:revision>
  <cp:lastPrinted>2016-09-01T09:31:00Z</cp:lastPrinted>
  <dcterms:created xsi:type="dcterms:W3CDTF">2018-07-17T12:03:00Z</dcterms:created>
  <dcterms:modified xsi:type="dcterms:W3CDTF">2018-08-31T12:27:00Z</dcterms:modified>
</cp:coreProperties>
</file>