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6313AD7D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86BE6">
        <w:rPr>
          <w:rStyle w:val="ax1"/>
          <w:rFonts w:ascii="Times New Roman" w:hAnsi="Times New Roman" w:cs="Times New Roman"/>
          <w:sz w:val="28"/>
          <w:szCs w:val="28"/>
        </w:rPr>
        <w:t xml:space="preserve">      </w:t>
      </w:r>
      <w:r w:rsidR="00F973DD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F973DD">
        <w:rPr>
          <w:rStyle w:val="ax1"/>
          <w:rFonts w:ascii="Times New Roman" w:hAnsi="Times New Roman" w:cs="Times New Roman"/>
          <w:sz w:val="28"/>
          <w:szCs w:val="28"/>
        </w:rPr>
        <w:t>PROIECT</w:t>
      </w:r>
      <w:r w:rsidR="00686BE6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28C2BE5B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E58">
        <w:rPr>
          <w:rFonts w:ascii="Times New Roman" w:hAnsi="Times New Roman" w:cs="Times New Roman"/>
          <w:b/>
          <w:bCs/>
          <w:sz w:val="28"/>
          <w:szCs w:val="28"/>
        </w:rPr>
        <w:t>xxx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364EB3">
        <w:rPr>
          <w:rFonts w:ascii="Times New Roman" w:hAnsi="Times New Roman" w:cs="Times New Roman"/>
          <w:b/>
          <w:sz w:val="28"/>
          <w:szCs w:val="28"/>
        </w:rPr>
        <w:t>07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075E58">
        <w:rPr>
          <w:rFonts w:ascii="Times New Roman" w:hAnsi="Times New Roman" w:cs="Times New Roman"/>
          <w:b/>
          <w:sz w:val="28"/>
          <w:szCs w:val="28"/>
        </w:rPr>
        <w:t>6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530C1A4C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471B08" w:rsidRPr="00E056D1">
        <w:rPr>
          <w:rFonts w:ascii="Times New Roman" w:hAnsi="Times New Roman"/>
          <w:b/>
          <w:bCs/>
          <w:sz w:val="24"/>
          <w:szCs w:val="24"/>
        </w:rPr>
        <w:t>LUKOIL OVERSEAS ATASH B.V-SUCURSALA BUCURESTI,</w:t>
      </w:r>
      <w:r w:rsidR="00471B08" w:rsidRPr="00E056D1">
        <w:rPr>
          <w:rFonts w:ascii="Times New Roman" w:hAnsi="Times New Roman"/>
          <w:bCs/>
          <w:sz w:val="24"/>
          <w:szCs w:val="24"/>
        </w:rPr>
        <w:t xml:space="preserve"> cu sediul in Municipiul </w:t>
      </w:r>
      <w:proofErr w:type="spellStart"/>
      <w:r w:rsidR="00471B08">
        <w:rPr>
          <w:rFonts w:ascii="Times New Roman" w:hAnsi="Times New Roman"/>
          <w:bCs/>
          <w:sz w:val="24"/>
          <w:szCs w:val="24"/>
        </w:rPr>
        <w:t>Bucuresti</w:t>
      </w:r>
      <w:proofErr w:type="spellEnd"/>
      <w:r w:rsidR="00471B08" w:rsidRPr="00E056D1">
        <w:rPr>
          <w:rFonts w:ascii="Times New Roman" w:hAnsi="Times New Roman"/>
          <w:bCs/>
          <w:sz w:val="24"/>
          <w:szCs w:val="24"/>
        </w:rPr>
        <w:t>,</w:t>
      </w:r>
      <w:r w:rsidR="00471B08">
        <w:rPr>
          <w:rFonts w:ascii="Times New Roman" w:hAnsi="Times New Roman"/>
          <w:bCs/>
          <w:sz w:val="24"/>
          <w:szCs w:val="24"/>
        </w:rPr>
        <w:t xml:space="preserve"> strada Siriului, nr. 20, </w:t>
      </w:r>
      <w:proofErr w:type="spellStart"/>
      <w:r w:rsidR="00471B08">
        <w:rPr>
          <w:rFonts w:ascii="Times New Roman" w:hAnsi="Times New Roman"/>
          <w:bCs/>
          <w:sz w:val="24"/>
          <w:szCs w:val="24"/>
        </w:rPr>
        <w:t>cladirea</w:t>
      </w:r>
      <w:proofErr w:type="spellEnd"/>
      <w:r w:rsidR="00471B08">
        <w:rPr>
          <w:rFonts w:ascii="Times New Roman" w:hAnsi="Times New Roman"/>
          <w:bCs/>
          <w:sz w:val="24"/>
          <w:szCs w:val="24"/>
        </w:rPr>
        <w:t xml:space="preserve"> A, etaj 3, sector 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B08">
        <w:rPr>
          <w:rFonts w:ascii="Times New Roman" w:hAnsi="Times New Roman" w:cs="Times New Roman"/>
          <w:bCs/>
          <w:sz w:val="24"/>
          <w:szCs w:val="24"/>
        </w:rPr>
        <w:t>2890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471B08">
        <w:rPr>
          <w:rFonts w:ascii="Times New Roman" w:hAnsi="Times New Roman" w:cs="Times New Roman"/>
          <w:sz w:val="24"/>
          <w:szCs w:val="24"/>
        </w:rPr>
        <w:t>23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471B08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6A6A7D4D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6F2A2A">
        <w:rPr>
          <w:rFonts w:ascii="Times New Roman" w:hAnsi="Times New Roman"/>
          <w:sz w:val="24"/>
          <w:szCs w:val="24"/>
        </w:rPr>
        <w:t>2</w:t>
      </w:r>
      <w:r w:rsidR="00471B08">
        <w:rPr>
          <w:rFonts w:ascii="Times New Roman" w:hAnsi="Times New Roman"/>
          <w:sz w:val="24"/>
          <w:szCs w:val="24"/>
        </w:rPr>
        <w:t>9</w:t>
      </w:r>
      <w:r w:rsidRPr="006F2A2A">
        <w:rPr>
          <w:rFonts w:ascii="Times New Roman" w:hAnsi="Times New Roman"/>
          <w:sz w:val="24"/>
          <w:szCs w:val="24"/>
        </w:rPr>
        <w:t>.0</w:t>
      </w:r>
      <w:r w:rsidR="00471B08">
        <w:rPr>
          <w:rFonts w:ascii="Times New Roman" w:hAnsi="Times New Roman"/>
          <w:sz w:val="24"/>
          <w:szCs w:val="24"/>
        </w:rPr>
        <w:t>5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471B08" w:rsidRPr="00E056D1">
        <w:rPr>
          <w:rFonts w:ascii="Times New Roman" w:hAnsi="Times New Roman"/>
          <w:b/>
          <w:bCs/>
          <w:sz w:val="24"/>
          <w:szCs w:val="24"/>
        </w:rPr>
        <w:t>„ACTIVITATI DE CERCETARE ARHEOLOGICA PREVENTIVA PRIN METODE NON-INTRUZIVE PERIMETRUL EX-30 TRIDENT, MAREA NEAGRA”</w:t>
      </w:r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00C16A5C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</w:t>
      </w:r>
      <w:r w:rsidR="00471B08">
        <w:rPr>
          <w:rStyle w:val="tpa1"/>
          <w:lang w:val="ro-RO"/>
        </w:rPr>
        <w:t>2</w:t>
      </w:r>
      <w:r w:rsidRPr="00E84315">
        <w:rPr>
          <w:rStyle w:val="tpa1"/>
          <w:lang w:val="ro-RO"/>
        </w:rPr>
        <w:t>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755F23FA" w14:textId="77777777" w:rsidR="003870A4" w:rsidRPr="00E84315" w:rsidRDefault="003870A4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3AD1FB" w14:textId="77777777" w:rsidR="00471B08" w:rsidRPr="00471B08" w:rsidRDefault="00471B08" w:rsidP="00471B08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Lucrările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cercetare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arheologică</w:t>
      </w:r>
      <w:proofErr w:type="spellEnd"/>
      <w:r w:rsidRPr="00471B08">
        <w:rPr>
          <w:rFonts w:ascii="Times New Roman" w:hAnsi="Times New Roman" w:cs="Times New Roman"/>
        </w:rPr>
        <w:t xml:space="preserve"> din </w:t>
      </w:r>
      <w:proofErr w:type="spellStart"/>
      <w:r w:rsidRPr="00471B08">
        <w:rPr>
          <w:rFonts w:ascii="Times New Roman" w:hAnsi="Times New Roman" w:cs="Times New Roman"/>
        </w:rPr>
        <w:t>cadrul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perimetrului</w:t>
      </w:r>
      <w:proofErr w:type="spellEnd"/>
      <w:r w:rsidRPr="00471B08">
        <w:rPr>
          <w:rFonts w:ascii="Times New Roman" w:hAnsi="Times New Roman" w:cs="Times New Roman"/>
        </w:rPr>
        <w:t xml:space="preserve"> EX-30 Trident </w:t>
      </w:r>
      <w:proofErr w:type="spellStart"/>
      <w:r w:rsidRPr="00471B08">
        <w:rPr>
          <w:rFonts w:ascii="Times New Roman" w:hAnsi="Times New Roman" w:cs="Times New Roman"/>
        </w:rPr>
        <w:t>constau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efectuarea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unui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studiu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geofizic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subacvatic</w:t>
      </w:r>
      <w:proofErr w:type="spellEnd"/>
      <w:r w:rsidRPr="00471B08">
        <w:rPr>
          <w:rFonts w:ascii="Times New Roman" w:hAnsi="Times New Roman" w:cs="Times New Roman"/>
        </w:rPr>
        <w:t xml:space="preserve"> cu </w:t>
      </w:r>
      <w:proofErr w:type="spellStart"/>
      <w:r w:rsidRPr="00471B08">
        <w:rPr>
          <w:rFonts w:ascii="Times New Roman" w:hAnsi="Times New Roman" w:cs="Times New Roman"/>
        </w:rPr>
        <w:t>scopul</w:t>
      </w:r>
      <w:proofErr w:type="spellEnd"/>
      <w:r w:rsidRPr="00471B08">
        <w:rPr>
          <w:rFonts w:ascii="Times New Roman" w:hAnsi="Times New Roman" w:cs="Times New Roman"/>
        </w:rPr>
        <w:t xml:space="preserve"> de a </w:t>
      </w:r>
      <w:proofErr w:type="spellStart"/>
      <w:r w:rsidRPr="00471B08">
        <w:rPr>
          <w:rFonts w:ascii="Times New Roman" w:hAnsi="Times New Roman" w:cs="Times New Roman"/>
        </w:rPr>
        <w:t>determina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și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cartografia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prezența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potențialelor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vestigii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lastRenderedPageBreak/>
        <w:t>arheologice</w:t>
      </w:r>
      <w:proofErr w:type="spellEnd"/>
      <w:r w:rsidRPr="00471B08">
        <w:rPr>
          <w:rFonts w:ascii="Times New Roman" w:hAnsi="Times New Roman" w:cs="Times New Roman"/>
        </w:rPr>
        <w:t xml:space="preserve"> cum </w:t>
      </w:r>
      <w:proofErr w:type="spellStart"/>
      <w:r w:rsidRPr="00471B08">
        <w:rPr>
          <w:rFonts w:ascii="Times New Roman" w:hAnsi="Times New Roman" w:cs="Times New Roman"/>
        </w:rPr>
        <w:t>ar</w:t>
      </w:r>
      <w:proofErr w:type="spellEnd"/>
      <w:r w:rsidRPr="00471B08">
        <w:rPr>
          <w:rFonts w:ascii="Times New Roman" w:hAnsi="Times New Roman" w:cs="Times New Roman"/>
        </w:rPr>
        <w:t xml:space="preserve"> fi: </w:t>
      </w:r>
      <w:proofErr w:type="spellStart"/>
      <w:r w:rsidRPr="00471B08">
        <w:rPr>
          <w:rFonts w:ascii="Times New Roman" w:hAnsi="Times New Roman" w:cs="Times New Roman"/>
        </w:rPr>
        <w:t>artefacte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unice</w:t>
      </w:r>
      <w:proofErr w:type="spellEnd"/>
      <w:r w:rsidRPr="00471B08">
        <w:rPr>
          <w:rFonts w:ascii="Times New Roman" w:hAnsi="Times New Roman" w:cs="Times New Roman"/>
        </w:rPr>
        <w:t>,</w:t>
      </w:r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epave</w:t>
      </w:r>
      <w:proofErr w:type="spellEnd"/>
      <w:r w:rsidRPr="00471B08">
        <w:rPr>
          <w:rFonts w:ascii="Times New Roman" w:hAnsi="Times New Roman" w:cs="Times New Roman"/>
        </w:rPr>
        <w:t xml:space="preserve">, </w:t>
      </w:r>
      <w:proofErr w:type="spellStart"/>
      <w:r w:rsidRPr="00471B08">
        <w:rPr>
          <w:rFonts w:ascii="Times New Roman" w:hAnsi="Times New Roman" w:cs="Times New Roman"/>
        </w:rPr>
        <w:t>porturi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antice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și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așezări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umane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scufundate</w:t>
      </w:r>
      <w:proofErr w:type="spellEnd"/>
      <w:r w:rsidRPr="00471B08">
        <w:rPr>
          <w:rFonts w:ascii="Times New Roman" w:hAnsi="Times New Roman" w:cs="Times New Roman"/>
        </w:rPr>
        <w:t xml:space="preserve">, </w:t>
      </w:r>
      <w:proofErr w:type="spellStart"/>
      <w:r w:rsidRPr="00471B08">
        <w:rPr>
          <w:rFonts w:ascii="Times New Roman" w:hAnsi="Times New Roman" w:cs="Times New Roman"/>
        </w:rPr>
        <w:t>sau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contexte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sedimentare</w:t>
      </w:r>
      <w:proofErr w:type="spellEnd"/>
      <w:r w:rsidRPr="00471B08">
        <w:rPr>
          <w:rFonts w:ascii="Times New Roman" w:hAnsi="Times New Roman" w:cs="Times New Roman"/>
        </w:rPr>
        <w:t xml:space="preserve"> care </w:t>
      </w:r>
      <w:proofErr w:type="spellStart"/>
      <w:r w:rsidRPr="00471B08">
        <w:rPr>
          <w:rFonts w:ascii="Times New Roman" w:hAnsi="Times New Roman" w:cs="Times New Roman"/>
        </w:rPr>
        <w:t>conțin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dovezi</w:t>
      </w:r>
      <w:proofErr w:type="spellEnd"/>
      <w:r w:rsidRPr="00471B08">
        <w:rPr>
          <w:rFonts w:ascii="Times New Roman" w:hAnsi="Times New Roman" w:cs="Times New Roman"/>
        </w:rPr>
        <w:t xml:space="preserve"> din </w:t>
      </w:r>
      <w:proofErr w:type="spellStart"/>
      <w:r w:rsidRPr="00471B08">
        <w:rPr>
          <w:rFonts w:ascii="Times New Roman" w:hAnsi="Times New Roman" w:cs="Times New Roman"/>
        </w:rPr>
        <w:t>paleolitic</w:t>
      </w:r>
      <w:proofErr w:type="spellEnd"/>
      <w:r w:rsidRPr="00471B08">
        <w:rPr>
          <w:rFonts w:ascii="Times New Roman" w:hAnsi="Times New Roman" w:cs="Times New Roman"/>
        </w:rPr>
        <w:t xml:space="preserve">, </w:t>
      </w:r>
      <w:proofErr w:type="spellStart"/>
      <w:r w:rsidRPr="00471B08">
        <w:rPr>
          <w:rFonts w:ascii="Times New Roman" w:hAnsi="Times New Roman" w:cs="Times New Roman"/>
        </w:rPr>
        <w:t>precum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alte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caracteristici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antropice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</w:p>
    <w:p w14:paraId="1DBFCD9C" w14:textId="15D02913" w:rsidR="00471B08" w:rsidRPr="00471B08" w:rsidRDefault="00471B08" w:rsidP="0047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08">
        <w:rPr>
          <w:rFonts w:ascii="Times New Roman" w:hAnsi="Times New Roman" w:cs="Times New Roman"/>
          <w:sz w:val="24"/>
          <w:szCs w:val="24"/>
        </w:rPr>
        <w:t>Lucrările utilizează tehnici non-invazive și nedistructive, bazându-se în principal pe măsurarea uneia sau mai multor proprietăți fizice ale fundului marii.</w:t>
      </w:r>
    </w:p>
    <w:p w14:paraId="6DC47187" w14:textId="253BBDA8" w:rsidR="00471B08" w:rsidRPr="00471B08" w:rsidRDefault="00471B08" w:rsidP="0047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08">
        <w:rPr>
          <w:rFonts w:ascii="Times New Roman" w:hAnsi="Times New Roman" w:cs="Times New Roman"/>
          <w:sz w:val="24"/>
          <w:szCs w:val="24"/>
        </w:rPr>
        <w:t>Lucrările de cercetare pentru diagnostic arheologic vor furniza informații referitoare la fundul mării, și a substratului sedimentar necesare pentru a sprijinii cerințele raportului de diagnostic arheologic.</w:t>
      </w:r>
    </w:p>
    <w:p w14:paraId="7FE7963E" w14:textId="0BE5ECBD" w:rsidR="00471B08" w:rsidRPr="00471B08" w:rsidRDefault="00471B08" w:rsidP="0047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08">
        <w:rPr>
          <w:rFonts w:ascii="Times New Roman" w:hAnsi="Times New Roman" w:cs="Times New Roman"/>
          <w:sz w:val="24"/>
          <w:szCs w:val="24"/>
        </w:rPr>
        <w:t>Lucrările de cercetare se vor desfășura în Marea Neagră, Perimetrul EX-30 TRIDENT pe o suprafață de 25 km2.</w:t>
      </w:r>
    </w:p>
    <w:p w14:paraId="5F564A8E" w14:textId="77777777" w:rsidR="00471B08" w:rsidRPr="00471B08" w:rsidRDefault="00471B08" w:rsidP="00471B08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  <w:b/>
          <w:bCs/>
        </w:rPr>
        <w:t>Lucrările</w:t>
      </w:r>
      <w:proofErr w:type="spellEnd"/>
      <w:r w:rsidRPr="00471B08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471B08">
        <w:rPr>
          <w:rFonts w:ascii="Times New Roman" w:hAnsi="Times New Roman" w:cs="Times New Roman"/>
          <w:b/>
          <w:bCs/>
        </w:rPr>
        <w:t>cercetare</w:t>
      </w:r>
      <w:proofErr w:type="spellEnd"/>
      <w:r w:rsidRPr="00471B0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1B08">
        <w:rPr>
          <w:rFonts w:ascii="Times New Roman" w:hAnsi="Times New Roman" w:cs="Times New Roman"/>
          <w:b/>
          <w:bCs/>
        </w:rPr>
        <w:t>arheologică</w:t>
      </w:r>
      <w:proofErr w:type="spellEnd"/>
      <w:r w:rsidRPr="00471B08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ce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se </w:t>
      </w:r>
      <w:proofErr w:type="spellStart"/>
      <w:r w:rsidRPr="00471B08">
        <w:rPr>
          <w:rFonts w:ascii="Times New Roman" w:hAnsi="Times New Roman" w:cs="Times New Roman"/>
        </w:rPr>
        <w:t>vor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realiza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cadrul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perimetrului</w:t>
      </w:r>
      <w:proofErr w:type="spellEnd"/>
      <w:r w:rsidRPr="00471B08">
        <w:rPr>
          <w:rFonts w:ascii="Times New Roman" w:hAnsi="Times New Roman" w:cs="Times New Roman"/>
        </w:rPr>
        <w:t xml:space="preserve"> EX-30 Trident </w:t>
      </w:r>
      <w:proofErr w:type="spellStart"/>
      <w:r w:rsidRPr="00471B08">
        <w:rPr>
          <w:rFonts w:ascii="Times New Roman" w:hAnsi="Times New Roman" w:cs="Times New Roman"/>
        </w:rPr>
        <w:t>vor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acoperi</w:t>
      </w:r>
      <w:proofErr w:type="spellEnd"/>
      <w:r w:rsidRPr="00471B08">
        <w:rPr>
          <w:rFonts w:ascii="Times New Roman" w:hAnsi="Times New Roman" w:cs="Times New Roman"/>
        </w:rPr>
        <w:t xml:space="preserve"> minim </w:t>
      </w:r>
      <w:proofErr w:type="spellStart"/>
      <w:r w:rsidRPr="00471B08">
        <w:rPr>
          <w:rFonts w:ascii="Times New Roman" w:hAnsi="Times New Roman" w:cs="Times New Roman"/>
        </w:rPr>
        <w:t>următoarele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cerințe</w:t>
      </w:r>
      <w:proofErr w:type="spellEnd"/>
      <w:r w:rsidRPr="00471B08">
        <w:rPr>
          <w:rFonts w:ascii="Times New Roman" w:hAnsi="Times New Roman" w:cs="Times New Roman"/>
        </w:rPr>
        <w:t xml:space="preserve">: </w:t>
      </w:r>
    </w:p>
    <w:p w14:paraId="0C772512" w14:textId="06EE28BF" w:rsidR="00471B08" w:rsidRPr="00471B08" w:rsidRDefault="00471B08" w:rsidP="00471B08">
      <w:pPr>
        <w:pStyle w:val="Default"/>
        <w:numPr>
          <w:ilvl w:val="0"/>
          <w:numId w:val="11"/>
        </w:numPr>
        <w:spacing w:after="53"/>
        <w:jc w:val="both"/>
        <w:rPr>
          <w:rFonts w:ascii="Times New Roman" w:hAnsi="Times New Roman" w:cs="Times New Roman"/>
        </w:rPr>
      </w:pPr>
      <w:proofErr w:type="gramStart"/>
      <w:r w:rsidRPr="00471B08">
        <w:rPr>
          <w:rFonts w:ascii="Times New Roman" w:hAnsi="Times New Roman" w:cs="Times New Roman"/>
        </w:rPr>
        <w:t>Un</w:t>
      </w:r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sistem</w:t>
      </w:r>
      <w:proofErr w:type="spellEnd"/>
      <w:r w:rsidRPr="00471B08">
        <w:rPr>
          <w:rFonts w:ascii="Times New Roman" w:hAnsi="Times New Roman" w:cs="Times New Roman"/>
        </w:rPr>
        <w:t xml:space="preserve"> SS dual channel 300/600 kHz cu </w:t>
      </w:r>
      <w:proofErr w:type="spellStart"/>
      <w:r w:rsidRPr="00471B08">
        <w:rPr>
          <w:rFonts w:ascii="Times New Roman" w:hAnsi="Times New Roman" w:cs="Times New Roman"/>
        </w:rPr>
        <w:t>înregistrare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digitală</w:t>
      </w:r>
      <w:proofErr w:type="spellEnd"/>
      <w:r w:rsidRPr="00471B08">
        <w:rPr>
          <w:rFonts w:ascii="Times New Roman" w:hAnsi="Times New Roman" w:cs="Times New Roman"/>
        </w:rPr>
        <w:t xml:space="preserve"> a </w:t>
      </w:r>
      <w:proofErr w:type="spellStart"/>
      <w:r w:rsidRPr="00471B08">
        <w:rPr>
          <w:rFonts w:ascii="Times New Roman" w:hAnsi="Times New Roman" w:cs="Times New Roman"/>
        </w:rPr>
        <w:t>datelor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</w:p>
    <w:p w14:paraId="51D5E434" w14:textId="6D0F8FED" w:rsidR="00471B08" w:rsidRPr="00471B08" w:rsidRDefault="00471B08" w:rsidP="00471B08">
      <w:pPr>
        <w:pStyle w:val="Default"/>
        <w:numPr>
          <w:ilvl w:val="0"/>
          <w:numId w:val="12"/>
        </w:numPr>
        <w:spacing w:after="53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Distanța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dintre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linii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va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asigura</w:t>
      </w:r>
      <w:proofErr w:type="spellEnd"/>
      <w:r w:rsidRPr="00471B08">
        <w:rPr>
          <w:rFonts w:ascii="Times New Roman" w:hAnsi="Times New Roman" w:cs="Times New Roman"/>
        </w:rPr>
        <w:t xml:space="preserve"> o </w:t>
      </w:r>
      <w:proofErr w:type="spellStart"/>
      <w:r w:rsidRPr="00471B08">
        <w:rPr>
          <w:rFonts w:ascii="Times New Roman" w:hAnsi="Times New Roman" w:cs="Times New Roman"/>
        </w:rPr>
        <w:t>acoperire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minimă</w:t>
      </w:r>
      <w:proofErr w:type="spellEnd"/>
      <w:r w:rsidRPr="00471B08">
        <w:rPr>
          <w:rFonts w:ascii="Times New Roman" w:hAnsi="Times New Roman" w:cs="Times New Roman"/>
        </w:rPr>
        <w:t xml:space="preserve"> de 100% a </w:t>
      </w:r>
      <w:proofErr w:type="spellStart"/>
      <w:r w:rsidRPr="00471B08">
        <w:rPr>
          <w:rFonts w:ascii="Times New Roman" w:hAnsi="Times New Roman" w:cs="Times New Roman"/>
        </w:rPr>
        <w:t>zonei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proiectului</w:t>
      </w:r>
      <w:proofErr w:type="spellEnd"/>
      <w:r w:rsidRPr="00471B08">
        <w:rPr>
          <w:rFonts w:ascii="Times New Roman" w:hAnsi="Times New Roman" w:cs="Times New Roman"/>
        </w:rPr>
        <w:t xml:space="preserve"> (</w:t>
      </w:r>
      <w:proofErr w:type="spellStart"/>
      <w:r w:rsidRPr="00471B08">
        <w:rPr>
          <w:rFonts w:ascii="Times New Roman" w:hAnsi="Times New Roman" w:cs="Times New Roman"/>
        </w:rPr>
        <w:t>în</w:t>
      </w:r>
      <w:proofErr w:type="spellEnd"/>
      <w:r w:rsidRPr="00471B08">
        <w:rPr>
          <w:rFonts w:ascii="Times New Roman" w:hAnsi="Times New Roman" w:cs="Times New Roman"/>
        </w:rPr>
        <w:t xml:space="preserve"> mod ideal </w:t>
      </w:r>
      <w:proofErr w:type="spellStart"/>
      <w:r w:rsidRPr="00471B08">
        <w:rPr>
          <w:rFonts w:ascii="Times New Roman" w:hAnsi="Times New Roman" w:cs="Times New Roman"/>
        </w:rPr>
        <w:t>distanta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dintre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linii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va</w:t>
      </w:r>
      <w:proofErr w:type="spellEnd"/>
      <w:r w:rsidRPr="00471B08">
        <w:rPr>
          <w:rFonts w:ascii="Times New Roman" w:hAnsi="Times New Roman" w:cs="Times New Roman"/>
        </w:rPr>
        <w:t xml:space="preserve"> fi de 75 m </w:t>
      </w:r>
      <w:proofErr w:type="spellStart"/>
      <w:r w:rsidRPr="00471B08">
        <w:rPr>
          <w:rFonts w:ascii="Times New Roman" w:hAnsi="Times New Roman" w:cs="Times New Roman"/>
        </w:rPr>
        <w:t>până</w:t>
      </w:r>
      <w:proofErr w:type="spellEnd"/>
      <w:r w:rsidRPr="00471B08">
        <w:rPr>
          <w:rFonts w:ascii="Times New Roman" w:hAnsi="Times New Roman" w:cs="Times New Roman"/>
        </w:rPr>
        <w:t xml:space="preserve"> la 150 m), 200% </w:t>
      </w:r>
      <w:proofErr w:type="spellStart"/>
      <w:r w:rsidRPr="00471B08">
        <w:rPr>
          <w:rFonts w:ascii="Times New Roman" w:hAnsi="Times New Roman" w:cs="Times New Roman"/>
        </w:rPr>
        <w:t>fiind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acoperirea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dorită</w:t>
      </w:r>
      <w:proofErr w:type="spellEnd"/>
      <w:r w:rsidRPr="00471B08">
        <w:rPr>
          <w:rFonts w:ascii="Times New Roman" w:hAnsi="Times New Roman" w:cs="Times New Roman"/>
        </w:rPr>
        <w:t xml:space="preserve"> a </w:t>
      </w:r>
      <w:proofErr w:type="spellStart"/>
      <w:r w:rsidRPr="00471B08">
        <w:rPr>
          <w:rFonts w:ascii="Times New Roman" w:hAnsi="Times New Roman" w:cs="Times New Roman"/>
        </w:rPr>
        <w:t>zonei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</w:p>
    <w:p w14:paraId="15A06F5E" w14:textId="64965B4A" w:rsidR="00471B08" w:rsidRPr="00471B08" w:rsidRDefault="00471B08" w:rsidP="00471B08">
      <w:pPr>
        <w:pStyle w:val="Default"/>
        <w:numPr>
          <w:ilvl w:val="0"/>
          <w:numId w:val="13"/>
        </w:numPr>
        <w:spacing w:after="53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Investigatiile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vor</w:t>
      </w:r>
      <w:proofErr w:type="spellEnd"/>
      <w:r w:rsidRPr="00471B08">
        <w:rPr>
          <w:rFonts w:ascii="Times New Roman" w:hAnsi="Times New Roman" w:cs="Times New Roman"/>
        </w:rPr>
        <w:t xml:space="preserve"> fi </w:t>
      </w:r>
      <w:proofErr w:type="spellStart"/>
      <w:r w:rsidRPr="00471B08">
        <w:rPr>
          <w:rFonts w:ascii="Times New Roman" w:hAnsi="Times New Roman" w:cs="Times New Roman"/>
        </w:rPr>
        <w:t>efectuate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într</w:t>
      </w:r>
      <w:proofErr w:type="spellEnd"/>
      <w:r w:rsidRPr="00471B08">
        <w:rPr>
          <w:rFonts w:ascii="Times New Roman" w:hAnsi="Times New Roman" w:cs="Times New Roman"/>
        </w:rPr>
        <w:t xml:space="preserve">-un mod care </w:t>
      </w:r>
      <w:proofErr w:type="spellStart"/>
      <w:proofErr w:type="gramStart"/>
      <w:r w:rsidRPr="00471B08">
        <w:rPr>
          <w:rFonts w:ascii="Times New Roman" w:hAnsi="Times New Roman" w:cs="Times New Roman"/>
        </w:rPr>
        <w:t>să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permită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detectarea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obiectelor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pe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fundul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mării</w:t>
      </w:r>
      <w:proofErr w:type="spellEnd"/>
      <w:r w:rsidRPr="00471B08">
        <w:rPr>
          <w:rFonts w:ascii="Times New Roman" w:hAnsi="Times New Roman" w:cs="Times New Roman"/>
        </w:rPr>
        <w:t xml:space="preserve"> cu </w:t>
      </w:r>
      <w:proofErr w:type="spellStart"/>
      <w:r w:rsidRPr="00471B08">
        <w:rPr>
          <w:rFonts w:ascii="Times New Roman" w:hAnsi="Times New Roman" w:cs="Times New Roman"/>
        </w:rPr>
        <w:t>dimensiuni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minime</w:t>
      </w:r>
      <w:proofErr w:type="spellEnd"/>
      <w:r w:rsidRPr="00471B08">
        <w:rPr>
          <w:rFonts w:ascii="Times New Roman" w:hAnsi="Times New Roman" w:cs="Times New Roman"/>
        </w:rPr>
        <w:t xml:space="preserve"> 1m x 1m x 1m (</w:t>
      </w:r>
      <w:proofErr w:type="spellStart"/>
      <w:r w:rsidRPr="00471B08">
        <w:rPr>
          <w:rFonts w:ascii="Times New Roman" w:hAnsi="Times New Roman" w:cs="Times New Roman"/>
        </w:rPr>
        <w:t>obținute</w:t>
      </w:r>
      <w:proofErr w:type="spellEnd"/>
      <w:r w:rsidRPr="00471B08">
        <w:rPr>
          <w:rFonts w:ascii="Times New Roman" w:hAnsi="Times New Roman" w:cs="Times New Roman"/>
        </w:rPr>
        <w:t xml:space="preserve"> din </w:t>
      </w:r>
      <w:proofErr w:type="spellStart"/>
      <w:r w:rsidRPr="00471B08">
        <w:rPr>
          <w:rFonts w:ascii="Times New Roman" w:hAnsi="Times New Roman" w:cs="Times New Roman"/>
        </w:rPr>
        <w:t>măsurători</w:t>
      </w:r>
      <w:proofErr w:type="spellEnd"/>
      <w:r w:rsidRPr="00471B08">
        <w:rPr>
          <w:rFonts w:ascii="Times New Roman" w:hAnsi="Times New Roman" w:cs="Times New Roman"/>
        </w:rPr>
        <w:t xml:space="preserve"> ale </w:t>
      </w:r>
      <w:proofErr w:type="spellStart"/>
      <w:r w:rsidRPr="00471B08">
        <w:rPr>
          <w:rFonts w:ascii="Times New Roman" w:hAnsi="Times New Roman" w:cs="Times New Roman"/>
        </w:rPr>
        <w:t>lungimii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umbrelor</w:t>
      </w:r>
      <w:proofErr w:type="spellEnd"/>
      <w:r w:rsidRPr="00471B08">
        <w:rPr>
          <w:rFonts w:ascii="Times New Roman" w:hAnsi="Times New Roman" w:cs="Times New Roman"/>
        </w:rPr>
        <w:t xml:space="preserve">). </w:t>
      </w:r>
    </w:p>
    <w:p w14:paraId="46DD1FC5" w14:textId="7239EC39" w:rsidR="00471B08" w:rsidRPr="00471B08" w:rsidRDefault="00471B08" w:rsidP="00471B0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Viteza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sondajului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ar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trebui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să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fie </w:t>
      </w:r>
      <w:proofErr w:type="spellStart"/>
      <w:r w:rsidRPr="00471B08">
        <w:rPr>
          <w:rFonts w:ascii="Times New Roman" w:hAnsi="Times New Roman" w:cs="Times New Roman"/>
        </w:rPr>
        <w:t>suficientă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pentru</w:t>
      </w:r>
      <w:proofErr w:type="spellEnd"/>
      <w:r w:rsidRPr="00471B08">
        <w:rPr>
          <w:rFonts w:ascii="Times New Roman" w:hAnsi="Times New Roman" w:cs="Times New Roman"/>
        </w:rPr>
        <w:t xml:space="preserve"> a “</w:t>
      </w:r>
      <w:proofErr w:type="spellStart"/>
      <w:r w:rsidRPr="00471B08">
        <w:rPr>
          <w:rFonts w:ascii="Times New Roman" w:hAnsi="Times New Roman" w:cs="Times New Roman"/>
        </w:rPr>
        <w:t>sonifica</w:t>
      </w:r>
      <w:proofErr w:type="spellEnd"/>
      <w:r w:rsidRPr="00471B08">
        <w:rPr>
          <w:rFonts w:ascii="Times New Roman" w:hAnsi="Times New Roman" w:cs="Times New Roman"/>
        </w:rPr>
        <w:t xml:space="preserve">” </w:t>
      </w:r>
      <w:proofErr w:type="spellStart"/>
      <w:r w:rsidRPr="00471B08">
        <w:rPr>
          <w:rFonts w:ascii="Times New Roman" w:hAnsi="Times New Roman" w:cs="Times New Roman"/>
        </w:rPr>
        <w:t>în</w:t>
      </w:r>
      <w:proofErr w:type="spellEnd"/>
      <w:r w:rsidRPr="00471B08">
        <w:rPr>
          <w:rFonts w:ascii="Times New Roman" w:hAnsi="Times New Roman" w:cs="Times New Roman"/>
        </w:rPr>
        <w:t xml:space="preserve"> mod </w:t>
      </w:r>
      <w:proofErr w:type="spellStart"/>
      <w:r w:rsidRPr="00471B08">
        <w:rPr>
          <w:rFonts w:ascii="Times New Roman" w:hAnsi="Times New Roman" w:cs="Times New Roman"/>
        </w:rPr>
        <w:t>adecvat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toate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caracteristicile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  <w:proofErr w:type="spellStart"/>
      <w:r w:rsidRPr="00471B08">
        <w:rPr>
          <w:rFonts w:ascii="Times New Roman" w:hAnsi="Times New Roman" w:cs="Times New Roman"/>
        </w:rPr>
        <w:t>Viteza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navei</w:t>
      </w:r>
      <w:proofErr w:type="spellEnd"/>
      <w:r w:rsidRPr="00471B08">
        <w:rPr>
          <w:rFonts w:ascii="Times New Roman" w:hAnsi="Times New Roman" w:cs="Times New Roman"/>
        </w:rPr>
        <w:t xml:space="preserve"> in </w:t>
      </w:r>
      <w:proofErr w:type="spellStart"/>
      <w:r w:rsidRPr="00471B08">
        <w:rPr>
          <w:rFonts w:ascii="Times New Roman" w:hAnsi="Times New Roman" w:cs="Times New Roman"/>
        </w:rPr>
        <w:t>timpul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operațiunilor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va</w:t>
      </w:r>
      <w:proofErr w:type="spellEnd"/>
      <w:r w:rsidRPr="00471B08">
        <w:rPr>
          <w:rFonts w:ascii="Times New Roman" w:hAnsi="Times New Roman" w:cs="Times New Roman"/>
        </w:rPr>
        <w:t xml:space="preserve"> fi de 0</w:t>
      </w:r>
      <w:proofErr w:type="gramStart"/>
      <w:r w:rsidRPr="00471B08">
        <w:rPr>
          <w:rFonts w:ascii="Times New Roman" w:hAnsi="Times New Roman" w:cs="Times New Roman"/>
        </w:rPr>
        <w:t>,5</w:t>
      </w:r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noduri</w:t>
      </w:r>
      <w:proofErr w:type="spellEnd"/>
      <w:r w:rsidRPr="00471B08">
        <w:rPr>
          <w:rFonts w:ascii="Times New Roman" w:hAnsi="Times New Roman" w:cs="Times New Roman"/>
        </w:rPr>
        <w:t xml:space="preserve">/ </w:t>
      </w:r>
      <w:proofErr w:type="spellStart"/>
      <w:r w:rsidRPr="00471B08">
        <w:rPr>
          <w:rFonts w:ascii="Times New Roman" w:hAnsi="Times New Roman" w:cs="Times New Roman"/>
        </w:rPr>
        <w:t>ora</w:t>
      </w:r>
      <w:proofErr w:type="spellEnd"/>
      <w:r w:rsidRPr="00471B08">
        <w:rPr>
          <w:rFonts w:ascii="Times New Roman" w:hAnsi="Times New Roman" w:cs="Times New Roman"/>
        </w:rPr>
        <w:t xml:space="preserve">, </w:t>
      </w:r>
      <w:proofErr w:type="spellStart"/>
      <w:r w:rsidRPr="00471B08">
        <w:rPr>
          <w:rFonts w:ascii="Times New Roman" w:hAnsi="Times New Roman" w:cs="Times New Roman"/>
        </w:rPr>
        <w:t>pentru</w:t>
      </w:r>
      <w:proofErr w:type="spellEnd"/>
      <w:r w:rsidRPr="00471B08">
        <w:rPr>
          <w:rFonts w:ascii="Times New Roman" w:hAnsi="Times New Roman" w:cs="Times New Roman"/>
        </w:rPr>
        <w:t xml:space="preserve"> a se </w:t>
      </w:r>
      <w:proofErr w:type="spellStart"/>
      <w:r w:rsidRPr="00471B08">
        <w:rPr>
          <w:rFonts w:ascii="Times New Roman" w:hAnsi="Times New Roman" w:cs="Times New Roman"/>
        </w:rPr>
        <w:t>asigura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cele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mai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înalte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calități</w:t>
      </w:r>
      <w:proofErr w:type="spellEnd"/>
      <w:r w:rsidRPr="00471B08">
        <w:rPr>
          <w:rFonts w:ascii="Times New Roman" w:hAnsi="Times New Roman" w:cs="Times New Roman"/>
        </w:rPr>
        <w:t xml:space="preserve"> a </w:t>
      </w:r>
      <w:proofErr w:type="spellStart"/>
      <w:r w:rsidRPr="00471B08">
        <w:rPr>
          <w:rFonts w:ascii="Times New Roman" w:hAnsi="Times New Roman" w:cs="Times New Roman"/>
        </w:rPr>
        <w:t>datelor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colectate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</w:p>
    <w:p w14:paraId="2C18B25E" w14:textId="7FA3BEBD" w:rsidR="00471B08" w:rsidRPr="00471B08" w:rsidRDefault="00471B08" w:rsidP="00471B0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71B08">
        <w:rPr>
          <w:rFonts w:ascii="Times New Roman" w:hAnsi="Times New Roman" w:cs="Times New Roman"/>
        </w:rPr>
        <w:t xml:space="preserve">Un </w:t>
      </w:r>
      <w:proofErr w:type="spellStart"/>
      <w:r w:rsidRPr="00471B08">
        <w:rPr>
          <w:rFonts w:ascii="Times New Roman" w:hAnsi="Times New Roman" w:cs="Times New Roman"/>
        </w:rPr>
        <w:t>sistem</w:t>
      </w:r>
      <w:proofErr w:type="spellEnd"/>
      <w:r w:rsidRPr="00471B08">
        <w:rPr>
          <w:rFonts w:ascii="Times New Roman" w:hAnsi="Times New Roman" w:cs="Times New Roman"/>
        </w:rPr>
        <w:t xml:space="preserve"> SBP de </w:t>
      </w:r>
      <w:proofErr w:type="spellStart"/>
      <w:r w:rsidRPr="00471B08">
        <w:rPr>
          <w:rFonts w:ascii="Times New Roman" w:hAnsi="Times New Roman" w:cs="Times New Roman"/>
        </w:rPr>
        <w:t>înaltă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frecvență</w:t>
      </w:r>
      <w:proofErr w:type="spellEnd"/>
      <w:r w:rsidRPr="00471B08">
        <w:rPr>
          <w:rFonts w:ascii="Times New Roman" w:hAnsi="Times New Roman" w:cs="Times New Roman"/>
        </w:rPr>
        <w:t xml:space="preserve"> cu o </w:t>
      </w:r>
      <w:proofErr w:type="spellStart"/>
      <w:r w:rsidRPr="00471B08">
        <w:rPr>
          <w:rFonts w:ascii="Times New Roman" w:hAnsi="Times New Roman" w:cs="Times New Roman"/>
        </w:rPr>
        <w:t>lățime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bandă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operațională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între</w:t>
      </w:r>
      <w:proofErr w:type="spellEnd"/>
      <w:r w:rsidRPr="00471B08">
        <w:rPr>
          <w:rFonts w:ascii="Times New Roman" w:hAnsi="Times New Roman" w:cs="Times New Roman"/>
        </w:rPr>
        <w:t xml:space="preserve"> 1</w:t>
      </w:r>
      <w:proofErr w:type="gramStart"/>
      <w:r w:rsidRPr="00471B08">
        <w:rPr>
          <w:rFonts w:ascii="Times New Roman" w:hAnsi="Times New Roman" w:cs="Times New Roman"/>
        </w:rPr>
        <w:t>,5</w:t>
      </w:r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și</w:t>
      </w:r>
      <w:proofErr w:type="spellEnd"/>
      <w:r w:rsidRPr="00471B08">
        <w:rPr>
          <w:rFonts w:ascii="Times New Roman" w:hAnsi="Times New Roman" w:cs="Times New Roman"/>
        </w:rPr>
        <w:t xml:space="preserve"> 4,5 kHz </w:t>
      </w:r>
      <w:proofErr w:type="spellStart"/>
      <w:r w:rsidRPr="00471B08">
        <w:rPr>
          <w:rFonts w:ascii="Times New Roman" w:hAnsi="Times New Roman" w:cs="Times New Roman"/>
        </w:rPr>
        <w:t>va</w:t>
      </w:r>
      <w:proofErr w:type="spellEnd"/>
      <w:r w:rsidRPr="00471B08">
        <w:rPr>
          <w:rFonts w:ascii="Times New Roman" w:hAnsi="Times New Roman" w:cs="Times New Roman"/>
        </w:rPr>
        <w:t xml:space="preserve"> fi </w:t>
      </w:r>
      <w:proofErr w:type="spellStart"/>
      <w:r w:rsidRPr="00471B08">
        <w:rPr>
          <w:rFonts w:ascii="Times New Roman" w:hAnsi="Times New Roman" w:cs="Times New Roman"/>
        </w:rPr>
        <w:t>utilizat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pentru</w:t>
      </w:r>
      <w:proofErr w:type="spellEnd"/>
      <w:r w:rsidRPr="00471B08">
        <w:rPr>
          <w:rFonts w:ascii="Times New Roman" w:hAnsi="Times New Roman" w:cs="Times New Roman"/>
        </w:rPr>
        <w:t xml:space="preserve"> a </w:t>
      </w:r>
      <w:proofErr w:type="spellStart"/>
      <w:r w:rsidRPr="00471B08">
        <w:rPr>
          <w:rFonts w:ascii="Times New Roman" w:hAnsi="Times New Roman" w:cs="Times New Roman"/>
        </w:rPr>
        <w:t>furniza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imagini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digitale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înaltă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rezoluție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caracteristicile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apropiate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suprafață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  <w:proofErr w:type="spellStart"/>
      <w:r w:rsidRPr="00471B08">
        <w:rPr>
          <w:rFonts w:ascii="Times New Roman" w:hAnsi="Times New Roman" w:cs="Times New Roman"/>
        </w:rPr>
        <w:t>Pătrunderea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sedimentelor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trebuie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depășească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adâncimea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caracteristicii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studiate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</w:p>
    <w:p w14:paraId="6CACAE86" w14:textId="77777777" w:rsidR="00471B08" w:rsidRPr="00471B08" w:rsidRDefault="00471B08" w:rsidP="00471B0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Abaterea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poziției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corectate</w:t>
      </w:r>
      <w:proofErr w:type="spellEnd"/>
      <w:r w:rsidRPr="00471B08">
        <w:rPr>
          <w:rFonts w:ascii="Times New Roman" w:hAnsi="Times New Roman" w:cs="Times New Roman"/>
        </w:rPr>
        <w:t xml:space="preserve"> a </w:t>
      </w:r>
      <w:proofErr w:type="spellStart"/>
      <w:r w:rsidRPr="00471B08">
        <w:rPr>
          <w:rFonts w:ascii="Times New Roman" w:hAnsi="Times New Roman" w:cs="Times New Roman"/>
        </w:rPr>
        <w:t>senzorului</w:t>
      </w:r>
      <w:proofErr w:type="spellEnd"/>
      <w:r w:rsidRPr="00471B08">
        <w:rPr>
          <w:rFonts w:ascii="Times New Roman" w:hAnsi="Times New Roman" w:cs="Times New Roman"/>
        </w:rPr>
        <w:t xml:space="preserve"> ales, </w:t>
      </w:r>
      <w:proofErr w:type="spellStart"/>
      <w:r w:rsidRPr="00471B08">
        <w:rPr>
          <w:rFonts w:ascii="Times New Roman" w:hAnsi="Times New Roman" w:cs="Times New Roman"/>
        </w:rPr>
        <w:t>desemnat</w:t>
      </w:r>
      <w:proofErr w:type="spellEnd"/>
      <w:r w:rsidRPr="00471B08">
        <w:rPr>
          <w:rFonts w:ascii="Times New Roman" w:hAnsi="Times New Roman" w:cs="Times New Roman"/>
        </w:rPr>
        <w:t xml:space="preserve"> ca </w:t>
      </w:r>
      <w:proofErr w:type="spellStart"/>
      <w:r w:rsidRPr="00471B08">
        <w:rPr>
          <w:rFonts w:ascii="Times New Roman" w:hAnsi="Times New Roman" w:cs="Times New Roman"/>
        </w:rPr>
        <w:t>decalaj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primar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urmărire</w:t>
      </w:r>
      <w:proofErr w:type="spellEnd"/>
      <w:r w:rsidRPr="00471B08">
        <w:rPr>
          <w:rFonts w:ascii="Times New Roman" w:hAnsi="Times New Roman" w:cs="Times New Roman"/>
        </w:rPr>
        <w:t xml:space="preserve"> la </w:t>
      </w:r>
      <w:proofErr w:type="spellStart"/>
      <w:r w:rsidRPr="00471B08">
        <w:rPr>
          <w:rFonts w:ascii="Times New Roman" w:hAnsi="Times New Roman" w:cs="Times New Roman"/>
        </w:rPr>
        <w:t>începutul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liniei</w:t>
      </w:r>
      <w:proofErr w:type="spellEnd"/>
      <w:r w:rsidRPr="00471B08">
        <w:rPr>
          <w:rFonts w:ascii="Times New Roman" w:hAnsi="Times New Roman" w:cs="Times New Roman"/>
        </w:rPr>
        <w:t xml:space="preserve"> de survey, </w:t>
      </w:r>
      <w:proofErr w:type="spellStart"/>
      <w:r w:rsidRPr="00471B08">
        <w:rPr>
          <w:rFonts w:ascii="Times New Roman" w:hAnsi="Times New Roman" w:cs="Times New Roman"/>
        </w:rPr>
        <w:t>pornind</w:t>
      </w:r>
      <w:proofErr w:type="spellEnd"/>
      <w:r w:rsidRPr="00471B08">
        <w:rPr>
          <w:rFonts w:ascii="Times New Roman" w:hAnsi="Times New Roman" w:cs="Times New Roman"/>
        </w:rPr>
        <w:t xml:space="preserve"> de la </w:t>
      </w:r>
      <w:proofErr w:type="spellStart"/>
      <w:r w:rsidRPr="00471B08">
        <w:rPr>
          <w:rFonts w:ascii="Times New Roman" w:hAnsi="Times New Roman" w:cs="Times New Roman"/>
        </w:rPr>
        <w:t>linia</w:t>
      </w:r>
      <w:proofErr w:type="spellEnd"/>
      <w:r w:rsidRPr="00471B08">
        <w:rPr>
          <w:rFonts w:ascii="Times New Roman" w:hAnsi="Times New Roman" w:cs="Times New Roman"/>
        </w:rPr>
        <w:t xml:space="preserve"> de survey </w:t>
      </w:r>
      <w:proofErr w:type="spellStart"/>
      <w:r w:rsidRPr="00471B08">
        <w:rPr>
          <w:rFonts w:ascii="Times New Roman" w:hAnsi="Times New Roman" w:cs="Times New Roman"/>
        </w:rPr>
        <w:t>desemnată</w:t>
      </w:r>
      <w:proofErr w:type="spellEnd"/>
      <w:r w:rsidRPr="00471B08">
        <w:rPr>
          <w:rFonts w:ascii="Times New Roman" w:hAnsi="Times New Roman" w:cs="Times New Roman"/>
        </w:rPr>
        <w:t xml:space="preserve">, nu </w:t>
      </w:r>
      <w:proofErr w:type="spellStart"/>
      <w:r w:rsidRPr="00471B08">
        <w:rPr>
          <w:rFonts w:ascii="Times New Roman" w:hAnsi="Times New Roman" w:cs="Times New Roman"/>
        </w:rPr>
        <w:t>trebuie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să</w:t>
      </w:r>
      <w:proofErr w:type="spellEnd"/>
      <w:r w:rsidRPr="00471B08">
        <w:rPr>
          <w:rFonts w:ascii="Times New Roman" w:hAnsi="Times New Roman" w:cs="Times New Roman"/>
        </w:rPr>
        <w:t xml:space="preserve"> fie </w:t>
      </w:r>
      <w:proofErr w:type="spellStart"/>
      <w:r w:rsidRPr="00471B08">
        <w:rPr>
          <w:rFonts w:ascii="Times New Roman" w:hAnsi="Times New Roman" w:cs="Times New Roman"/>
        </w:rPr>
        <w:t>mai</w:t>
      </w:r>
      <w:proofErr w:type="spellEnd"/>
      <w:r w:rsidRPr="00471B08">
        <w:rPr>
          <w:rFonts w:ascii="Times New Roman" w:hAnsi="Times New Roman" w:cs="Times New Roman"/>
        </w:rPr>
        <w:t xml:space="preserve"> mare de ±1</w:t>
      </w:r>
      <w:proofErr w:type="gramStart"/>
      <w:r w:rsidRPr="00471B08">
        <w:rPr>
          <w:rFonts w:ascii="Times New Roman" w:hAnsi="Times New Roman" w:cs="Times New Roman"/>
        </w:rPr>
        <w:t>,0</w:t>
      </w:r>
      <w:proofErr w:type="gramEnd"/>
      <w:r w:rsidRPr="00471B08">
        <w:rPr>
          <w:rFonts w:ascii="Times New Roman" w:hAnsi="Times New Roman" w:cs="Times New Roman"/>
        </w:rPr>
        <w:t xml:space="preserve"> % din </w:t>
      </w:r>
      <w:proofErr w:type="spellStart"/>
      <w:r w:rsidRPr="00471B08">
        <w:rPr>
          <w:rFonts w:ascii="Times New Roman" w:hAnsi="Times New Roman" w:cs="Times New Roman"/>
        </w:rPr>
        <w:t>adâncimea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apei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</w:p>
    <w:p w14:paraId="37B02C76" w14:textId="7E5816A2" w:rsidR="00471B08" w:rsidRPr="00471B08" w:rsidRDefault="00471B08" w:rsidP="00471B0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Suprafața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parcursa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va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avea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dimensiunile</w:t>
      </w:r>
      <w:proofErr w:type="spellEnd"/>
      <w:r w:rsidRPr="00471B08">
        <w:rPr>
          <w:rFonts w:ascii="Times New Roman" w:hAnsi="Times New Roman" w:cs="Times New Roman"/>
        </w:rPr>
        <w:t xml:space="preserve"> de 25kmp. </w:t>
      </w:r>
    </w:p>
    <w:p w14:paraId="7CA6865A" w14:textId="1D6E1F34" w:rsidR="00471B08" w:rsidRPr="00471B08" w:rsidRDefault="00471B08" w:rsidP="00471B08">
      <w:pPr>
        <w:pStyle w:val="Default"/>
        <w:numPr>
          <w:ilvl w:val="0"/>
          <w:numId w:val="14"/>
        </w:numPr>
        <w:spacing w:after="53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Distanțele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dintre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liniile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parcurgere</w:t>
      </w:r>
      <w:proofErr w:type="spellEnd"/>
      <w:r w:rsidRPr="00471B08">
        <w:rPr>
          <w:rFonts w:ascii="Times New Roman" w:hAnsi="Times New Roman" w:cs="Times New Roman"/>
        </w:rPr>
        <w:t xml:space="preserve"> a </w:t>
      </w:r>
      <w:proofErr w:type="spellStart"/>
      <w:r w:rsidRPr="00471B08">
        <w:rPr>
          <w:rFonts w:ascii="Times New Roman" w:hAnsi="Times New Roman" w:cs="Times New Roman"/>
        </w:rPr>
        <w:t>perimetrului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vor</w:t>
      </w:r>
      <w:proofErr w:type="spellEnd"/>
      <w:r w:rsidRPr="00471B08">
        <w:rPr>
          <w:rFonts w:ascii="Times New Roman" w:hAnsi="Times New Roman" w:cs="Times New Roman"/>
        </w:rPr>
        <w:t xml:space="preserve"> fi de 125 m </w:t>
      </w:r>
    </w:p>
    <w:p w14:paraId="1B7D2295" w14:textId="374B1393" w:rsidR="00471B08" w:rsidRPr="00471B08" w:rsidRDefault="00471B08" w:rsidP="00471B0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Distanta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zilnica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parcursa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este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de 20 km </w:t>
      </w:r>
      <w:proofErr w:type="spellStart"/>
      <w:r w:rsidRPr="00471B08">
        <w:rPr>
          <w:rFonts w:ascii="Times New Roman" w:hAnsi="Times New Roman" w:cs="Times New Roman"/>
        </w:rPr>
        <w:t>dintr</w:t>
      </w:r>
      <w:proofErr w:type="spellEnd"/>
      <w:r w:rsidRPr="00471B08">
        <w:rPr>
          <w:rFonts w:ascii="Times New Roman" w:hAnsi="Times New Roman" w:cs="Times New Roman"/>
        </w:rPr>
        <w:t xml:space="preserve">-un total de </w:t>
      </w:r>
      <w:proofErr w:type="spellStart"/>
      <w:r w:rsidRPr="00471B08">
        <w:rPr>
          <w:rFonts w:ascii="Times New Roman" w:hAnsi="Times New Roman" w:cs="Times New Roman"/>
        </w:rPr>
        <w:t>aprox</w:t>
      </w:r>
      <w:proofErr w:type="spellEnd"/>
      <w:r w:rsidRPr="00471B08">
        <w:rPr>
          <w:rFonts w:ascii="Times New Roman" w:hAnsi="Times New Roman" w:cs="Times New Roman"/>
        </w:rPr>
        <w:t xml:space="preserve">. 200 de km de </w:t>
      </w:r>
      <w:proofErr w:type="spellStart"/>
      <w:r w:rsidRPr="00471B08">
        <w:rPr>
          <w:rFonts w:ascii="Times New Roman" w:hAnsi="Times New Roman" w:cs="Times New Roman"/>
        </w:rPr>
        <w:t>linii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</w:p>
    <w:p w14:paraId="262C7D29" w14:textId="77777777" w:rsidR="00471B08" w:rsidRPr="00471B08" w:rsidRDefault="00471B08" w:rsidP="0047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7C0DE" w14:textId="03FF80DF" w:rsidR="00471B08" w:rsidRPr="00471B08" w:rsidRDefault="00471B08" w:rsidP="0047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B08">
        <w:rPr>
          <w:rFonts w:ascii="Times New Roman" w:hAnsi="Times New Roman" w:cs="Times New Roman"/>
          <w:sz w:val="24"/>
          <w:szCs w:val="24"/>
        </w:rPr>
        <w:t>Investigatiile</w:t>
      </w:r>
      <w:proofErr w:type="spellEnd"/>
      <w:r w:rsidRPr="00471B08">
        <w:rPr>
          <w:rFonts w:ascii="Times New Roman" w:hAnsi="Times New Roman" w:cs="Times New Roman"/>
          <w:sz w:val="24"/>
          <w:szCs w:val="24"/>
        </w:rPr>
        <w:t xml:space="preserve"> de diagnostic arheologic vor fi întreprinse de la bordul navei de cercetare OPTIMUS PRIME (IMO: 8501098) sub pavilion Turcia (Istanbul)</w:t>
      </w:r>
    </w:p>
    <w:p w14:paraId="21E3A638" w14:textId="77777777" w:rsidR="00471B08" w:rsidRPr="00471B08" w:rsidRDefault="00471B08" w:rsidP="00471B08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</w:rPr>
        <w:t>Tehnicile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utilizate</w:t>
      </w:r>
      <w:proofErr w:type="spellEnd"/>
      <w:r w:rsidRPr="00471B08">
        <w:rPr>
          <w:rFonts w:ascii="Times New Roman" w:hAnsi="Times New Roman" w:cs="Times New Roman"/>
        </w:rPr>
        <w:t xml:space="preserve"> in </w:t>
      </w:r>
      <w:proofErr w:type="spellStart"/>
      <w:r w:rsidRPr="00471B08">
        <w:rPr>
          <w:rFonts w:ascii="Times New Roman" w:hAnsi="Times New Roman" w:cs="Times New Roman"/>
        </w:rPr>
        <w:t>cadrul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studiului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geofizic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subacvatic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sunt</w:t>
      </w:r>
      <w:proofErr w:type="spellEnd"/>
      <w:r w:rsidRPr="00471B08">
        <w:rPr>
          <w:rFonts w:ascii="Times New Roman" w:hAnsi="Times New Roman" w:cs="Times New Roman"/>
        </w:rPr>
        <w:t xml:space="preserve">: </w:t>
      </w:r>
    </w:p>
    <w:p w14:paraId="356C63DF" w14:textId="2613B811" w:rsidR="00471B08" w:rsidRPr="00471B08" w:rsidRDefault="00471B08" w:rsidP="00471B08">
      <w:pPr>
        <w:pStyle w:val="Default"/>
        <w:numPr>
          <w:ilvl w:val="0"/>
          <w:numId w:val="15"/>
        </w:numPr>
        <w:spacing w:after="53"/>
        <w:jc w:val="both"/>
        <w:rPr>
          <w:rFonts w:ascii="Times New Roman" w:hAnsi="Times New Roman" w:cs="Times New Roman"/>
        </w:rPr>
      </w:pPr>
      <w:r w:rsidRPr="00471B08">
        <w:rPr>
          <w:rFonts w:ascii="Times New Roman" w:hAnsi="Times New Roman" w:cs="Times New Roman"/>
          <w:b/>
          <w:bCs/>
        </w:rPr>
        <w:t>Side scan sonar</w:t>
      </w:r>
      <w:proofErr w:type="gramStart"/>
      <w:r w:rsidRPr="00471B0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proofErr w:type="gram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categorie</w:t>
      </w:r>
      <w:proofErr w:type="spellEnd"/>
      <w:r>
        <w:rPr>
          <w:sz w:val="23"/>
          <w:szCs w:val="23"/>
        </w:rPr>
        <w:t xml:space="preserve"> de “</w:t>
      </w:r>
      <w:proofErr w:type="spellStart"/>
      <w:r>
        <w:rPr>
          <w:sz w:val="23"/>
          <w:szCs w:val="23"/>
        </w:rPr>
        <w:t>sistem</w:t>
      </w:r>
      <w:proofErr w:type="spellEnd"/>
      <w:r>
        <w:rPr>
          <w:sz w:val="23"/>
          <w:szCs w:val="23"/>
        </w:rPr>
        <w:t xml:space="preserve"> sonar” care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folosită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crea</w:t>
      </w:r>
      <w:proofErr w:type="spellEnd"/>
      <w:r>
        <w:rPr>
          <w:sz w:val="23"/>
          <w:szCs w:val="23"/>
        </w:rPr>
        <w:t xml:space="preserve"> o imagine </w:t>
      </w:r>
      <w:proofErr w:type="spellStart"/>
      <w:r>
        <w:rPr>
          <w:sz w:val="23"/>
          <w:szCs w:val="23"/>
        </w:rPr>
        <w:t>eficientă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suprafeței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fundului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mării</w:t>
      </w:r>
      <w:proofErr w:type="spellEnd"/>
      <w:r>
        <w:rPr>
          <w:sz w:val="23"/>
          <w:szCs w:val="23"/>
        </w:rPr>
        <w:t>.</w:t>
      </w:r>
    </w:p>
    <w:p w14:paraId="1A403E53" w14:textId="42B02A80" w:rsidR="00471B08" w:rsidRPr="00471B08" w:rsidRDefault="00471B08" w:rsidP="00471B08">
      <w:pPr>
        <w:pStyle w:val="Default"/>
        <w:numPr>
          <w:ilvl w:val="0"/>
          <w:numId w:val="15"/>
        </w:numPr>
        <w:spacing w:after="53"/>
        <w:jc w:val="both"/>
        <w:rPr>
          <w:rFonts w:ascii="Times New Roman" w:hAnsi="Times New Roman" w:cs="Times New Roman"/>
        </w:rPr>
      </w:pPr>
      <w:r w:rsidRPr="00471B08">
        <w:rPr>
          <w:rFonts w:ascii="Times New Roman" w:hAnsi="Times New Roman" w:cs="Times New Roman"/>
          <w:b/>
          <w:bCs/>
        </w:rPr>
        <w:t>Sub bottom profiling</w:t>
      </w:r>
      <w:proofErr w:type="gramStart"/>
      <w:r w:rsidRPr="00471B08">
        <w:rPr>
          <w:rFonts w:ascii="Times New Roman" w:hAnsi="Times New Roman" w:cs="Times New Roman"/>
        </w:rPr>
        <w:t>;</w:t>
      </w:r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costă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transmiterea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energiei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sonore</w:t>
      </w:r>
      <w:proofErr w:type="spellEnd"/>
      <w:r w:rsidRPr="00471B08">
        <w:rPr>
          <w:rFonts w:ascii="Times New Roman" w:hAnsi="Times New Roman" w:cs="Times New Roman"/>
        </w:rPr>
        <w:t xml:space="preserve"> sub </w:t>
      </w:r>
      <w:proofErr w:type="spellStart"/>
      <w:r w:rsidRPr="00471B08">
        <w:rPr>
          <w:rFonts w:ascii="Times New Roman" w:hAnsi="Times New Roman" w:cs="Times New Roman"/>
        </w:rPr>
        <w:t>formă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unui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impuls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scurt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către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fundul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mării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  <w:proofErr w:type="spellStart"/>
      <w:r w:rsidRPr="00471B08">
        <w:rPr>
          <w:rFonts w:ascii="Times New Roman" w:hAnsi="Times New Roman" w:cs="Times New Roman"/>
        </w:rPr>
        <w:t>Această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energie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sonoră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este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reflectată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fundul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marii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și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straturile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sedimentului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subteran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  <w:proofErr w:type="spellStart"/>
      <w:r w:rsidRPr="00471B08">
        <w:rPr>
          <w:rFonts w:ascii="Times New Roman" w:hAnsi="Times New Roman" w:cs="Times New Roman"/>
        </w:rPr>
        <w:t>Semnalul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reflectat</w:t>
      </w:r>
      <w:proofErr w:type="spellEnd"/>
      <w:r w:rsidRPr="00471B08">
        <w:rPr>
          <w:rFonts w:ascii="Times New Roman" w:hAnsi="Times New Roman" w:cs="Times New Roman"/>
        </w:rPr>
        <w:t xml:space="preserve"> se </w:t>
      </w:r>
      <w:proofErr w:type="spellStart"/>
      <w:r w:rsidRPr="00471B08">
        <w:rPr>
          <w:rFonts w:ascii="Times New Roman" w:hAnsi="Times New Roman" w:cs="Times New Roman"/>
        </w:rPr>
        <w:t>deplasează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înapoi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prin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1B08">
        <w:rPr>
          <w:rFonts w:ascii="Times New Roman" w:hAnsi="Times New Roman" w:cs="Times New Roman"/>
        </w:rPr>
        <w:t>apă</w:t>
      </w:r>
      <w:proofErr w:type="spellEnd"/>
      <w:proofErr w:type="gram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către</w:t>
      </w:r>
      <w:proofErr w:type="spellEnd"/>
      <w:r w:rsidRPr="00471B08">
        <w:rPr>
          <w:rFonts w:ascii="Times New Roman" w:hAnsi="Times New Roman" w:cs="Times New Roman"/>
        </w:rPr>
        <w:t xml:space="preserve"> receptor (fie un </w:t>
      </w:r>
      <w:proofErr w:type="spellStart"/>
      <w:r w:rsidRPr="00471B08">
        <w:rPr>
          <w:rFonts w:ascii="Times New Roman" w:hAnsi="Times New Roman" w:cs="Times New Roman"/>
        </w:rPr>
        <w:t>hidrofon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remorcat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sau</w:t>
      </w:r>
      <w:proofErr w:type="spellEnd"/>
      <w:r w:rsidRPr="00471B08">
        <w:rPr>
          <w:rFonts w:ascii="Times New Roman" w:hAnsi="Times New Roman" w:cs="Times New Roman"/>
        </w:rPr>
        <w:t xml:space="preserve"> un </w:t>
      </w:r>
      <w:proofErr w:type="spellStart"/>
      <w:r w:rsidRPr="00471B08">
        <w:rPr>
          <w:rFonts w:ascii="Times New Roman" w:hAnsi="Times New Roman" w:cs="Times New Roman"/>
        </w:rPr>
        <w:t>traductor</w:t>
      </w:r>
      <w:proofErr w:type="spellEnd"/>
      <w:r w:rsidRPr="00471B08">
        <w:rPr>
          <w:rFonts w:ascii="Times New Roman" w:hAnsi="Times New Roman" w:cs="Times New Roman"/>
        </w:rPr>
        <w:t xml:space="preserve">). </w:t>
      </w:r>
      <w:proofErr w:type="spellStart"/>
      <w:r w:rsidRPr="00471B08">
        <w:rPr>
          <w:rFonts w:ascii="Times New Roman" w:hAnsi="Times New Roman" w:cs="Times New Roman"/>
        </w:rPr>
        <w:t>Semnalele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recepționate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sunt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apoi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amplificate</w:t>
      </w:r>
      <w:proofErr w:type="spellEnd"/>
      <w:r w:rsidRPr="00471B08">
        <w:rPr>
          <w:rFonts w:ascii="Times New Roman" w:hAnsi="Times New Roman" w:cs="Times New Roman"/>
        </w:rPr>
        <w:t xml:space="preserve">, </w:t>
      </w:r>
      <w:proofErr w:type="spellStart"/>
      <w:r w:rsidRPr="00471B08">
        <w:rPr>
          <w:rFonts w:ascii="Times New Roman" w:hAnsi="Times New Roman" w:cs="Times New Roman"/>
        </w:rPr>
        <w:t>procesate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și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afișate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în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sistemul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achiziție</w:t>
      </w:r>
      <w:proofErr w:type="spellEnd"/>
      <w:r w:rsidRPr="00471B08">
        <w:rPr>
          <w:rFonts w:ascii="Times New Roman" w:hAnsi="Times New Roman" w:cs="Times New Roman"/>
        </w:rPr>
        <w:t>.</w:t>
      </w:r>
    </w:p>
    <w:p w14:paraId="2DA3C79A" w14:textId="1A526B8E" w:rsidR="00471B08" w:rsidRPr="00471B08" w:rsidRDefault="00471B08" w:rsidP="00471B08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471B08">
        <w:rPr>
          <w:rFonts w:ascii="Times New Roman" w:hAnsi="Times New Roman" w:cs="Times New Roman"/>
          <w:b/>
          <w:bCs/>
        </w:rPr>
        <w:t>Inspectii</w:t>
      </w:r>
      <w:proofErr w:type="spellEnd"/>
      <w:r w:rsidRPr="00471B0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1B08">
        <w:rPr>
          <w:rFonts w:ascii="Times New Roman" w:hAnsi="Times New Roman" w:cs="Times New Roman"/>
          <w:b/>
          <w:bCs/>
        </w:rPr>
        <w:t>robotice</w:t>
      </w:r>
      <w:proofErr w:type="spellEnd"/>
      <w:r w:rsidRPr="00471B08">
        <w:rPr>
          <w:rFonts w:ascii="Times New Roman" w:hAnsi="Times New Roman" w:cs="Times New Roman"/>
          <w:b/>
          <w:bCs/>
        </w:rPr>
        <w:t xml:space="preserve"> ROV </w:t>
      </w:r>
      <w:r w:rsidRPr="00471B08">
        <w:rPr>
          <w:rFonts w:ascii="Times New Roman" w:hAnsi="Times New Roman" w:cs="Times New Roman"/>
        </w:rPr>
        <w:t xml:space="preserve">(remotely operated underwater vehicle). </w:t>
      </w:r>
      <w:proofErr w:type="spellStart"/>
      <w:r w:rsidRPr="00471B08">
        <w:rPr>
          <w:rFonts w:ascii="Times New Roman" w:hAnsi="Times New Roman" w:cs="Times New Roman"/>
        </w:rPr>
        <w:t>sunt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investigații</w:t>
      </w:r>
      <w:proofErr w:type="spellEnd"/>
      <w:r w:rsidRPr="00471B08">
        <w:rPr>
          <w:rFonts w:ascii="Times New Roman" w:hAnsi="Times New Roman" w:cs="Times New Roman"/>
        </w:rPr>
        <w:t xml:space="preserve"> ale </w:t>
      </w:r>
      <w:proofErr w:type="spellStart"/>
      <w:r w:rsidRPr="00471B08">
        <w:rPr>
          <w:rFonts w:ascii="Times New Roman" w:hAnsi="Times New Roman" w:cs="Times New Roman"/>
        </w:rPr>
        <w:t>fundului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marii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realizate</w:t>
      </w:r>
      <w:proofErr w:type="spellEnd"/>
      <w:r w:rsidRPr="00471B08">
        <w:rPr>
          <w:rFonts w:ascii="Times New Roman" w:hAnsi="Times New Roman" w:cs="Times New Roman"/>
        </w:rPr>
        <w:t xml:space="preserve"> cu un </w:t>
      </w:r>
      <w:proofErr w:type="spellStart"/>
      <w:r w:rsidRPr="00471B08">
        <w:rPr>
          <w:rFonts w:ascii="Times New Roman" w:hAnsi="Times New Roman" w:cs="Times New Roman"/>
        </w:rPr>
        <w:t>vehicul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submarin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controlat</w:t>
      </w:r>
      <w:proofErr w:type="spellEnd"/>
      <w:r w:rsidRPr="00471B08">
        <w:rPr>
          <w:rFonts w:ascii="Times New Roman" w:hAnsi="Times New Roman" w:cs="Times New Roman"/>
        </w:rPr>
        <w:t xml:space="preserve"> de la </w:t>
      </w:r>
      <w:proofErr w:type="spellStart"/>
      <w:r w:rsidRPr="00471B08">
        <w:rPr>
          <w:rFonts w:ascii="Times New Roman" w:hAnsi="Times New Roman" w:cs="Times New Roman"/>
        </w:rPr>
        <w:t>distanță</w:t>
      </w:r>
      <w:proofErr w:type="spellEnd"/>
      <w:r w:rsidRPr="00471B08">
        <w:rPr>
          <w:rFonts w:ascii="Times New Roman" w:hAnsi="Times New Roman" w:cs="Times New Roman"/>
        </w:rPr>
        <w:t xml:space="preserve">. </w:t>
      </w:r>
      <w:proofErr w:type="spellStart"/>
      <w:r w:rsidRPr="00471B08">
        <w:rPr>
          <w:rFonts w:ascii="Times New Roman" w:hAnsi="Times New Roman" w:cs="Times New Roman"/>
        </w:rPr>
        <w:t>Vehiculul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este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fapt</w:t>
      </w:r>
      <w:proofErr w:type="spellEnd"/>
      <w:r w:rsidRPr="00471B08">
        <w:rPr>
          <w:rFonts w:ascii="Times New Roman" w:hAnsi="Times New Roman" w:cs="Times New Roman"/>
        </w:rPr>
        <w:t xml:space="preserve"> un robot </w:t>
      </w:r>
      <w:proofErr w:type="spellStart"/>
      <w:r w:rsidRPr="00471B08">
        <w:rPr>
          <w:rFonts w:ascii="Times New Roman" w:hAnsi="Times New Roman" w:cs="Times New Roman"/>
        </w:rPr>
        <w:t>subacvatic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neasistat</w:t>
      </w:r>
      <w:proofErr w:type="spellEnd"/>
      <w:r w:rsidRPr="00471B08">
        <w:rPr>
          <w:rFonts w:ascii="Times New Roman" w:hAnsi="Times New Roman" w:cs="Times New Roman"/>
        </w:rPr>
        <w:t xml:space="preserve"> de un </w:t>
      </w:r>
      <w:proofErr w:type="spellStart"/>
      <w:r w:rsidRPr="00471B08">
        <w:rPr>
          <w:rFonts w:ascii="Times New Roman" w:hAnsi="Times New Roman" w:cs="Times New Roman"/>
        </w:rPr>
        <w:t>însoțitor</w:t>
      </w:r>
      <w:proofErr w:type="spellEnd"/>
      <w:r w:rsidRPr="00471B08">
        <w:rPr>
          <w:rFonts w:ascii="Times New Roman" w:hAnsi="Times New Roman" w:cs="Times New Roman"/>
        </w:rPr>
        <w:t xml:space="preserve">, </w:t>
      </w:r>
      <w:proofErr w:type="spellStart"/>
      <w:r w:rsidRPr="00471B08">
        <w:rPr>
          <w:rFonts w:ascii="Times New Roman" w:hAnsi="Times New Roman" w:cs="Times New Roman"/>
        </w:rPr>
        <w:t>conectat</w:t>
      </w:r>
      <w:proofErr w:type="spellEnd"/>
      <w:r w:rsidRPr="00471B08">
        <w:rPr>
          <w:rFonts w:ascii="Times New Roman" w:hAnsi="Times New Roman" w:cs="Times New Roman"/>
        </w:rPr>
        <w:t xml:space="preserve"> la o </w:t>
      </w:r>
      <w:proofErr w:type="spellStart"/>
      <w:r w:rsidRPr="00471B08">
        <w:rPr>
          <w:rFonts w:ascii="Times New Roman" w:hAnsi="Times New Roman" w:cs="Times New Roman"/>
        </w:rPr>
        <w:t>nava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prin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cabluri</w:t>
      </w:r>
      <w:proofErr w:type="spellEnd"/>
      <w:r w:rsidRPr="00471B08">
        <w:rPr>
          <w:rFonts w:ascii="Times New Roman" w:hAnsi="Times New Roman" w:cs="Times New Roman"/>
        </w:rPr>
        <w:t xml:space="preserve">, </w:t>
      </w:r>
      <w:proofErr w:type="spellStart"/>
      <w:r w:rsidRPr="00471B08">
        <w:rPr>
          <w:rFonts w:ascii="Times New Roman" w:hAnsi="Times New Roman" w:cs="Times New Roman"/>
        </w:rPr>
        <w:t>ce</w:t>
      </w:r>
      <w:proofErr w:type="spellEnd"/>
      <w:r w:rsidRPr="00471B08">
        <w:rPr>
          <w:rFonts w:ascii="Times New Roman" w:hAnsi="Times New Roman" w:cs="Times New Roman"/>
        </w:rPr>
        <w:t xml:space="preserve"> transmit </w:t>
      </w:r>
      <w:proofErr w:type="spellStart"/>
      <w:r w:rsidRPr="00471B08">
        <w:rPr>
          <w:rFonts w:ascii="Times New Roman" w:hAnsi="Times New Roman" w:cs="Times New Roman"/>
        </w:rPr>
        <w:t>semnale</w:t>
      </w:r>
      <w:proofErr w:type="spellEnd"/>
      <w:r w:rsidRPr="00471B08">
        <w:rPr>
          <w:rFonts w:ascii="Times New Roman" w:hAnsi="Times New Roman" w:cs="Times New Roman"/>
        </w:rPr>
        <w:t xml:space="preserve"> de </w:t>
      </w:r>
      <w:proofErr w:type="spellStart"/>
      <w:r w:rsidRPr="00471B08">
        <w:rPr>
          <w:rFonts w:ascii="Times New Roman" w:hAnsi="Times New Roman" w:cs="Times New Roman"/>
        </w:rPr>
        <w:t>comanda</w:t>
      </w:r>
      <w:proofErr w:type="spellEnd"/>
      <w:r w:rsidRPr="00471B08">
        <w:rPr>
          <w:rFonts w:ascii="Times New Roman" w:hAnsi="Times New Roman" w:cs="Times New Roman"/>
        </w:rPr>
        <w:t xml:space="preserve"> </w:t>
      </w:r>
      <w:proofErr w:type="spellStart"/>
      <w:r w:rsidRPr="00471B08">
        <w:rPr>
          <w:rFonts w:ascii="Times New Roman" w:hAnsi="Times New Roman" w:cs="Times New Roman"/>
        </w:rPr>
        <w:t>și</w:t>
      </w:r>
      <w:proofErr w:type="spellEnd"/>
      <w:r w:rsidRPr="00471B08">
        <w:rPr>
          <w:rFonts w:ascii="Times New Roman" w:hAnsi="Times New Roman" w:cs="Times New Roman"/>
        </w:rPr>
        <w:t xml:space="preserve"> control </w:t>
      </w:r>
      <w:proofErr w:type="spellStart"/>
      <w:r w:rsidRPr="00471B08">
        <w:rPr>
          <w:rFonts w:ascii="Times New Roman" w:hAnsi="Times New Roman" w:cs="Times New Roman"/>
        </w:rPr>
        <w:t>între</w:t>
      </w:r>
      <w:proofErr w:type="spellEnd"/>
      <w:r w:rsidRPr="00471B08">
        <w:rPr>
          <w:rFonts w:ascii="Times New Roman" w:hAnsi="Times New Roman" w:cs="Times New Roman"/>
        </w:rPr>
        <w:t xml:space="preserve"> operator </w:t>
      </w:r>
      <w:proofErr w:type="spellStart"/>
      <w:r w:rsidRPr="00471B08">
        <w:rPr>
          <w:rFonts w:ascii="Times New Roman" w:hAnsi="Times New Roman" w:cs="Times New Roman"/>
        </w:rPr>
        <w:t>și</w:t>
      </w:r>
      <w:proofErr w:type="spellEnd"/>
      <w:r w:rsidRPr="00471B08">
        <w:rPr>
          <w:rFonts w:ascii="Times New Roman" w:hAnsi="Times New Roman" w:cs="Times New Roman"/>
        </w:rPr>
        <w:t xml:space="preserve"> ROV</w:t>
      </w:r>
    </w:p>
    <w:p w14:paraId="7BFFAAD9" w14:textId="77777777" w:rsidR="00471B08" w:rsidRPr="00471B08" w:rsidRDefault="00471B08" w:rsidP="0047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8BD4B" w14:textId="056C0EDD" w:rsidR="00471B08" w:rsidRPr="00471B08" w:rsidRDefault="00471B08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08">
        <w:rPr>
          <w:rFonts w:ascii="Times New Roman" w:hAnsi="Times New Roman" w:cs="Times New Roman"/>
          <w:sz w:val="24"/>
          <w:szCs w:val="24"/>
        </w:rPr>
        <w:t>Lucrările de cercetare arheologică se vor desfășura, în sectorul romanesc al zonei exclusiv economice („ZEE”), pe o suprafață de 25 km2, aflata o distanță de 15 km de ZEE a Ucrainei și la o distanta de 71 km ZEE a Republicii Bulgaria.</w:t>
      </w:r>
    </w:p>
    <w:p w14:paraId="355328AE" w14:textId="0B386FD7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</w:t>
      </w:r>
      <w:r w:rsidR="008B4EA7">
        <w:rPr>
          <w:rFonts w:ascii="Times New Roman" w:hAnsi="Times New Roman" w:cs="Times New Roman"/>
          <w:sz w:val="24"/>
          <w:szCs w:val="24"/>
        </w:rPr>
        <w:t>nu este cazul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lastRenderedPageBreak/>
        <w:t xml:space="preserve">    c)   utilizarea resurselor naturale, in special a solului, a terenurilor, a apei și a biodiversității – nu este cazul.</w:t>
      </w:r>
    </w:p>
    <w:p w14:paraId="6AE9A813" w14:textId="77777777" w:rsidR="00E93CC5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producţia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– în perioada lucrărilor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executie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rezultă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specifice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activităţii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construire, ce vor fi gestionate conform OUG nr. 92/2021 privind regimul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deseurilor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4E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aprobată cu modificări prin </w:t>
      </w:r>
      <w:r w:rsidRPr="008B4EA7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Legea nr. 17/2023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651465D" w14:textId="77777777" w:rsidR="00E93CC5" w:rsidRPr="008B4EA7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8B4EA7" w:rsidRPr="008B4EA7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8B4EA7" w:rsidRPr="008B4EA7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17 05 04</w:t>
            </w:r>
          </w:p>
        </w:tc>
        <w:tc>
          <w:tcPr>
            <w:tcW w:w="1787" w:type="dxa"/>
          </w:tcPr>
          <w:p w14:paraId="004540F2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8B4EA7" w:rsidRPr="008B4EA7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17 01 07</w:t>
            </w:r>
          </w:p>
        </w:tc>
        <w:tc>
          <w:tcPr>
            <w:tcW w:w="1787" w:type="dxa"/>
          </w:tcPr>
          <w:p w14:paraId="4370AC3A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10D7D050" w:rsidR="00E93CC5" w:rsidRPr="008B4EA7" w:rsidRDefault="00E93CC5" w:rsidP="00E11DF4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 xml:space="preserve">vor fi transportate in locuri indicate de Primaria </w:t>
            </w:r>
            <w:r w:rsidR="00E11DF4" w:rsidRPr="008B4EA7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>Municipiului Constanta</w:t>
            </w:r>
          </w:p>
        </w:tc>
      </w:tr>
      <w:tr w:rsidR="008B4EA7" w:rsidRPr="008B4EA7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8B4EA7" w:rsidRPr="008B4EA7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B4EA7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B4EA7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proofErr w:type="spellStart"/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ambalaje</w:t>
            </w:r>
            <w:proofErr w:type="spellEnd"/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hârtie</w:t>
            </w:r>
            <w:proofErr w:type="spellEnd"/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și</w:t>
            </w:r>
            <w:proofErr w:type="spellEnd"/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B4EA7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pt-P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8B4EA7" w:rsidRPr="008B4EA7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Lucrari</w:t>
            </w:r>
            <w:proofErr w:type="spellEnd"/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8B4EA7" w:rsidRPr="008B4EA7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8B4EA7" w:rsidRPr="008B4EA7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Organizare </w:t>
            </w:r>
            <w:proofErr w:type="spellStart"/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8B4EA7" w:rsidRPr="008B4EA7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8B4EA7" w:rsidRPr="008B4EA7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8B4EA7" w:rsidRPr="008B4EA7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</w:pPr>
            <w:r w:rsidRPr="008B4EA7">
              <w:rPr>
                <w:rFonts w:ascii="Times New Roman" w:hAnsi="Times New Roman"/>
                <w:iCs/>
                <w:color w:val="FF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B4EA7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EA7">
              <w:rPr>
                <w:rFonts w:ascii="Times New Roman" w:hAnsi="Times New Roman"/>
                <w:color w:val="FF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  <w:r w:rsidRPr="008B4EA7"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547ADE85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e) poluarea și alte efecte nocive: emisiile, zgomotul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vibraţiile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sunt cele produse prin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funcţionarea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utilajelor specifice în perioada lucrărilor.</w:t>
      </w:r>
    </w:p>
    <w:p w14:paraId="08B77906" w14:textId="77777777" w:rsidR="00F342E4" w:rsidRPr="008B4EA7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 ● Proiectul propus nu va emite dioxid de carbon (CO</w:t>
      </w:r>
      <w:r w:rsidRPr="008B4EA7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2)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>, protoxid de azot (N</w:t>
      </w:r>
      <w:r w:rsidRPr="008B4EA7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>O), metan (CH</w:t>
      </w:r>
      <w:r w:rsidRPr="008B4EA7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4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>) sau orice alte gaze cu efect de sera.</w:t>
      </w:r>
    </w:p>
    <w:p w14:paraId="07E78C6E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 ●Proiectul propus nu implica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activitati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exploatare a terenurilor, de schimbare a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destinatiei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terenurilor sau de silvicultura (de exemplu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despaduriri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) care ar putea duce la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cresterea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emisiilor. </w:t>
      </w:r>
    </w:p>
    <w:p w14:paraId="59030FC9" w14:textId="2A7C7899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lucrarile</w:t>
      </w:r>
      <w:proofErr w:type="spellEnd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constructie</w:t>
      </w:r>
      <w:proofErr w:type="spellEnd"/>
      <w:r w:rsidR="00E93CC5" w:rsidRPr="008B4EA7">
        <w:rPr>
          <w:rFonts w:ascii="Times New Roman" w:hAnsi="Times New Roman" w:cs="Times New Roman"/>
          <w:color w:val="FF0000"/>
          <w:sz w:val="24"/>
          <w:szCs w:val="24"/>
          <w:lang w:val="es-ES" w:eastAsia="ar-SA"/>
        </w:rPr>
        <w:t>,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nu implica utilizarea unor </w:t>
      </w:r>
      <w:proofErr w:type="spellStart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substante</w:t>
      </w:r>
      <w:proofErr w:type="spellEnd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sau tehnologii care sa prezinte risc de contaminare si poluare a aerului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58168DA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8B4EA7">
        <w:rPr>
          <w:rFonts w:ascii="Times New Roman" w:hAnsi="Times New Roman" w:cs="Times New Roman"/>
          <w:b/>
          <w:iCs/>
          <w:color w:val="FF0000"/>
          <w:sz w:val="24"/>
          <w:szCs w:val="24"/>
        </w:rPr>
        <w:t>2. Amplasarea proiectelor</w:t>
      </w:r>
    </w:p>
    <w:p w14:paraId="30A051C2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4D9D9E85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a) utilizarea actuală și aprobată a terenurilor:</w:t>
      </w:r>
      <w:r w:rsidRPr="008B4E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teren intravilan,  </w:t>
      </w:r>
      <w:proofErr w:type="spellStart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avand</w:t>
      </w:r>
      <w:proofErr w:type="spellEnd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destinatia</w:t>
      </w:r>
      <w:proofErr w:type="spellEnd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stabilita prin planurile de urbanism si amenajarea teritoriului aprobate zona 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ZCS1-zona situata in lungul pietonalelor majore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(conform CU nr. 33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eliberat de </w:t>
      </w:r>
      <w:proofErr w:type="spellStart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Primaria</w:t>
      </w:r>
      <w:proofErr w:type="spellEnd"/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Municipiului Constanta</w:t>
      </w:r>
      <w:r w:rsidR="00E93CC5" w:rsidRPr="008B4EA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69BBD0E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c) capacitatea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absorbţie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a mediului natural,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acordându-se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o atenție specială următoarelor zone:</w:t>
      </w:r>
    </w:p>
    <w:p w14:paraId="7166D24A" w14:textId="77777777" w:rsidR="00F342E4" w:rsidRPr="008B4EA7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zone umede, zone riverane, guri ale râurilor: – nu este cazul.</w:t>
      </w:r>
    </w:p>
    <w:p w14:paraId="109E5972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iii) zonele montane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forestiere:  nu este cazul.</w:t>
      </w:r>
    </w:p>
    <w:p w14:paraId="3D3AB42C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iv)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rezervaţii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și parcuri naturale:  nu este cazul.</w:t>
      </w:r>
    </w:p>
    <w:p w14:paraId="101EC63E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8B4EA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01E2D49" w14:textId="6B09A0E1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vii) zonele cu o densitate mare a populației: 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Municipiul Constanta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0BC168C" w14:textId="2B2A5CCF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    viii) peisaje si situri importante din punct de vedere istoric, cultural sau arheologic: </w:t>
      </w:r>
      <w:r w:rsidR="00E11DF4" w:rsidRPr="008B4EA7">
        <w:rPr>
          <w:rFonts w:ascii="Times New Roman" w:hAnsi="Times New Roman" w:cs="Times New Roman"/>
          <w:color w:val="FF0000"/>
          <w:sz w:val="24"/>
          <w:szCs w:val="24"/>
        </w:rPr>
        <w:t>conform OMC nr. 2828/24.12.2015</w:t>
      </w:r>
      <w:r w:rsidR="00685CC7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pentru modificarea anexei nr. 1 la Ordinul Ministrului Culturii si Cultelor nr. 2314/2004 privind aprobarea Listei monumentelor istorice, actualizata si a Listei monumentelor istorice </w:t>
      </w:r>
      <w:proofErr w:type="spellStart"/>
      <w:r w:rsidR="00685CC7" w:rsidRPr="008B4EA7">
        <w:rPr>
          <w:rFonts w:ascii="Times New Roman" w:hAnsi="Times New Roman" w:cs="Times New Roman"/>
          <w:color w:val="FF0000"/>
          <w:sz w:val="24"/>
          <w:szCs w:val="24"/>
        </w:rPr>
        <w:t>disparute</w:t>
      </w:r>
      <w:proofErr w:type="spellEnd"/>
      <w:r w:rsidR="00685CC7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, cu </w:t>
      </w:r>
      <w:proofErr w:type="spellStart"/>
      <w:r w:rsidR="00685CC7" w:rsidRPr="008B4EA7">
        <w:rPr>
          <w:rFonts w:ascii="Times New Roman" w:hAnsi="Times New Roman" w:cs="Times New Roman"/>
          <w:color w:val="FF0000"/>
          <w:sz w:val="24"/>
          <w:szCs w:val="24"/>
        </w:rPr>
        <w:t>modificarile</w:t>
      </w:r>
      <w:proofErr w:type="spellEnd"/>
      <w:r w:rsidR="00685CC7"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ulterioare</w:t>
      </w:r>
      <w:r w:rsidR="00C909D6" w:rsidRPr="008B4EA7">
        <w:rPr>
          <w:rFonts w:ascii="Times New Roman" w:hAnsi="Times New Roman" w:cs="Times New Roman"/>
          <w:color w:val="FF0000"/>
          <w:sz w:val="24"/>
          <w:szCs w:val="24"/>
        </w:rPr>
        <w:t>, imobilul este situat in:</w:t>
      </w:r>
    </w:p>
    <w:p w14:paraId="13373636" w14:textId="749789F2" w:rsidR="00C909D6" w:rsidRPr="008B4EA7" w:rsidRDefault="00C909D6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- situl arheologic „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Orasul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antic Tomis”, Peninsula Constanta, cod CT-l-s-A-02553, nr.ctr.1</w:t>
      </w:r>
    </w:p>
    <w:p w14:paraId="24303589" w14:textId="4F1D0DE8" w:rsidR="00C909D6" w:rsidRPr="008B4EA7" w:rsidRDefault="00C909D6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- situl urban „zona peninsulara Constanta”</w:t>
      </w:r>
      <w:r w:rsidR="00BB2C26" w:rsidRPr="008B4EA7">
        <w:rPr>
          <w:rFonts w:ascii="Times New Roman" w:hAnsi="Times New Roman" w:cs="Times New Roman"/>
          <w:color w:val="FF0000"/>
          <w:sz w:val="24"/>
          <w:szCs w:val="24"/>
        </w:rPr>
        <w:t>, cod CT-II-s-B-02832.02, nr. crt.486</w:t>
      </w:r>
    </w:p>
    <w:p w14:paraId="28AB6163" w14:textId="4D0FBCF6" w:rsidR="00BB2C26" w:rsidRPr="008B4EA7" w:rsidRDefault="00BB2C26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- situl urban „zona peninsulara Constanta”, cod CT-II-a-B-02832, nr. crt. 488.</w:t>
      </w:r>
    </w:p>
    <w:p w14:paraId="3AB9C836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3. Tipurile si caracteristicile impactului </w:t>
      </w:r>
      <w:proofErr w:type="spellStart"/>
      <w:r w:rsidRPr="008B4EA7">
        <w:rPr>
          <w:rFonts w:ascii="Times New Roman" w:hAnsi="Times New Roman" w:cs="Times New Roman"/>
          <w:b/>
          <w:color w:val="FF0000"/>
          <w:sz w:val="24"/>
          <w:szCs w:val="24"/>
        </w:rPr>
        <w:t>potenţial</w:t>
      </w:r>
      <w:proofErr w:type="spellEnd"/>
    </w:p>
    <w:p w14:paraId="044280CF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b) natura impactului: redus.</w:t>
      </w:r>
    </w:p>
    <w:p w14:paraId="2DB9902D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d) intensitatea și complexitatea impactului: 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8B4EA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e) probabilitatea impactului: redusă, urmare a argumentelor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menţionate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la punctele a si b.</w:t>
      </w:r>
    </w:p>
    <w:p w14:paraId="7B2121DA" w14:textId="77777777" w:rsidR="00F342E4" w:rsidRPr="008B4EA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   f) debutul, durata,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frecvenţa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desfăşurării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lucrărilor.</w:t>
      </w:r>
    </w:p>
    <w:p w14:paraId="411CA34E" w14:textId="77777777" w:rsidR="00F342E4" w:rsidRPr="008B4EA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8B4EA7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h)</w:t>
      </w:r>
      <w:r w:rsidRPr="008B4EA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B4E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posibilitatea de reducere efectivă a impactului: </w:t>
      </w:r>
      <w:r w:rsidRPr="008B4EA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prin respectarea următoarelor condiții de realizare a proiectului:</w:t>
      </w:r>
      <w:r w:rsidRPr="008B4EA7">
        <w:rPr>
          <w:rStyle w:val="tpa1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510D243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8B4EA7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organizarea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şantier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8B4EA7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8B4EA7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managementul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deşeurilor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generate în urma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execuţiei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lucrărilor prevăzute în proiect se va realiza în conformitate cu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legislaţia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specifică de mediu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8B4EA7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deşeurile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municipale amestecate generate în perioada lucrărilor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construcţii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vor fi colectate, stocate temporar în pubele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8B4EA7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deşeurile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industriale reciclabile rezultate în perioada lucrărilor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construcţii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(metalice, hârtie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societăţi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autorizate specializate;</w:t>
      </w:r>
    </w:p>
    <w:p w14:paraId="39E1A587" w14:textId="77777777" w:rsidR="00F342E4" w:rsidRPr="008B4EA7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referitor la gestionarea deșeurilor din construcții și demolări, în conformitate cu OUG nr. 92/2021, </w:t>
      </w:r>
      <w:r w:rsidRPr="008B4E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aprobată cu modificări prin Legea nr. 17/2023</w:t>
      </w: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, titularii pe numele cărora au fost emise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autorizaţii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construire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/sau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desfiinţare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construcţii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, republicată, cu modificările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completările ulterioare, au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obligaţia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să gestioneze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deşeurile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din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construcţii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desfiinţări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alte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operaţiuni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valorificare materială, inclusiv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operaţiuni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rambleiere care utilizează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pentru a înlocui alte materiale, de minimum 70% din masa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deşeurilor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nepericuloase provenite din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activităţi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construcţie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desfiinţări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, cu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excepţia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deşeuri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în temeiul Directivei 2008/98/CE a Parlamentului European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a Consiliului.</w:t>
      </w:r>
    </w:p>
    <w:p w14:paraId="2097F03B" w14:textId="77777777" w:rsidR="00F342E4" w:rsidRPr="008B4EA7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în conformitate cu OUG nr. 92/2021,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aprobată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cu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modificări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prin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Legea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nr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. 17/2023</w:t>
      </w: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, titularul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autorizaţiei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de construire/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desfiinţare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emise de către autoritatea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administraţiei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publice locale, centrale sau de către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instituţiile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abilitate să autorizeze lucrările de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construcţii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cu caracter special are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obligaţia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de a avea un plan de gestionare 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deşeurilor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din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activităţi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de construire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/sau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desfiinţare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deşeurile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provenite din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activităţi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construcţie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desfiinţare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, cel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puţin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ceramică, piatră, metal, sticlă, plastic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siguranţa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în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construcţii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, precum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manipularea în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condiţii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siguranţă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substanţelor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periculoase pentru a facilita reutilizarea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8B4EA7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lastRenderedPageBreak/>
        <w:t xml:space="preserve">In conformitate cu OUG nr. 92/2021,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aprobată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cu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modificări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prin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Legea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nr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. 17/2023</w:t>
      </w: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, titularii pe numele cărora au fost emise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autorizaţii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de construire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/sau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desfiinţări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8B4EA7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In conformitate cu OUG nr. 92/2021,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aprobată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cu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modificări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prin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Legea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nr</w:t>
      </w:r>
      <w:proofErr w:type="spellEnd"/>
      <w:r w:rsidRPr="008B4EA7">
        <w:rPr>
          <w:rFonts w:ascii="Times New Roman" w:hAnsi="Times New Roman"/>
          <w:i/>
          <w:iCs/>
          <w:color w:val="FF0000"/>
          <w:sz w:val="24"/>
          <w:szCs w:val="24"/>
        </w:rPr>
        <w:t>. 17/2023</w:t>
      </w: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, gestionarea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deşeurilor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populaţiei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8B4EA7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8B4EA7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8B4EA7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8B4EA7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8B4EA7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8B4EA7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8B4EA7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se interzice stocarea temporară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depozitarea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carburanţilor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și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substanţelor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periculoase în zona aferentă amplasamentului;</w:t>
      </w:r>
    </w:p>
    <w:p w14:paraId="4F1DAFD6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8B4EA7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8B4EA7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8B4EA7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igienico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>-sanitare, inclusiv toalete ecologice pentru personal,  etc.);</w:t>
      </w:r>
    </w:p>
    <w:p w14:paraId="7EB50C49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la terminarea lucrărilor, executantul are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obligaţia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curăţării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zonelor afectate de orice materiale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staţionare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utilaje, în scopul redării în circuit la categoria de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folosinţă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deţinută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iniţial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2A54BD4" w14:textId="10AE3389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8B4EA7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iCs/>
          <w:color w:val="FF0000"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8B4EA7">
        <w:rPr>
          <w:rFonts w:ascii="Times New Roman" w:hAnsi="Times New Roman"/>
          <w:iCs/>
          <w:color w:val="FF0000"/>
          <w:sz w:val="24"/>
          <w:szCs w:val="24"/>
          <w:lang w:val="ro-RO"/>
        </w:rPr>
        <w:t>reteaua</w:t>
      </w:r>
      <w:proofErr w:type="spellEnd"/>
      <w:r w:rsidRPr="008B4EA7">
        <w:rPr>
          <w:rFonts w:ascii="Times New Roman" w:hAnsi="Times New Roman"/>
          <w:iCs/>
          <w:color w:val="FF0000"/>
          <w:sz w:val="24"/>
          <w:szCs w:val="24"/>
          <w:lang w:val="ro-RO"/>
        </w:rPr>
        <w:t xml:space="preserve"> de canalizare </w:t>
      </w:r>
      <w:proofErr w:type="spellStart"/>
      <w:r w:rsidRPr="008B4EA7">
        <w:rPr>
          <w:rFonts w:ascii="Times New Roman" w:hAnsi="Times New Roman"/>
          <w:iCs/>
          <w:color w:val="FF0000"/>
          <w:sz w:val="24"/>
          <w:szCs w:val="24"/>
          <w:lang w:val="ro-RO"/>
        </w:rPr>
        <w:t>oraseneasca</w:t>
      </w:r>
      <w:proofErr w:type="spellEnd"/>
      <w:r w:rsidRPr="008B4EA7">
        <w:rPr>
          <w:rFonts w:ascii="Times New Roman" w:hAnsi="Times New Roman"/>
          <w:iCs/>
          <w:color w:val="FF0000"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8B4EA7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color w:val="FF0000"/>
          <w:sz w:val="24"/>
          <w:szCs w:val="24"/>
        </w:rPr>
      </w:pPr>
      <w:r w:rsidRPr="008B4EA7">
        <w:rPr>
          <w:rFonts w:ascii="Times New Roman" w:hAnsi="Times New Roman"/>
          <w:color w:val="FF0000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8B4EA7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B4EA7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în conformitate cu prevederile Legii nr. 292/2018, alin. (3) si (4), la finalizarea lucrărilor se va </w:t>
      </w:r>
      <w:r w:rsidRPr="008B4EA7">
        <w:rPr>
          <w:rFonts w:ascii="Times New Roman" w:hAnsi="Times New Roman"/>
          <w:bCs/>
          <w:color w:val="FF0000"/>
          <w:sz w:val="24"/>
          <w:szCs w:val="24"/>
          <w:lang w:val="ro-RO"/>
        </w:rPr>
        <w:lastRenderedPageBreak/>
        <w:t xml:space="preserve">notifica APM Constanța, in vederea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verificării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respectarii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prevederilor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deciziei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etapei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încadrare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;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Procesul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-verbal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întocmit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aceasta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situaţie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anexează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face parte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integrantă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din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procesul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-verbal de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recepţie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terminarea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/>
          <w:color w:val="FF0000"/>
          <w:sz w:val="24"/>
          <w:szCs w:val="24"/>
        </w:rPr>
        <w:t>lucrărilor</w:t>
      </w:r>
      <w:proofErr w:type="spellEnd"/>
      <w:r w:rsidRPr="008B4EA7">
        <w:rPr>
          <w:rFonts w:ascii="Times New Roman" w:hAnsi="Times New Roman"/>
          <w:color w:val="FF0000"/>
          <w:sz w:val="24"/>
          <w:szCs w:val="24"/>
        </w:rPr>
        <w:t>;</w:t>
      </w:r>
      <w:r w:rsidRPr="008B4EA7">
        <w:rPr>
          <w:rFonts w:ascii="Times New Roman" w:hAnsi="Times New Roman"/>
          <w:bCs/>
          <w:color w:val="FF0000"/>
          <w:sz w:val="24"/>
          <w:szCs w:val="24"/>
          <w:lang w:val="ro-RO"/>
        </w:rPr>
        <w:t>;</w:t>
      </w:r>
    </w:p>
    <w:p w14:paraId="33C08933" w14:textId="77777777" w:rsidR="00F342E4" w:rsidRPr="008B4EA7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titularul proiectului are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obligaţia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de a notifica în scris autoritatea competentă pentru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protecţia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8B4EA7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8B4EA7">
        <w:rPr>
          <w:rFonts w:ascii="Times New Roman" w:hAnsi="Times New Roman" w:cs="Times New Roman"/>
          <w:color w:val="FF0000"/>
          <w:sz w:val="24"/>
          <w:szCs w:val="24"/>
        </w:rPr>
        <w:t xml:space="preserve"> anterior emiterii aprobării de dezvoltare;</w:t>
      </w:r>
    </w:p>
    <w:p w14:paraId="7C5C459C" w14:textId="77777777" w:rsidR="00F342E4" w:rsidRPr="008B4EA7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la finalizarea 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lucrarilor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se va 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inainta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la 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Agentia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pentru 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Protectia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Mediului Constanta raportarea privind evidenta 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deseurilor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generate ca urmare a 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desfasurarii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lucrarilor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construire/</w:t>
      </w:r>
      <w:proofErr w:type="spellStart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desfiintare</w:t>
      </w:r>
      <w:proofErr w:type="spellEnd"/>
      <w:r w:rsidRPr="008B4EA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3C1FB5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1CE3F9D" w14:textId="7F45C4B4" w:rsidR="00D447FB" w:rsidRPr="003C1FB5" w:rsidRDefault="00D447FB" w:rsidP="00D447F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3AFA37" w14:textId="1AA5207E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lastRenderedPageBreak/>
        <w:t xml:space="preserve"> 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3B95A26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684AE52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207C9E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0859AAE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125954" w:rsidRDefault="006D2A38" w:rsidP="006D2A38">
      <w:pPr>
        <w:pStyle w:val="Titlu6"/>
        <w:rPr>
          <w:bCs/>
          <w:color w:val="auto"/>
          <w:szCs w:val="24"/>
        </w:rPr>
      </w:pPr>
      <w:r w:rsidRPr="00125954">
        <w:rPr>
          <w:color w:val="auto"/>
          <w:szCs w:val="24"/>
        </w:rPr>
        <w:t xml:space="preserve">                                                                                                        </w:t>
      </w:r>
      <w:proofErr w:type="spellStart"/>
      <w:r w:rsidRPr="00125954">
        <w:rPr>
          <w:color w:val="auto"/>
          <w:szCs w:val="24"/>
        </w:rPr>
        <w:t>Întocmit</w:t>
      </w:r>
      <w:proofErr w:type="spellEnd"/>
      <w:r w:rsidRPr="00125954">
        <w:rPr>
          <w:color w:val="auto"/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125954" w:rsidRDefault="006D2A38" w:rsidP="006D2A38">
      <w:pPr>
        <w:rPr>
          <w:rFonts w:ascii="Times New Roman" w:hAnsi="Times New Roman"/>
          <w:sz w:val="24"/>
          <w:szCs w:val="24"/>
        </w:rPr>
      </w:pPr>
      <w:r w:rsidRPr="001259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4E79" w14:textId="77777777" w:rsidR="00F52452" w:rsidRDefault="00F52452" w:rsidP="00143ACD">
      <w:pPr>
        <w:spacing w:after="0" w:line="240" w:lineRule="auto"/>
      </w:pPr>
      <w:r>
        <w:separator/>
      </w:r>
    </w:p>
  </w:endnote>
  <w:endnote w:type="continuationSeparator" w:id="0">
    <w:p w14:paraId="2721110B" w14:textId="77777777" w:rsidR="00F52452" w:rsidRDefault="00F5245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587C1629" w:rsidR="00D26ADD" w:rsidRDefault="00F52452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73DD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73DD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F52452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14B336E3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973D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973D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A7E1" w14:textId="77777777" w:rsidR="00F52452" w:rsidRDefault="00F52452" w:rsidP="00143ACD">
      <w:pPr>
        <w:spacing w:after="0" w:line="240" w:lineRule="auto"/>
      </w:pPr>
      <w:r>
        <w:separator/>
      </w:r>
    </w:p>
  </w:footnote>
  <w:footnote w:type="continuationSeparator" w:id="0">
    <w:p w14:paraId="76389A95" w14:textId="77777777" w:rsidR="00F52452" w:rsidRDefault="00F5245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9BB96D"/>
    <w:multiLevelType w:val="hybridMultilevel"/>
    <w:tmpl w:val="03CC92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A44"/>
    <w:multiLevelType w:val="hybridMultilevel"/>
    <w:tmpl w:val="9F0AD3A8"/>
    <w:lvl w:ilvl="0" w:tplc="3494688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11F5"/>
    <w:multiLevelType w:val="hybridMultilevel"/>
    <w:tmpl w:val="27984096"/>
    <w:lvl w:ilvl="0" w:tplc="349468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276CB"/>
    <w:multiLevelType w:val="hybridMultilevel"/>
    <w:tmpl w:val="3F32C430"/>
    <w:lvl w:ilvl="0" w:tplc="349468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77F82"/>
    <w:multiLevelType w:val="hybridMultilevel"/>
    <w:tmpl w:val="81FC2A80"/>
    <w:lvl w:ilvl="0" w:tplc="349468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75E58"/>
    <w:rsid w:val="000C0E50"/>
    <w:rsid w:val="000E1DC5"/>
    <w:rsid w:val="001106DF"/>
    <w:rsid w:val="00125954"/>
    <w:rsid w:val="00143ACD"/>
    <w:rsid w:val="001A75B1"/>
    <w:rsid w:val="001B47C8"/>
    <w:rsid w:val="001F64B2"/>
    <w:rsid w:val="002000EA"/>
    <w:rsid w:val="002600EA"/>
    <w:rsid w:val="002E3616"/>
    <w:rsid w:val="00354326"/>
    <w:rsid w:val="00364EB3"/>
    <w:rsid w:val="003870A4"/>
    <w:rsid w:val="00391EDC"/>
    <w:rsid w:val="003928F7"/>
    <w:rsid w:val="003C1FB5"/>
    <w:rsid w:val="00443A0B"/>
    <w:rsid w:val="00471B08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54F1E"/>
    <w:rsid w:val="005B3101"/>
    <w:rsid w:val="005C2EA1"/>
    <w:rsid w:val="006025BE"/>
    <w:rsid w:val="00685CC7"/>
    <w:rsid w:val="00686BE6"/>
    <w:rsid w:val="006A1311"/>
    <w:rsid w:val="006A261F"/>
    <w:rsid w:val="006C3B6A"/>
    <w:rsid w:val="006D2A38"/>
    <w:rsid w:val="006D65DB"/>
    <w:rsid w:val="006F2A2A"/>
    <w:rsid w:val="006F2AF2"/>
    <w:rsid w:val="0074201A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B4EA7"/>
    <w:rsid w:val="008C343B"/>
    <w:rsid w:val="008C7811"/>
    <w:rsid w:val="008D246C"/>
    <w:rsid w:val="008D5789"/>
    <w:rsid w:val="008E19DC"/>
    <w:rsid w:val="0090061B"/>
    <w:rsid w:val="009142A5"/>
    <w:rsid w:val="00981A01"/>
    <w:rsid w:val="009A3973"/>
    <w:rsid w:val="009B480A"/>
    <w:rsid w:val="009B5F83"/>
    <w:rsid w:val="009E491C"/>
    <w:rsid w:val="009E78DB"/>
    <w:rsid w:val="00A0606A"/>
    <w:rsid w:val="00A0719A"/>
    <w:rsid w:val="00A359A8"/>
    <w:rsid w:val="00A724BC"/>
    <w:rsid w:val="00A72D58"/>
    <w:rsid w:val="00A906B5"/>
    <w:rsid w:val="00B26FA9"/>
    <w:rsid w:val="00B66053"/>
    <w:rsid w:val="00B97AD6"/>
    <w:rsid w:val="00BB2C26"/>
    <w:rsid w:val="00BD152E"/>
    <w:rsid w:val="00BE0746"/>
    <w:rsid w:val="00C02DFA"/>
    <w:rsid w:val="00C545F6"/>
    <w:rsid w:val="00C61733"/>
    <w:rsid w:val="00C909D6"/>
    <w:rsid w:val="00CC091B"/>
    <w:rsid w:val="00CC4D6A"/>
    <w:rsid w:val="00CE0013"/>
    <w:rsid w:val="00CF2D40"/>
    <w:rsid w:val="00D1499F"/>
    <w:rsid w:val="00D26ADD"/>
    <w:rsid w:val="00D356FA"/>
    <w:rsid w:val="00D41783"/>
    <w:rsid w:val="00D447FB"/>
    <w:rsid w:val="00D45E5B"/>
    <w:rsid w:val="00D62259"/>
    <w:rsid w:val="00D74B77"/>
    <w:rsid w:val="00D8381D"/>
    <w:rsid w:val="00DE792C"/>
    <w:rsid w:val="00E11DF4"/>
    <w:rsid w:val="00E17AC5"/>
    <w:rsid w:val="00E35AD6"/>
    <w:rsid w:val="00E53943"/>
    <w:rsid w:val="00E82CD9"/>
    <w:rsid w:val="00E84315"/>
    <w:rsid w:val="00E84F3C"/>
    <w:rsid w:val="00E93CC5"/>
    <w:rsid w:val="00EB327D"/>
    <w:rsid w:val="00ED25D0"/>
    <w:rsid w:val="00EF02B8"/>
    <w:rsid w:val="00F01498"/>
    <w:rsid w:val="00F1090C"/>
    <w:rsid w:val="00F342E4"/>
    <w:rsid w:val="00F52452"/>
    <w:rsid w:val="00F549EA"/>
    <w:rsid w:val="00F973DD"/>
    <w:rsid w:val="00FA2F7B"/>
    <w:rsid w:val="00FB380F"/>
    <w:rsid w:val="00FB550E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B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A6AF-1C16-4C78-B19B-DC0DF37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3614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7</cp:revision>
  <cp:lastPrinted>2024-04-30T11:22:00Z</cp:lastPrinted>
  <dcterms:created xsi:type="dcterms:W3CDTF">2024-05-29T06:46:00Z</dcterms:created>
  <dcterms:modified xsi:type="dcterms:W3CDTF">2024-06-07T06:41:00Z</dcterms:modified>
</cp:coreProperties>
</file>