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012" w:rsidRPr="0017124D" w:rsidRDefault="009055DB" w:rsidP="00540012">
      <w:pPr>
        <w:shd w:val="clear" w:color="auto" w:fill="FFFFFF"/>
        <w:spacing w:before="245"/>
        <w:ind w:left="10"/>
        <w:rPr>
          <w:rFonts w:ascii="Times New Roman" w:hAnsi="Times New Roman" w:hint="default"/>
          <w:b/>
          <w:sz w:val="28"/>
          <w:szCs w:val="28"/>
        </w:rPr>
      </w:pPr>
      <w:r w:rsidRPr="000219F6">
        <w:rPr>
          <w:rFonts w:ascii="Times New Roman" w:hAnsi="Times New Roman" w:hint="default"/>
          <w:b/>
          <w:sz w:val="24"/>
          <w:szCs w:val="24"/>
        </w:rPr>
        <w:t xml:space="preserve">   </w:t>
      </w:r>
      <w:r w:rsidR="00540012" w:rsidRPr="00540012">
        <w:rPr>
          <w:rFonts w:ascii="Times New Roman" w:hAnsi="Times New Roman" w:hint="default"/>
          <w:b/>
          <w:sz w:val="24"/>
          <w:szCs w:val="24"/>
        </w:rPr>
        <w:t xml:space="preserve">                          </w:t>
      </w:r>
      <w:r w:rsidR="00540012" w:rsidRPr="0017124D">
        <w:rPr>
          <w:rFonts w:ascii="Times New Roman" w:hAnsi="Times New Roman" w:hint="default"/>
          <w:b/>
          <w:sz w:val="28"/>
          <w:szCs w:val="28"/>
        </w:rPr>
        <w:t xml:space="preserve">                                                       </w:t>
      </w:r>
      <w:r w:rsidR="0017124D">
        <w:rPr>
          <w:rFonts w:ascii="Times New Roman" w:hAnsi="Times New Roman" w:hint="default"/>
          <w:b/>
          <w:sz w:val="28"/>
          <w:szCs w:val="28"/>
        </w:rPr>
        <w:t xml:space="preserve">                             </w:t>
      </w:r>
      <w:r w:rsidR="00540012" w:rsidRPr="0017124D">
        <w:rPr>
          <w:rFonts w:ascii="Times New Roman" w:hAnsi="Times New Roman" w:hint="default"/>
          <w:b/>
          <w:sz w:val="28"/>
          <w:szCs w:val="28"/>
        </w:rPr>
        <w:t xml:space="preserve"> Anexa nr. 5E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w:t>
      </w:r>
      <w:r w:rsidR="0017124D">
        <w:rPr>
          <w:rFonts w:ascii="Times New Roman" w:hAnsi="Times New Roman" w:hint="default"/>
          <w:b/>
          <w:sz w:val="28"/>
          <w:szCs w:val="28"/>
        </w:rPr>
        <w:t xml:space="preserve">                         </w:t>
      </w:r>
      <w:r w:rsidRPr="0017124D">
        <w:rPr>
          <w:rFonts w:ascii="Times New Roman" w:hAnsi="Times New Roman" w:hint="default"/>
          <w:b/>
          <w:sz w:val="28"/>
          <w:szCs w:val="28"/>
        </w:rPr>
        <w:t xml:space="preserve"> la procedura</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w:t>
      </w:r>
    </w:p>
    <w:p w:rsidR="00540012" w:rsidRPr="004653FA" w:rsidRDefault="00540012" w:rsidP="00540012">
      <w:pPr>
        <w:shd w:val="clear" w:color="auto" w:fill="FFFFFF"/>
        <w:spacing w:before="245"/>
        <w:ind w:left="10"/>
        <w:jc w:val="center"/>
        <w:rPr>
          <w:rFonts w:ascii="Times New Roman" w:hAnsi="Times New Roman" w:hint="default"/>
          <w:b/>
          <w:sz w:val="44"/>
          <w:szCs w:val="44"/>
        </w:rPr>
      </w:pPr>
      <w:r w:rsidRPr="004653FA">
        <w:rPr>
          <w:rFonts w:ascii="Times New Roman" w:hAnsi="Times New Roman" w:hint="default"/>
          <w:b/>
          <w:sz w:val="44"/>
          <w:szCs w:val="44"/>
        </w:rPr>
        <w:t>MEMORIU DE PREZENTARE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I.</w:t>
      </w:r>
      <w:r w:rsidRPr="0017124D">
        <w:rPr>
          <w:rFonts w:ascii="Times New Roman" w:hAnsi="Times New Roman" w:hint="default"/>
          <w:b/>
          <w:sz w:val="28"/>
          <w:szCs w:val="28"/>
        </w:rPr>
        <w:tab/>
        <w:t>Denumirea proiectului : CONSTRUIRE HALA PARTER PENTRU DEPOZITA</w:t>
      </w:r>
      <w:r w:rsidR="0017124D" w:rsidRPr="0017124D">
        <w:rPr>
          <w:rFonts w:ascii="Times New Roman" w:hAnsi="Times New Roman" w:hint="default"/>
          <w:b/>
          <w:sz w:val="28"/>
          <w:szCs w:val="28"/>
        </w:rPr>
        <w:t>RE MATERIALE CONSTRUCȚII</w:t>
      </w:r>
      <w:r w:rsidR="0017124D">
        <w:rPr>
          <w:rFonts w:ascii="Times New Roman" w:hAnsi="Times New Roman" w:hint="default"/>
          <w:b/>
          <w:sz w:val="28"/>
          <w:szCs w:val="28"/>
        </w:rPr>
        <w:t xml:space="preserve"> </w:t>
      </w:r>
      <w:r w:rsidR="0017124D" w:rsidRPr="0017124D">
        <w:rPr>
          <w:rFonts w:ascii="Times New Roman" w:hAnsi="Times New Roman" w:hint="default"/>
          <w:b/>
          <w:sz w:val="28"/>
          <w:szCs w:val="28"/>
        </w:rPr>
        <w:t>+ CONFEC</w:t>
      </w:r>
      <w:r w:rsidRPr="0017124D">
        <w:rPr>
          <w:rFonts w:ascii="Times New Roman" w:hAnsi="Times New Roman" w:hint="default"/>
          <w:b/>
          <w:sz w:val="28"/>
          <w:szCs w:val="28"/>
        </w:rPr>
        <w:t>ȚII METALICE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II.Titular :  </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-Numele : MARIN MARIAN &amp; MARIN MIHAELA</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Adresa poştala: Titu, str. Mihai Viteazu, nr. 20B, jud. Dâmboviţa</w:t>
      </w:r>
    </w:p>
    <w:p w:rsidR="00540012" w:rsidRPr="0017124D" w:rsidRDefault="0017124D" w:rsidP="00540012">
      <w:pPr>
        <w:shd w:val="clear" w:color="auto" w:fill="FFFFFF"/>
        <w:spacing w:before="245"/>
        <w:ind w:left="10"/>
        <w:rPr>
          <w:rFonts w:ascii="Times New Roman" w:hAnsi="Times New Roman" w:hint="default"/>
          <w:b/>
          <w:sz w:val="28"/>
          <w:szCs w:val="28"/>
        </w:rPr>
      </w:pPr>
      <w:r>
        <w:rPr>
          <w:rFonts w:ascii="Times New Roman" w:hAnsi="Times New Roman" w:hint="default"/>
          <w:b/>
          <w:sz w:val="28"/>
          <w:szCs w:val="28"/>
        </w:rPr>
        <w:t>Num[rul de telefon, de fax ;</w:t>
      </w:r>
      <w:r w:rsidR="00540012" w:rsidRPr="0017124D">
        <w:rPr>
          <w:rFonts w:ascii="Times New Roman" w:hAnsi="Times New Roman" w:hint="default"/>
          <w:b/>
          <w:sz w:val="28"/>
          <w:szCs w:val="28"/>
        </w:rPr>
        <w:t>i adresa de e-mail, adresa paginii de internet :0727266388; 0738 697 360.</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Numele persoanelor de contact : Marin Marian.</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Director, administrator :Marin Marian.</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Responsabil pentru protectia mediului :Marin Marian </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III. Descrierea caracteristicilor fizice ale întregului proiect proiect </w:t>
      </w:r>
    </w:p>
    <w:p w:rsidR="00540012" w:rsidRPr="0017124D" w:rsidRDefault="00EF400F"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a)</w:t>
      </w:r>
      <w:r w:rsidR="00540012" w:rsidRPr="0017124D">
        <w:rPr>
          <w:rFonts w:ascii="Times New Roman" w:hAnsi="Times New Roman" w:hint="default"/>
          <w:b/>
          <w:sz w:val="28"/>
          <w:szCs w:val="28"/>
        </w:rPr>
        <w:t>Un rezumat al proiectului: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Hala pentru depozitare materiale de construcții + confecii metalice, cu o formă dreptunghiulară în plan, cu dimensiunile laturilor</w:t>
      </w:r>
      <w:r w:rsidR="00855E0A" w:rsidRPr="0017124D">
        <w:rPr>
          <w:rFonts w:ascii="Times New Roman" w:hAnsi="Times New Roman" w:hint="default"/>
          <w:b/>
          <w:sz w:val="28"/>
          <w:szCs w:val="28"/>
        </w:rPr>
        <w:t xml:space="preserve"> de 12,60 x 29,70 m şi înălţimea de 5,1</w:t>
      </w:r>
      <w:r w:rsidRPr="0017124D">
        <w:rPr>
          <w:rFonts w:ascii="Times New Roman" w:hAnsi="Times New Roman" w:hint="default"/>
          <w:b/>
          <w:sz w:val="28"/>
          <w:szCs w:val="28"/>
        </w:rPr>
        <w:t>0 m la cornişă</w:t>
      </w:r>
      <w:r w:rsidR="0017124D">
        <w:rPr>
          <w:rFonts w:ascii="Times New Roman" w:hAnsi="Times New Roman" w:hint="default"/>
          <w:b/>
          <w:sz w:val="28"/>
          <w:szCs w:val="28"/>
        </w:rPr>
        <w:t>, cu structură metalică în cadre și fundații de beton armat izolate, la stâlpi, cu închideri din panouri tristrat termoizolante la pereți și învelitoare, destinat depozitării de materiale de construcții și confecții metalice</w:t>
      </w:r>
      <w:r w:rsidRPr="0017124D">
        <w:rPr>
          <w:rFonts w:ascii="Times New Roman" w:hAnsi="Times New Roman" w:hint="default"/>
          <w:b/>
          <w:sz w:val="28"/>
          <w:szCs w:val="28"/>
        </w:rPr>
        <w: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Bilanțul teritorial:</w:t>
      </w:r>
    </w:p>
    <w:p w:rsidR="00540012" w:rsidRPr="0017124D" w:rsidRDefault="00855E0A"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Suprafața terenului-2225</w:t>
      </w:r>
      <w:r w:rsidR="00540012" w:rsidRPr="0017124D">
        <w:rPr>
          <w:rFonts w:ascii="Times New Roman" w:hAnsi="Times New Roman" w:hint="default"/>
          <w:b/>
          <w:sz w:val="28"/>
          <w:szCs w:val="28"/>
        </w:rPr>
        <w:t>,00 mp</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lastRenderedPageBreak/>
        <w:t>Sup</w:t>
      </w:r>
      <w:r w:rsidR="00855E0A" w:rsidRPr="0017124D">
        <w:rPr>
          <w:rFonts w:ascii="Times New Roman" w:hAnsi="Times New Roman" w:hint="default"/>
          <w:b/>
          <w:sz w:val="28"/>
          <w:szCs w:val="28"/>
        </w:rPr>
        <w:t>rafața construită totală</w:t>
      </w:r>
      <w:r w:rsidR="00CB79DE" w:rsidRPr="0017124D">
        <w:rPr>
          <w:rFonts w:ascii="Times New Roman" w:hAnsi="Times New Roman" w:hint="default"/>
          <w:b/>
          <w:sz w:val="28"/>
          <w:szCs w:val="28"/>
        </w:rPr>
        <w:t xml:space="preserve"> a clădirilor de pe teren</w:t>
      </w:r>
      <w:r w:rsidR="00855E0A" w:rsidRPr="0017124D">
        <w:rPr>
          <w:rFonts w:ascii="Times New Roman" w:hAnsi="Times New Roman" w:hint="default"/>
          <w:b/>
          <w:sz w:val="28"/>
          <w:szCs w:val="28"/>
        </w:rPr>
        <w:t xml:space="preserve"> -470,22 mp (din care 374,22mp-hala și 9</w:t>
      </w:r>
      <w:r w:rsidRPr="0017124D">
        <w:rPr>
          <w:rFonts w:ascii="Times New Roman" w:hAnsi="Times New Roman" w:hint="default"/>
          <w:b/>
          <w:sz w:val="28"/>
          <w:szCs w:val="28"/>
        </w:rPr>
        <w:t>6 mp-construcți</w:t>
      </w:r>
      <w:r w:rsidR="00855E0A" w:rsidRPr="0017124D">
        <w:rPr>
          <w:rFonts w:ascii="Times New Roman" w:hAnsi="Times New Roman" w:hint="default"/>
          <w:b/>
          <w:sz w:val="28"/>
          <w:szCs w:val="28"/>
        </w:rPr>
        <w:t>il</w:t>
      </w:r>
      <w:r w:rsidRPr="0017124D">
        <w:rPr>
          <w:rFonts w:ascii="Times New Roman" w:hAnsi="Times New Roman" w:hint="default"/>
          <w:b/>
          <w:sz w:val="28"/>
          <w:szCs w:val="28"/>
        </w:rPr>
        <w:t>e anexă C1</w:t>
      </w:r>
      <w:r w:rsidR="00855E0A" w:rsidRPr="0017124D">
        <w:rPr>
          <w:rFonts w:ascii="Times New Roman" w:hAnsi="Times New Roman" w:hint="default"/>
          <w:b/>
          <w:sz w:val="28"/>
          <w:szCs w:val="28"/>
        </w:rPr>
        <w:t>și C2 existente</w:t>
      </w:r>
      <w:r w:rsidRPr="0017124D">
        <w:rPr>
          <w:rFonts w:ascii="Times New Roman" w:hAnsi="Times New Roman" w:hint="default"/>
          <w:b/>
          <w:sz w:val="28"/>
          <w:szCs w:val="28"/>
        </w:rPr>
        <w: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Suprafața accese, parcaje</w:t>
      </w:r>
      <w:r w:rsidR="00CB79DE" w:rsidRPr="0017124D">
        <w:rPr>
          <w:rFonts w:ascii="Times New Roman" w:hAnsi="Times New Roman" w:hint="default"/>
          <w:b/>
          <w:sz w:val="28"/>
          <w:szCs w:val="28"/>
        </w:rPr>
        <w:t>(16 locuri), alei pietonale-1264,47</w:t>
      </w:r>
      <w:r w:rsidRPr="0017124D">
        <w:rPr>
          <w:rFonts w:ascii="Times New Roman" w:hAnsi="Times New Roman" w:hint="default"/>
          <w:b/>
          <w:sz w:val="28"/>
          <w:szCs w:val="28"/>
        </w:rPr>
        <w:t>mp</w:t>
      </w:r>
    </w:p>
    <w:p w:rsidR="00540012" w:rsidRPr="0017124D" w:rsidRDefault="00CB79DE"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Spații verzi, plantații – 990</w:t>
      </w:r>
      <w:r w:rsidR="00540012" w:rsidRPr="0017124D">
        <w:rPr>
          <w:rFonts w:ascii="Times New Roman" w:hAnsi="Times New Roman" w:hint="default"/>
          <w:b/>
          <w:sz w:val="28"/>
          <w:szCs w:val="28"/>
        </w:rPr>
        <w:t>,00 mp.</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Procent de o</w:t>
      </w:r>
      <w:r w:rsidR="00CB79DE" w:rsidRPr="0017124D">
        <w:rPr>
          <w:rFonts w:ascii="Times New Roman" w:hAnsi="Times New Roman" w:hint="default"/>
          <w:b/>
          <w:sz w:val="28"/>
          <w:szCs w:val="28"/>
        </w:rPr>
        <w:t xml:space="preserve">cupare a terenului:  POT –21,13 </w:t>
      </w:r>
      <w:r w:rsidRPr="0017124D">
        <w:rPr>
          <w:rFonts w:ascii="Times New Roman" w:hAnsi="Times New Roman" w:hint="default"/>
          <w:b/>
          <w:sz w:val="28"/>
          <w:szCs w:val="28"/>
        </w:rPr>
        <w: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Coeficient</w:t>
      </w:r>
      <w:r w:rsidR="00CB79DE" w:rsidRPr="0017124D">
        <w:rPr>
          <w:rFonts w:ascii="Times New Roman" w:hAnsi="Times New Roman" w:hint="default"/>
          <w:b/>
          <w:sz w:val="28"/>
          <w:szCs w:val="28"/>
        </w:rPr>
        <w:t xml:space="preserve"> de utilizare a terenului : 0,21.</w:t>
      </w:r>
      <w:r w:rsidRPr="0017124D">
        <w:rPr>
          <w:rFonts w:ascii="Times New Roman" w:hAnsi="Times New Roman" w:hint="default"/>
          <w:b/>
          <w:sz w:val="28"/>
          <w:szCs w:val="28"/>
        </w:rPr>
        <w:t xml:space="preserve"> </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Construcția  are regimul de înălţime Parter mai înalt, şi următoarele suprafeţe:               </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Sup</w:t>
      </w:r>
      <w:r w:rsidR="00CB79DE" w:rsidRPr="0017124D">
        <w:rPr>
          <w:rFonts w:ascii="Times New Roman" w:hAnsi="Times New Roman" w:hint="default"/>
          <w:b/>
          <w:sz w:val="28"/>
          <w:szCs w:val="28"/>
        </w:rPr>
        <w:t>rafaţa construită la sol -374,22</w:t>
      </w:r>
      <w:r w:rsidRPr="0017124D">
        <w:rPr>
          <w:rFonts w:ascii="Times New Roman" w:hAnsi="Times New Roman" w:hint="default"/>
          <w:b/>
          <w:sz w:val="28"/>
          <w:szCs w:val="28"/>
        </w:rPr>
        <w:t xml:space="preserve"> mp</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w:t>
      </w:r>
      <w:r w:rsidR="00CB79DE" w:rsidRPr="0017124D">
        <w:rPr>
          <w:rFonts w:ascii="Times New Roman" w:hAnsi="Times New Roman" w:hint="default"/>
          <w:b/>
          <w:sz w:val="28"/>
          <w:szCs w:val="28"/>
        </w:rPr>
        <w:t xml:space="preserve">   Suprafaţa desfăşurată -374,22</w:t>
      </w:r>
      <w:r w:rsidRPr="0017124D">
        <w:rPr>
          <w:rFonts w:ascii="Times New Roman" w:hAnsi="Times New Roman" w:hint="default"/>
          <w:b/>
          <w:sz w:val="28"/>
          <w:szCs w:val="28"/>
        </w:rPr>
        <w:t xml:space="preserve"> mp</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w:t>
      </w:r>
      <w:r w:rsidR="00CB79DE" w:rsidRPr="0017124D">
        <w:rPr>
          <w:rFonts w:ascii="Times New Roman" w:hAnsi="Times New Roman" w:hint="default"/>
          <w:b/>
          <w:sz w:val="28"/>
          <w:szCs w:val="28"/>
        </w:rPr>
        <w:t xml:space="preserve">        Suprafaţa utilă – 362,45</w:t>
      </w:r>
      <w:r w:rsidRPr="0017124D">
        <w:rPr>
          <w:rFonts w:ascii="Times New Roman" w:hAnsi="Times New Roman" w:hint="default"/>
          <w:b/>
          <w:sz w:val="28"/>
          <w:szCs w:val="28"/>
        </w:rPr>
        <w:t xml:space="preserve"> mp</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Suprafaţa locuibilă – 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b) justificarea necesităţii proiectului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Beneficiarul consideră oportună investiţia </w:t>
      </w:r>
      <w:r w:rsidR="00CB79DE" w:rsidRPr="0017124D">
        <w:rPr>
          <w:rFonts w:ascii="Times New Roman" w:hAnsi="Times New Roman" w:hint="default"/>
          <w:b/>
          <w:sz w:val="28"/>
          <w:szCs w:val="28"/>
        </w:rPr>
        <w:t>având în vedere nevoia de materiale de construcție și de confecții metalice</w:t>
      </w:r>
      <w:r w:rsidRPr="0017124D">
        <w:rPr>
          <w:rFonts w:ascii="Times New Roman" w:hAnsi="Times New Roman" w:hint="default"/>
          <w:b/>
          <w:sz w:val="28"/>
          <w:szCs w:val="28"/>
        </w:rPr>
        <w:t xml:space="preserve"> din Titu, oraş aflat în plin proces de dezvoltare.</w:t>
      </w:r>
    </w:p>
    <w:p w:rsidR="00540012" w:rsidRPr="0017124D" w:rsidRDefault="00CB79DE"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c)valoarea investitiei :186 627</w:t>
      </w:r>
      <w:r w:rsidR="00540012" w:rsidRPr="0017124D">
        <w:rPr>
          <w:rFonts w:ascii="Times New Roman" w:hAnsi="Times New Roman" w:hint="default"/>
          <w:b/>
          <w:sz w:val="28"/>
          <w:szCs w:val="28"/>
        </w:rPr>
        <w:t>,00 RON.</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d)perioad</w:t>
      </w:r>
      <w:r w:rsidR="00CB79DE" w:rsidRPr="0017124D">
        <w:rPr>
          <w:rFonts w:ascii="Times New Roman" w:hAnsi="Times New Roman" w:hint="default"/>
          <w:b/>
          <w:sz w:val="28"/>
          <w:szCs w:val="28"/>
        </w:rPr>
        <w:t>a de implementare propusă : 2024</w:t>
      </w:r>
      <w:r w:rsidRPr="0017124D">
        <w:rPr>
          <w:rFonts w:ascii="Times New Roman" w:hAnsi="Times New Roman" w:hint="default"/>
          <w:b/>
          <w:sz w:val="28"/>
          <w:szCs w:val="28"/>
        </w:rPr>
        <w: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e) planşe reprezentând limitele amplasamentului proiectului, planuri de situaţie şi amplasament) : anexate încă de la faza de notificare.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f) o descriere a caracteristicilor fizice ale întregului proiect, formele fizice ale proiectului (planuri, clădiri, alte structuri materiale de construcţie şi altele)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Se prezintă elemente specifice caracteristice ale proiectului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-profilul şi capacitațile de lucru- </w:t>
      </w:r>
    </w:p>
    <w:p w:rsidR="00540012" w:rsidRPr="0017124D" w:rsidRDefault="00EC406B"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Hala de depozit</w:t>
      </w:r>
      <w:r w:rsidR="00404F54" w:rsidRPr="0017124D">
        <w:rPr>
          <w:rFonts w:ascii="Times New Roman" w:hAnsi="Times New Roman" w:hint="default"/>
          <w:b/>
          <w:sz w:val="28"/>
          <w:szCs w:val="28"/>
        </w:rPr>
        <w:t>are și confecții metalice va fi zonificată astfel</w:t>
      </w:r>
      <w:r w:rsidR="00540012" w:rsidRPr="0017124D">
        <w:rPr>
          <w:rFonts w:ascii="Times New Roman" w:hAnsi="Times New Roman" w:hint="default"/>
          <w:b/>
          <w:sz w:val="28"/>
          <w:szCs w:val="28"/>
        </w:rPr>
        <w:t xml:space="preserve">: </w:t>
      </w:r>
    </w:p>
    <w:p w:rsidR="00540012" w:rsidRPr="0017124D" w:rsidRDefault="00404F54"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lastRenderedPageBreak/>
        <w:t>- Zona de confecții metalice în partea din stânga halei, din care:</w:t>
      </w:r>
    </w:p>
    <w:p w:rsidR="00404F54" w:rsidRPr="0017124D" w:rsidRDefault="00EF400F"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-1 punct de lucru</w:t>
      </w:r>
      <w:r w:rsidR="00404F54" w:rsidRPr="0017124D">
        <w:rPr>
          <w:rFonts w:ascii="Times New Roman" w:hAnsi="Times New Roman" w:hint="default"/>
          <w:b/>
          <w:sz w:val="28"/>
          <w:szCs w:val="28"/>
        </w:rPr>
        <w:t xml:space="preserve"> cu  mașină Abkant pentru îndoit tablă;</w:t>
      </w:r>
    </w:p>
    <w:p w:rsidR="00EF400F" w:rsidRPr="0017124D" w:rsidRDefault="00404F54"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-1 punct de lucru cu masă de debitat  tablă, cu laser</w:t>
      </w:r>
      <w:r w:rsidR="00EF400F" w:rsidRPr="0017124D">
        <w:rPr>
          <w:rFonts w:ascii="Times New Roman" w:hAnsi="Times New Roman" w:hint="default"/>
          <w:b/>
          <w:sz w:val="28"/>
          <w:szCs w:val="28"/>
        </w:rPr>
        <w:t>;</w:t>
      </w:r>
    </w:p>
    <w:p w:rsidR="00540012" w:rsidRPr="0017124D" w:rsidRDefault="00EF400F"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-1 punct de lucru montaj containere, etc</w:t>
      </w:r>
      <w:r w:rsidRPr="0017124D">
        <w:rPr>
          <w:rFonts w:ascii="Times New Roman" w:hAnsi="Times New Roman" w:hint="default"/>
          <w:b/>
          <w:sz w:val="28"/>
          <w:szCs w:val="28"/>
        </w:rPr>
        <w:tab/>
      </w:r>
      <w:r w:rsidR="00540012" w:rsidRPr="0017124D">
        <w:rPr>
          <w:rFonts w:ascii="Times New Roman" w:hAnsi="Times New Roman" w:hint="default"/>
          <w:b/>
          <w:sz w:val="28"/>
          <w:szCs w:val="28"/>
        </w:rPr>
        <w:t>.</w:t>
      </w:r>
    </w:p>
    <w:p w:rsidR="00404F54" w:rsidRPr="0017124D" w:rsidRDefault="00404F54"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-Zona de depozitare, în partea din dreapta halei:</w:t>
      </w:r>
    </w:p>
    <w:p w:rsidR="00540012" w:rsidRPr="0017124D" w:rsidRDefault="00404F54" w:rsidP="00404F54">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-1,2,3 rafturi  duble de 4,00 m înălțime,  cu acces pe două părți pentru materiale.</w:t>
      </w:r>
    </w:p>
    <w:p w:rsidR="00376A39" w:rsidRPr="0017124D" w:rsidRDefault="0017124D" w:rsidP="00404F54">
      <w:pPr>
        <w:shd w:val="clear" w:color="auto" w:fill="FFFFFF"/>
        <w:spacing w:before="245"/>
        <w:ind w:left="10"/>
        <w:rPr>
          <w:rFonts w:ascii="Times New Roman" w:hAnsi="Times New Roman" w:hint="default"/>
          <w:b/>
          <w:sz w:val="28"/>
          <w:szCs w:val="28"/>
        </w:rPr>
      </w:pPr>
      <w:r>
        <w:rPr>
          <w:rFonts w:ascii="Times New Roman" w:hAnsi="Times New Roman" w:hint="default"/>
          <w:b/>
          <w:sz w:val="28"/>
          <w:szCs w:val="28"/>
        </w:rPr>
        <w:t xml:space="preserve">  </w:t>
      </w:r>
      <w:r w:rsidR="00376A39" w:rsidRPr="0017124D">
        <w:rPr>
          <w:rFonts w:ascii="Times New Roman" w:hAnsi="Times New Roman" w:hint="default"/>
          <w:b/>
          <w:sz w:val="28"/>
          <w:szCs w:val="28"/>
        </w:rPr>
        <w:t xml:space="preserve">Fluxurile tehnologice pentru cele trei tipuri de activități (la Abkant, la Masa de </w:t>
      </w:r>
      <w:r w:rsidR="00214AAB" w:rsidRPr="0017124D">
        <w:rPr>
          <w:rFonts w:ascii="Times New Roman" w:hAnsi="Times New Roman" w:hint="default"/>
          <w:b/>
          <w:sz w:val="28"/>
          <w:szCs w:val="28"/>
        </w:rPr>
        <w:t>debitat și în Zona de montaj) vor fi distincte și nu se vor incomod</w:t>
      </w:r>
      <w:r w:rsidR="00376A39" w:rsidRPr="0017124D">
        <w:rPr>
          <w:rFonts w:ascii="Times New Roman" w:hAnsi="Times New Roman" w:hint="default"/>
          <w:b/>
          <w:sz w:val="28"/>
          <w:szCs w:val="28"/>
        </w:rPr>
        <w:t xml:space="preserve">a. Astfel, aprovizionarea cu materiale pentru zona de confecții metalice se va face separat, pe ușile mari de pe latura lungă (sud) a halei, iar intrarea/ieșirea cu materiale din zona de depozitare se va face pe ușile mari de pe latura scurtă (est). </w:t>
      </w:r>
    </w:p>
    <w:p w:rsidR="00540012" w:rsidRPr="0017124D" w:rsidRDefault="00376A39"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Î</w:t>
      </w:r>
      <w:r w:rsidR="00540012" w:rsidRPr="0017124D">
        <w:rPr>
          <w:rFonts w:ascii="Times New Roman" w:hAnsi="Times New Roman" w:hint="default"/>
          <w:b/>
          <w:sz w:val="28"/>
          <w:szCs w:val="28"/>
        </w:rPr>
        <w:t>n exterior va fi amplasat un separator de hidrocarburi cu predecantor și filtre coalescente, pe traseul rețelei de canalizare nou proiectate.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-descrierea elementelor funcţionale principale: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Accesul în construcție va fi realizat pe rampe carosabile din beton cu racord între cota 0.00 a</w:t>
      </w:r>
      <w:r w:rsidR="00376A39" w:rsidRPr="0017124D">
        <w:rPr>
          <w:rFonts w:ascii="Times New Roman" w:hAnsi="Times New Roman" w:hint="default"/>
          <w:b/>
          <w:sz w:val="28"/>
          <w:szCs w:val="28"/>
        </w:rPr>
        <w:t xml:space="preserve"> clădirii și cota terenului –0,3</w:t>
      </w:r>
      <w:r w:rsidRPr="0017124D">
        <w:rPr>
          <w:rFonts w:ascii="Times New Roman" w:hAnsi="Times New Roman" w:hint="default"/>
          <w:b/>
          <w:sz w:val="28"/>
          <w:szCs w:val="28"/>
        </w:rPr>
        <w:t>0 m.</w:t>
      </w:r>
    </w:p>
    <w:p w:rsidR="00540012" w:rsidRPr="0017124D" w:rsidRDefault="00376A39"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D</w:t>
      </w:r>
      <w:r w:rsidR="00540012" w:rsidRPr="0017124D">
        <w:rPr>
          <w:rFonts w:ascii="Times New Roman" w:hAnsi="Times New Roman" w:hint="default"/>
          <w:b/>
          <w:sz w:val="28"/>
          <w:szCs w:val="28"/>
        </w:rPr>
        <w:t xml:space="preserve">escrierea procesului de producţie al proiectului. </w:t>
      </w:r>
    </w:p>
    <w:p w:rsidR="00376A39" w:rsidRPr="0017124D" w:rsidRDefault="00376A39"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În zona de confecții metalice:</w:t>
      </w:r>
    </w:p>
    <w:p w:rsidR="005059A9" w:rsidRPr="0017124D" w:rsidRDefault="00376A39" w:rsidP="005059A9">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Tabla ce necesită prelucrăr</w:t>
      </w:r>
      <w:r w:rsidR="005059A9" w:rsidRPr="0017124D">
        <w:rPr>
          <w:rFonts w:ascii="Times New Roman" w:hAnsi="Times New Roman" w:hint="default"/>
          <w:b/>
          <w:sz w:val="28"/>
          <w:szCs w:val="28"/>
        </w:rPr>
        <w:t>i</w:t>
      </w:r>
      <w:r w:rsidRPr="0017124D">
        <w:rPr>
          <w:rFonts w:ascii="Times New Roman" w:hAnsi="Times New Roman" w:hint="default"/>
          <w:b/>
          <w:sz w:val="28"/>
          <w:szCs w:val="28"/>
        </w:rPr>
        <w:t xml:space="preserve"> este introdusă în hală până la mașina de debitat Abkant</w:t>
      </w:r>
      <w:r w:rsidR="0017124D">
        <w:rPr>
          <w:rFonts w:ascii="Times New Roman" w:hAnsi="Times New Roman" w:hint="default"/>
          <w:b/>
          <w:sz w:val="28"/>
          <w:szCs w:val="28"/>
        </w:rPr>
        <w:t>. Tabla</w:t>
      </w:r>
      <w:r w:rsidR="005059A9" w:rsidRPr="0017124D">
        <w:rPr>
          <w:rFonts w:ascii="Times New Roman" w:hAnsi="Times New Roman" w:hint="default"/>
          <w:b/>
          <w:sz w:val="28"/>
          <w:szCs w:val="28"/>
        </w:rPr>
        <w:t xml:space="preserve"> este pregătită pentru prelucrare (curățire prealabilă, trasare, așezare pe masa de debitat, debitare, stocare diferențiată a elementelor prefabricate).</w:t>
      </w:r>
    </w:p>
    <w:p w:rsidR="005059A9" w:rsidRPr="0017124D" w:rsidRDefault="005059A9" w:rsidP="005059A9">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Elementele debitate sunt transferate la mașina de îndoit Abkant și sunt prelucrate pentru a fi aduse la forma și dimensiunile din proiect, apoi sunt stocate și introduse la montaj.</w:t>
      </w:r>
    </w:p>
    <w:p w:rsidR="005059A9" w:rsidRPr="0017124D" w:rsidRDefault="005059A9" w:rsidP="005059A9">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Montajul se realizează în spațiul mare (12,00 x 10,00 m, cu H=4,00 m) dintre zona de prelucrare și cea de depozitare, cu acces direct în exterior (curte)  pe </w:t>
      </w:r>
      <w:r w:rsidRPr="0017124D">
        <w:rPr>
          <w:rFonts w:ascii="Times New Roman" w:hAnsi="Times New Roman" w:hint="default"/>
          <w:b/>
          <w:sz w:val="28"/>
          <w:szCs w:val="28"/>
        </w:rPr>
        <w:lastRenderedPageBreak/>
        <w:t>ușile  glisante (4,60x3,80 m).</w:t>
      </w:r>
    </w:p>
    <w:p w:rsidR="00086CD9" w:rsidRPr="0017124D" w:rsidRDefault="005059A9"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Produsul finit este scos din hală cu </w:t>
      </w:r>
      <w:r w:rsidR="00086CD9" w:rsidRPr="0017124D">
        <w:rPr>
          <w:rFonts w:ascii="Times New Roman" w:hAnsi="Times New Roman" w:hint="default"/>
          <w:b/>
          <w:sz w:val="28"/>
          <w:szCs w:val="28"/>
        </w:rPr>
        <w:t>platforma de transport</w:t>
      </w:r>
      <w:r w:rsidR="0017124D">
        <w:rPr>
          <w:rFonts w:ascii="Times New Roman" w:hAnsi="Times New Roman" w:hint="default"/>
          <w:b/>
          <w:sz w:val="28"/>
          <w:szCs w:val="28"/>
        </w:rPr>
        <w:t>are și expediere</w:t>
      </w:r>
      <w:r w:rsidR="00086CD9" w:rsidRPr="0017124D">
        <w:rPr>
          <w:rFonts w:ascii="Times New Roman" w:hAnsi="Times New Roman" w:hint="default"/>
          <w:b/>
          <w:sz w:val="28"/>
          <w:szCs w:val="28"/>
        </w:rPr>
        <w:t>.</w:t>
      </w:r>
      <w:r w:rsidRPr="0017124D">
        <w:rPr>
          <w:rFonts w:ascii="Times New Roman" w:hAnsi="Times New Roman" w:hint="default"/>
          <w:b/>
          <w:sz w:val="28"/>
          <w:szCs w:val="28"/>
        </w:rPr>
        <w:t xml:space="preserve">  </w:t>
      </w:r>
    </w:p>
    <w:p w:rsidR="00540012" w:rsidRPr="0017124D" w:rsidRDefault="00086CD9"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P</w:t>
      </w:r>
      <w:r w:rsidR="00540012" w:rsidRPr="0017124D">
        <w:rPr>
          <w:rFonts w:ascii="Times New Roman" w:hAnsi="Times New Roman" w:hint="default"/>
          <w:b/>
          <w:sz w:val="28"/>
          <w:szCs w:val="28"/>
        </w:rPr>
        <w:t>entru angajați</w:t>
      </w:r>
      <w:r w:rsidRPr="0017124D">
        <w:rPr>
          <w:rFonts w:ascii="Times New Roman" w:hAnsi="Times New Roman" w:hint="default"/>
          <w:b/>
          <w:sz w:val="28"/>
          <w:szCs w:val="28"/>
        </w:rPr>
        <w:t xml:space="preserve"> există </w:t>
      </w:r>
      <w:r w:rsidR="0017124D">
        <w:rPr>
          <w:rFonts w:ascii="Times New Roman" w:hAnsi="Times New Roman" w:hint="default"/>
          <w:b/>
          <w:sz w:val="28"/>
          <w:szCs w:val="28"/>
        </w:rPr>
        <w:t>deja î</w:t>
      </w:r>
      <w:r w:rsidRPr="0017124D">
        <w:rPr>
          <w:rFonts w:ascii="Times New Roman" w:hAnsi="Times New Roman" w:hint="default"/>
          <w:b/>
          <w:sz w:val="28"/>
          <w:szCs w:val="28"/>
        </w:rPr>
        <w:t xml:space="preserve">n incintă </w:t>
      </w:r>
      <w:r w:rsidR="0017124D">
        <w:rPr>
          <w:rFonts w:ascii="Times New Roman" w:hAnsi="Times New Roman" w:hint="default"/>
          <w:b/>
          <w:sz w:val="28"/>
          <w:szCs w:val="28"/>
        </w:rPr>
        <w:t>o clădire anexă-</w:t>
      </w:r>
      <w:r w:rsidRPr="0017124D">
        <w:rPr>
          <w:rFonts w:ascii="Times New Roman" w:hAnsi="Times New Roman" w:hint="default"/>
          <w:b/>
          <w:sz w:val="28"/>
          <w:szCs w:val="28"/>
        </w:rPr>
        <w:t>vestiar (dotat cu grup sanitar propriu, duș, zonă de schimbare echipament de protecție, sală de mese și de pregătire proces de producție)</w:t>
      </w:r>
      <w:r w:rsidR="00540012" w:rsidRPr="0017124D">
        <w:rPr>
          <w:rFonts w:ascii="Times New Roman" w:hAnsi="Times New Roman" w:hint="default"/>
          <w:b/>
          <w:sz w:val="28"/>
          <w:szCs w:val="28"/>
        </w:rPr>
        <w:t>.</w:t>
      </w:r>
    </w:p>
    <w:p w:rsidR="00086CD9" w:rsidRPr="0017124D" w:rsidRDefault="00086CD9"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În sala mare au loc și discuțiile de detaliu cu clienții pe marginea lucrărilor/produselor și subansamblurilor  de executat.</w:t>
      </w:r>
    </w:p>
    <w:p w:rsidR="00540012" w:rsidRPr="0017124D" w:rsidRDefault="0017124D" w:rsidP="00540012">
      <w:pPr>
        <w:shd w:val="clear" w:color="auto" w:fill="FFFFFF"/>
        <w:spacing w:before="245"/>
        <w:ind w:left="10"/>
        <w:rPr>
          <w:rFonts w:ascii="Times New Roman" w:hAnsi="Times New Roman" w:hint="default"/>
          <w:b/>
          <w:sz w:val="28"/>
          <w:szCs w:val="28"/>
        </w:rPr>
      </w:pPr>
      <w:r>
        <w:rPr>
          <w:rFonts w:ascii="Times New Roman" w:hAnsi="Times New Roman" w:hint="default"/>
          <w:b/>
          <w:sz w:val="28"/>
          <w:szCs w:val="28"/>
        </w:rPr>
        <w:t>-M</w:t>
      </w:r>
      <w:r w:rsidR="00D77486" w:rsidRPr="0017124D">
        <w:rPr>
          <w:rFonts w:ascii="Times New Roman" w:hAnsi="Times New Roman" w:hint="default"/>
          <w:b/>
          <w:sz w:val="28"/>
          <w:szCs w:val="28"/>
        </w:rPr>
        <w:t xml:space="preserve">aterialele destinate producției sunt aprovizionate de pe piața liberă, </w:t>
      </w:r>
      <w:r w:rsidR="00540012" w:rsidRPr="0017124D">
        <w:rPr>
          <w:rFonts w:ascii="Times New Roman" w:hAnsi="Times New Roman" w:hint="default"/>
          <w:b/>
          <w:sz w:val="28"/>
          <w:szCs w:val="28"/>
        </w:rPr>
        <w:t>iar energia</w:t>
      </w:r>
      <w:r w:rsidR="00D77486" w:rsidRPr="0017124D">
        <w:rPr>
          <w:rFonts w:ascii="Times New Roman" w:hAnsi="Times New Roman" w:hint="default"/>
          <w:b/>
          <w:sz w:val="28"/>
          <w:szCs w:val="28"/>
        </w:rPr>
        <w:t xml:space="preserve"> electrică este asigurată din rețeaua stradală existentă</w:t>
      </w:r>
      <w:r w:rsidR="00540012" w:rsidRPr="0017124D">
        <w:rPr>
          <w:rFonts w:ascii="Times New Roman" w:hAnsi="Times New Roman" w:hint="default"/>
          <w:b/>
          <w:sz w:val="28"/>
          <w:szCs w:val="28"/>
        </w:rPr>
        <w:t>, gestionarea fiind asigurată de administratorul firmei.</w:t>
      </w:r>
    </w:p>
    <w:p w:rsidR="00540012" w:rsidRPr="0017124D" w:rsidRDefault="0017124D" w:rsidP="00540012">
      <w:pPr>
        <w:shd w:val="clear" w:color="auto" w:fill="FFFFFF"/>
        <w:spacing w:before="245"/>
        <w:ind w:left="10"/>
        <w:rPr>
          <w:rFonts w:ascii="Times New Roman" w:hAnsi="Times New Roman" w:hint="default"/>
          <w:b/>
          <w:sz w:val="28"/>
          <w:szCs w:val="28"/>
        </w:rPr>
      </w:pPr>
      <w:r>
        <w:rPr>
          <w:rFonts w:ascii="Times New Roman" w:hAnsi="Times New Roman" w:hint="default"/>
          <w:b/>
          <w:sz w:val="28"/>
          <w:szCs w:val="28"/>
        </w:rPr>
        <w:t>-R</w:t>
      </w:r>
      <w:r w:rsidR="00540012" w:rsidRPr="0017124D">
        <w:rPr>
          <w:rFonts w:ascii="Times New Roman" w:hAnsi="Times New Roman" w:hint="default"/>
          <w:b/>
          <w:sz w:val="28"/>
          <w:szCs w:val="28"/>
        </w:rPr>
        <w:t>acordarea la reţelele utilitare existente în zonă:</w:t>
      </w:r>
    </w:p>
    <w:p w:rsidR="00540012" w:rsidRPr="0017124D" w:rsidRDefault="0017124D" w:rsidP="00540012">
      <w:pPr>
        <w:shd w:val="clear" w:color="auto" w:fill="FFFFFF"/>
        <w:spacing w:before="245"/>
        <w:ind w:left="10"/>
        <w:rPr>
          <w:rFonts w:ascii="Times New Roman" w:hAnsi="Times New Roman" w:hint="default"/>
          <w:b/>
          <w:sz w:val="28"/>
          <w:szCs w:val="28"/>
        </w:rPr>
      </w:pPr>
      <w:r>
        <w:rPr>
          <w:rFonts w:ascii="Times New Roman" w:hAnsi="Times New Roman" w:hint="default"/>
          <w:b/>
          <w:sz w:val="28"/>
          <w:szCs w:val="28"/>
        </w:rPr>
        <w:t>-A</w:t>
      </w:r>
      <w:r w:rsidR="00540012" w:rsidRPr="0017124D">
        <w:rPr>
          <w:rFonts w:ascii="Times New Roman" w:hAnsi="Times New Roman" w:hint="default"/>
          <w:b/>
          <w:sz w:val="28"/>
          <w:szCs w:val="28"/>
        </w:rPr>
        <w:t>limentarea cu apă</w:t>
      </w:r>
      <w:r>
        <w:rPr>
          <w:rFonts w:ascii="Times New Roman" w:hAnsi="Times New Roman" w:hint="default"/>
          <w:b/>
          <w:sz w:val="28"/>
          <w:szCs w:val="28"/>
        </w:rPr>
        <w:t xml:space="preserve"> a spălătorului din hală</w:t>
      </w:r>
      <w:r w:rsidR="00540012" w:rsidRPr="0017124D">
        <w:rPr>
          <w:rFonts w:ascii="Times New Roman" w:hAnsi="Times New Roman" w:hint="default"/>
          <w:b/>
          <w:sz w:val="28"/>
          <w:szCs w:val="28"/>
        </w:rPr>
        <w:t xml:space="preserve">-din reţeaua oraşenească; </w:t>
      </w:r>
    </w:p>
    <w:p w:rsidR="00540012" w:rsidRPr="0017124D" w:rsidRDefault="0017124D" w:rsidP="00540012">
      <w:pPr>
        <w:shd w:val="clear" w:color="auto" w:fill="FFFFFF"/>
        <w:spacing w:before="245"/>
        <w:ind w:left="10"/>
        <w:rPr>
          <w:rFonts w:ascii="Times New Roman" w:hAnsi="Times New Roman" w:hint="default"/>
          <w:b/>
          <w:sz w:val="28"/>
          <w:szCs w:val="28"/>
        </w:rPr>
      </w:pPr>
      <w:r>
        <w:rPr>
          <w:rFonts w:ascii="Times New Roman" w:hAnsi="Times New Roman" w:hint="default"/>
          <w:b/>
          <w:sz w:val="28"/>
          <w:szCs w:val="28"/>
        </w:rPr>
        <w:t>-E</w:t>
      </w:r>
      <w:r w:rsidR="00540012" w:rsidRPr="0017124D">
        <w:rPr>
          <w:rFonts w:ascii="Times New Roman" w:hAnsi="Times New Roman" w:hint="default"/>
          <w:b/>
          <w:sz w:val="28"/>
          <w:szCs w:val="28"/>
        </w:rPr>
        <w:t>vacuarea apelor uzate</w:t>
      </w:r>
      <w:r>
        <w:rPr>
          <w:rFonts w:ascii="Times New Roman" w:hAnsi="Times New Roman" w:hint="default"/>
          <w:b/>
          <w:sz w:val="28"/>
          <w:szCs w:val="28"/>
        </w:rPr>
        <w:t xml:space="preserve"> de la spălător</w:t>
      </w:r>
      <w:r w:rsidR="00540012" w:rsidRPr="0017124D">
        <w:rPr>
          <w:rFonts w:ascii="Times New Roman" w:hAnsi="Times New Roman" w:hint="default"/>
          <w:b/>
          <w:sz w:val="28"/>
          <w:szCs w:val="28"/>
        </w:rPr>
        <w:t>- la canali</w:t>
      </w:r>
      <w:r w:rsidR="00D77486" w:rsidRPr="0017124D">
        <w:rPr>
          <w:rFonts w:ascii="Times New Roman" w:hAnsi="Times New Roman" w:hint="default"/>
          <w:b/>
          <w:sz w:val="28"/>
          <w:szCs w:val="28"/>
        </w:rPr>
        <w:t>zarea oraşului , nefiind necesar</w:t>
      </w:r>
      <w:r w:rsidR="00540012" w:rsidRPr="0017124D">
        <w:rPr>
          <w:rFonts w:ascii="Times New Roman" w:hAnsi="Times New Roman" w:hint="default"/>
          <w:b/>
          <w:sz w:val="28"/>
          <w:szCs w:val="28"/>
        </w:rPr>
        <w:t xml:space="preserve"> separator de hidrocarburi</w:t>
      </w:r>
      <w:r w:rsidR="00D77486" w:rsidRPr="0017124D">
        <w:rPr>
          <w:rFonts w:ascii="Times New Roman" w:hAnsi="Times New Roman" w:hint="default"/>
          <w:b/>
          <w:sz w:val="28"/>
          <w:szCs w:val="28"/>
        </w:rPr>
        <w:t xml:space="preserve"> (procesul tehnologic nu necesită hidrocarburi).</w:t>
      </w:r>
    </w:p>
    <w:p w:rsidR="00540012" w:rsidRPr="0017124D" w:rsidRDefault="0017124D" w:rsidP="00540012">
      <w:pPr>
        <w:shd w:val="clear" w:color="auto" w:fill="FFFFFF"/>
        <w:spacing w:before="245"/>
        <w:ind w:left="10"/>
        <w:rPr>
          <w:rFonts w:ascii="Times New Roman" w:hAnsi="Times New Roman" w:hint="default"/>
          <w:b/>
          <w:sz w:val="28"/>
          <w:szCs w:val="28"/>
        </w:rPr>
      </w:pPr>
      <w:r>
        <w:rPr>
          <w:rFonts w:ascii="Times New Roman" w:hAnsi="Times New Roman" w:hint="default"/>
          <w:b/>
          <w:sz w:val="28"/>
          <w:szCs w:val="28"/>
        </w:rPr>
        <w:t xml:space="preserve"> -A</w:t>
      </w:r>
      <w:r w:rsidR="00540012" w:rsidRPr="0017124D">
        <w:rPr>
          <w:rFonts w:ascii="Times New Roman" w:hAnsi="Times New Roman" w:hint="default"/>
          <w:b/>
          <w:sz w:val="28"/>
          <w:szCs w:val="28"/>
        </w:rPr>
        <w:t>sigurarea apei tehnologice, dacă este cazul:- Nu este cazul;</w:t>
      </w:r>
    </w:p>
    <w:p w:rsidR="00540012" w:rsidRPr="0017124D" w:rsidRDefault="0017124D" w:rsidP="00540012">
      <w:pPr>
        <w:shd w:val="clear" w:color="auto" w:fill="FFFFFF"/>
        <w:spacing w:before="245"/>
        <w:ind w:left="10"/>
        <w:rPr>
          <w:rFonts w:ascii="Times New Roman" w:hAnsi="Times New Roman" w:hint="default"/>
          <w:b/>
          <w:sz w:val="28"/>
          <w:szCs w:val="28"/>
        </w:rPr>
      </w:pPr>
      <w:r>
        <w:rPr>
          <w:rFonts w:ascii="Times New Roman" w:hAnsi="Times New Roman" w:hint="default"/>
          <w:b/>
          <w:sz w:val="28"/>
          <w:szCs w:val="28"/>
        </w:rPr>
        <w:t xml:space="preserve"> -A</w:t>
      </w:r>
      <w:r w:rsidR="00540012" w:rsidRPr="0017124D">
        <w:rPr>
          <w:rFonts w:ascii="Times New Roman" w:hAnsi="Times New Roman" w:hint="default"/>
          <w:b/>
          <w:sz w:val="28"/>
          <w:szCs w:val="28"/>
        </w:rPr>
        <w:t xml:space="preserve">sigurarea agentului termic </w:t>
      </w:r>
      <w:r>
        <w:rPr>
          <w:rFonts w:ascii="Times New Roman" w:hAnsi="Times New Roman" w:hint="default"/>
          <w:b/>
          <w:sz w:val="28"/>
          <w:szCs w:val="28"/>
        </w:rPr>
        <w:t>–</w:t>
      </w:r>
      <w:r w:rsidR="00540012" w:rsidRPr="0017124D">
        <w:rPr>
          <w:rFonts w:ascii="Times New Roman" w:hAnsi="Times New Roman" w:hint="default"/>
          <w:b/>
          <w:sz w:val="28"/>
          <w:szCs w:val="28"/>
        </w:rPr>
        <w:t xml:space="preserve"> </w:t>
      </w:r>
      <w:r>
        <w:rPr>
          <w:rFonts w:ascii="Times New Roman" w:hAnsi="Times New Roman" w:hint="default"/>
          <w:b/>
          <w:sz w:val="28"/>
          <w:szCs w:val="28"/>
        </w:rPr>
        <w:t>Nu este cazul, panouri radiante, electrice</w:t>
      </w:r>
      <w:r w:rsidR="00540012" w:rsidRPr="0017124D">
        <w:rPr>
          <w:rFonts w:ascii="Times New Roman" w:hAnsi="Times New Roman" w:hint="default"/>
          <w:b/>
          <w:sz w:val="28"/>
          <w:szCs w:val="28"/>
        </w:rPr>
        <w:t xml:space="preserve">. </w:t>
      </w:r>
    </w:p>
    <w:p w:rsidR="00540012" w:rsidRPr="0017124D" w:rsidRDefault="0017124D" w:rsidP="00540012">
      <w:pPr>
        <w:shd w:val="clear" w:color="auto" w:fill="FFFFFF"/>
        <w:spacing w:before="245"/>
        <w:ind w:left="10"/>
        <w:rPr>
          <w:rFonts w:ascii="Times New Roman" w:hAnsi="Times New Roman" w:hint="default"/>
          <w:b/>
          <w:sz w:val="28"/>
          <w:szCs w:val="28"/>
        </w:rPr>
      </w:pPr>
      <w:r>
        <w:rPr>
          <w:rFonts w:ascii="Times New Roman" w:hAnsi="Times New Roman" w:hint="default"/>
          <w:b/>
          <w:sz w:val="28"/>
          <w:szCs w:val="28"/>
        </w:rPr>
        <w:t xml:space="preserve"> -D</w:t>
      </w:r>
      <w:r w:rsidR="00540012" w:rsidRPr="0017124D">
        <w:rPr>
          <w:rFonts w:ascii="Times New Roman" w:hAnsi="Times New Roman" w:hint="default"/>
          <w:b/>
          <w:sz w:val="28"/>
          <w:szCs w:val="28"/>
        </w:rPr>
        <w:t xml:space="preserve">escrierea lucrărilor de refacere a amplasamentului în zona afectată de </w:t>
      </w:r>
      <w:r w:rsidR="00D77486" w:rsidRPr="0017124D">
        <w:rPr>
          <w:rFonts w:ascii="Times New Roman" w:hAnsi="Times New Roman" w:hint="default"/>
          <w:b/>
          <w:sz w:val="28"/>
          <w:szCs w:val="28"/>
        </w:rPr>
        <w:t>execuţia investiţiei: Nu sunt necesare lucrări de refacere a amplasamentului, proiectul fiind foarte strict delimitat și va păstra acuratețea întregii incinte pe toată perioada execuției halei</w:t>
      </w:r>
      <w:r w:rsidR="00540012" w:rsidRPr="0017124D">
        <w:rPr>
          <w:rFonts w:ascii="Times New Roman" w:hAnsi="Times New Roman" w:hint="default"/>
          <w:b/>
          <w:sz w:val="28"/>
          <w:szCs w:val="28"/>
        </w:rPr>
        <w: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După finali</w:t>
      </w:r>
      <w:r w:rsidR="00D77486" w:rsidRPr="0017124D">
        <w:rPr>
          <w:rFonts w:ascii="Times New Roman" w:hAnsi="Times New Roman" w:hint="default"/>
          <w:b/>
          <w:sz w:val="28"/>
          <w:szCs w:val="28"/>
        </w:rPr>
        <w:t>zarea construcţiei, incinta va arăta</w:t>
      </w:r>
      <w:r w:rsidRPr="0017124D">
        <w:rPr>
          <w:rFonts w:ascii="Times New Roman" w:hAnsi="Times New Roman" w:hint="default"/>
          <w:b/>
          <w:sz w:val="28"/>
          <w:szCs w:val="28"/>
        </w:rPr>
        <w:t xml:space="preserve"> conform planului de situaţie anexat.</w:t>
      </w:r>
    </w:p>
    <w:p w:rsidR="00540012" w:rsidRPr="0017124D" w:rsidRDefault="00D77486"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Incinta este deja</w:t>
      </w:r>
      <w:r w:rsidR="00540012" w:rsidRPr="0017124D">
        <w:rPr>
          <w:rFonts w:ascii="Times New Roman" w:hAnsi="Times New Roman" w:hint="default"/>
          <w:b/>
          <w:sz w:val="28"/>
          <w:szCs w:val="28"/>
        </w:rPr>
        <w:t xml:space="preserve"> dotată cu platformă pentru colectarea selectivă a deşeurilor</w:t>
      </w:r>
      <w:r w:rsidRPr="0017124D">
        <w:rPr>
          <w:rFonts w:ascii="Times New Roman" w:hAnsi="Times New Roman" w:hint="default"/>
          <w:b/>
          <w:sz w:val="28"/>
          <w:szCs w:val="28"/>
        </w:rPr>
        <w:t xml:space="preserve"> tehnologice și</w:t>
      </w:r>
      <w:r w:rsidR="00540012" w:rsidRPr="0017124D">
        <w:rPr>
          <w:rFonts w:ascii="Times New Roman" w:hAnsi="Times New Roman" w:hint="default"/>
          <w:b/>
          <w:sz w:val="28"/>
          <w:szCs w:val="28"/>
        </w:rPr>
        <w:t xml:space="preserve"> menajere prevăzută cu sursa de apă și racordată la can</w:t>
      </w:r>
      <w:r w:rsidRPr="0017124D">
        <w:rPr>
          <w:rFonts w:ascii="Times New Roman" w:hAnsi="Times New Roman" w:hint="default"/>
          <w:b/>
          <w:sz w:val="28"/>
          <w:szCs w:val="28"/>
        </w:rPr>
        <w:t>alizarea orășenească. Perimetrul incintei va fi plantat</w:t>
      </w:r>
      <w:r w:rsidR="00540012" w:rsidRPr="0017124D">
        <w:rPr>
          <w:rFonts w:ascii="Times New Roman" w:hAnsi="Times New Roman" w:hint="default"/>
          <w:b/>
          <w:sz w:val="28"/>
          <w:szCs w:val="28"/>
        </w:rPr>
        <w:t xml:space="preserve"> copaci și arbuşti decorativi precum şi gazon, conform planului de situaţie, sc. 1:500, anexat.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-căi de acces existente: din </w:t>
      </w:r>
      <w:r w:rsidR="00D77486" w:rsidRPr="0017124D">
        <w:rPr>
          <w:rFonts w:ascii="Times New Roman" w:hAnsi="Times New Roman" w:hint="default"/>
          <w:b/>
          <w:sz w:val="28"/>
          <w:szCs w:val="28"/>
        </w:rPr>
        <w:t xml:space="preserve">strada Mihai Viteazu. Vor fi asigurate </w:t>
      </w:r>
      <w:r w:rsidRPr="0017124D">
        <w:rPr>
          <w:rFonts w:ascii="Times New Roman" w:hAnsi="Times New Roman" w:hint="default"/>
          <w:b/>
          <w:sz w:val="28"/>
          <w:szCs w:val="28"/>
        </w:rPr>
        <w:t>9 locuri de parcare şi posibilitatea accesului maşinilor de intervenţie de orice tip.</w:t>
      </w:r>
    </w:p>
    <w:p w:rsidR="00540012" w:rsidRPr="0017124D" w:rsidRDefault="009B7C0B"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lastRenderedPageBreak/>
        <w:t>-R</w:t>
      </w:r>
      <w:r w:rsidR="00540012" w:rsidRPr="0017124D">
        <w:rPr>
          <w:rFonts w:ascii="Times New Roman" w:hAnsi="Times New Roman" w:hint="default"/>
          <w:b/>
          <w:sz w:val="28"/>
          <w:szCs w:val="28"/>
        </w:rPr>
        <w:t>esursele naturale folosite în construcţie şi funcţionare.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Va fi utilizat pietrişul şi balastul din exploataţiile de agregate minerale din zonă atât pentru betonul folosit la realizarea platformelor carosabile de acces cât şi pentru umplutură şi realizarea sistematizării verticale a incintei. În mod similar, pământul natural va fi folosit pentru realizarea spaţiilor verzi proiectate.</w:t>
      </w:r>
    </w:p>
    <w:p w:rsidR="00540012" w:rsidRPr="0017124D" w:rsidRDefault="009B7C0B"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-M</w:t>
      </w:r>
      <w:r w:rsidR="00540012" w:rsidRPr="0017124D">
        <w:rPr>
          <w:rFonts w:ascii="Times New Roman" w:hAnsi="Times New Roman" w:hint="default"/>
          <w:b/>
          <w:sz w:val="28"/>
          <w:szCs w:val="28"/>
        </w:rPr>
        <w:t>etode folosite în construcţia clădirii:</w:t>
      </w:r>
    </w:p>
    <w:p w:rsidR="00540012" w:rsidRPr="0017124D" w:rsidRDefault="009B7C0B"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Structura constructivă a halei va fi </w:t>
      </w:r>
      <w:r w:rsidR="00540012" w:rsidRPr="0017124D">
        <w:rPr>
          <w:rFonts w:ascii="Times New Roman" w:hAnsi="Times New Roman" w:hint="default"/>
          <w:b/>
          <w:sz w:val="28"/>
          <w:szCs w:val="28"/>
        </w:rPr>
        <w:t>realizată astfel: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-Cadre metalice (stâlpi, grinzi, planşee) pe fundaţii izolate din beton armat.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-Închideri şi compartimentări din panouri termoizolante tristrat.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-Învelitoare din panouri termoizolan</w:t>
      </w:r>
      <w:r w:rsidR="009B7C0B" w:rsidRPr="0017124D">
        <w:rPr>
          <w:rFonts w:ascii="Times New Roman" w:hAnsi="Times New Roman" w:hint="default"/>
          <w:b/>
          <w:sz w:val="28"/>
          <w:szCs w:val="28"/>
        </w:rPr>
        <w:t>te tristrat pe şarpantă metalică, cu pante</w:t>
      </w:r>
      <w:r w:rsidRPr="0017124D">
        <w:rPr>
          <w:rFonts w:ascii="Times New Roman" w:hAnsi="Times New Roman" w:hint="default"/>
          <w:b/>
          <w:sz w:val="28"/>
          <w:szCs w:val="28"/>
        </w:rPr>
        <w:t xml:space="preserve"> în 2 ape.</w:t>
      </w:r>
    </w:p>
    <w:p w:rsidR="00540012" w:rsidRPr="0017124D" w:rsidRDefault="009B7C0B"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Metodele folosite sunt</w:t>
      </w:r>
      <w:r w:rsidR="00540012" w:rsidRPr="0017124D">
        <w:rPr>
          <w:rFonts w:ascii="Times New Roman" w:hAnsi="Times New Roman" w:hint="default"/>
          <w:b/>
          <w:sz w:val="28"/>
          <w:szCs w:val="28"/>
        </w:rPr>
        <w:t xml:space="preserve"> cele clasice pentru realizarea clădirilor cu astfel de structuri în cadre metalice.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-planul de execuţie, cuprinzând fazele de construcţie, punerea în funcţiune, exploatare, refacere şi </w:t>
      </w:r>
      <w:r w:rsidR="009B7C0B" w:rsidRPr="0017124D">
        <w:rPr>
          <w:rFonts w:ascii="Times New Roman" w:hAnsi="Times New Roman" w:hint="default"/>
          <w:b/>
          <w:sz w:val="28"/>
          <w:szCs w:val="28"/>
        </w:rPr>
        <w:t>folosire ulterioară: Conform proiectului, în regie proprie</w:t>
      </w:r>
      <w:r w:rsidRPr="0017124D">
        <w:rPr>
          <w:rFonts w:ascii="Times New Roman" w:hAnsi="Times New Roman" w:hint="default"/>
          <w:b/>
          <w:sz w:val="28"/>
          <w:szCs w:val="28"/>
        </w:rPr>
        <w:t>.</w:t>
      </w:r>
    </w:p>
    <w:p w:rsidR="00540012" w:rsidRPr="0017124D" w:rsidRDefault="00540012" w:rsidP="009B7C0B">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-relaţia cu alte proiecte existente sau planificate</w:t>
      </w:r>
      <w:r w:rsidR="009B7C0B" w:rsidRPr="0017124D">
        <w:rPr>
          <w:rFonts w:ascii="Times New Roman" w:hAnsi="Times New Roman" w:hint="default"/>
          <w:b/>
          <w:sz w:val="28"/>
          <w:szCs w:val="28"/>
        </w:rPr>
        <w:t>: Colaborare/cooperare cu restul proiectelor din incintă (anexele gospodărești existente, utilități existentr, accese, drumuri de acces, etc.)</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w:t>
      </w:r>
      <w:r w:rsidR="009B7C0B" w:rsidRPr="0017124D">
        <w:rPr>
          <w:rFonts w:ascii="Times New Roman" w:hAnsi="Times New Roman" w:hint="default"/>
          <w:b/>
          <w:sz w:val="28"/>
          <w:szCs w:val="28"/>
        </w:rPr>
        <w:t>D</w:t>
      </w:r>
      <w:r w:rsidRPr="0017124D">
        <w:rPr>
          <w:rFonts w:ascii="Times New Roman" w:hAnsi="Times New Roman" w:hint="default"/>
          <w:b/>
          <w:sz w:val="28"/>
          <w:szCs w:val="28"/>
        </w:rPr>
        <w:t>etalii privind alternativele care au fost  luate în considerare: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Principalele soluţii alternative luate în considerare sunt cele privind sursele alternative de energie între care: energia solară, energia geo-termală şi cea eoliană (energie verde), toate coroborate cu i</w:t>
      </w:r>
      <w:r w:rsidR="009B7C0B" w:rsidRPr="0017124D">
        <w:rPr>
          <w:rFonts w:ascii="Times New Roman" w:hAnsi="Times New Roman" w:hint="default"/>
          <w:b/>
          <w:sz w:val="28"/>
          <w:szCs w:val="28"/>
        </w:rPr>
        <w:t>zolarea termică a construcţiei</w:t>
      </w:r>
      <w:r w:rsidRPr="0017124D">
        <w:rPr>
          <w:rFonts w:ascii="Times New Roman" w:hAnsi="Times New Roman" w:hint="default"/>
          <w:b/>
          <w:sz w:val="28"/>
          <w:szCs w:val="28"/>
        </w:rPr>
        <w:t>, cu ţinta finală, cea de conformare la principiul n-ZEB, cu zero pierderi de energie (case pasive).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-alte activităţi care pot apărea ca urmare a proiectului: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Principala activitate prognozată este cea de construcţii de </w:t>
      </w:r>
      <w:r w:rsidR="009B7C0B" w:rsidRPr="0017124D">
        <w:rPr>
          <w:rFonts w:ascii="Times New Roman" w:hAnsi="Times New Roman" w:hint="default"/>
          <w:b/>
          <w:sz w:val="28"/>
          <w:szCs w:val="28"/>
        </w:rPr>
        <w:t>containere de tip organizare de șantier și alte subansambluri (cabine/grupuri sanitare modulate, cabine de pază, etc.).</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lastRenderedPageBreak/>
        <w:t>IV.Descrierea lucrărilor de demolare necesare</w:t>
      </w:r>
      <w:r w:rsidR="009B7C0B" w:rsidRPr="0017124D">
        <w:rPr>
          <w:rFonts w:ascii="Times New Roman" w:hAnsi="Times New Roman" w:hint="default"/>
          <w:b/>
          <w:sz w:val="28"/>
          <w:szCs w:val="28"/>
        </w:rPr>
        <w:t xml:space="preserve"> : 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V. Descrierea amplasării proiectului: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-distanţa faţă de graniţe- Nu este cazul să fie precizate</w:t>
      </w:r>
      <w:r w:rsidR="009B7C0B" w:rsidRPr="0017124D">
        <w:rPr>
          <w:rFonts w:ascii="Times New Roman" w:hAnsi="Times New Roman" w:hint="default"/>
          <w:b/>
          <w:sz w:val="28"/>
          <w:szCs w:val="28"/>
        </w:rPr>
        <w:t>, granițele</w:t>
      </w:r>
      <w:r w:rsidR="00BF6E54" w:rsidRPr="0017124D">
        <w:rPr>
          <w:rFonts w:ascii="Times New Roman" w:hAnsi="Times New Roman" w:hint="default"/>
          <w:b/>
          <w:sz w:val="28"/>
          <w:szCs w:val="28"/>
        </w:rPr>
        <w:t xml:space="preserve"> </w:t>
      </w:r>
      <w:r w:rsidRPr="0017124D">
        <w:rPr>
          <w:rFonts w:ascii="Times New Roman" w:hAnsi="Times New Roman" w:hint="default"/>
          <w:b/>
          <w:sz w:val="28"/>
          <w:szCs w:val="28"/>
        </w:rPr>
        <w:t xml:space="preserve"> fiind foarte depărtate.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-localizarea amplasamentului în raport cu patrimoniul cultural: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În cadrul amplasamentul şi în zona respectivă nu sunt prezente monumente istorice sau situri arheologice, conform certificatului de urbanism anexat,  punctul 1: Regimul juridic: Terenul ,,Nu se află pe lista monumentelor istorice şi nici în zona acestora de protecţie”</w:t>
      </w:r>
      <w:r w:rsidR="00BF6E54" w:rsidRPr="0017124D">
        <w:rPr>
          <w:rFonts w:ascii="Times New Roman" w:hAnsi="Times New Roman" w:hint="default"/>
          <w:b/>
          <w:sz w:val="28"/>
          <w:szCs w:val="28"/>
        </w:rPr>
        <w:t>, conform C.U. nr. 182/26.10.2023, anexat</w:t>
      </w:r>
      <w:r w:rsidRPr="0017124D">
        <w:rPr>
          <w:rFonts w:ascii="Times New Roman" w:hAnsi="Times New Roman" w:hint="default"/>
          <w:b/>
          <w:sz w:val="28"/>
          <w:szCs w:val="28"/>
        </w:rPr>
        <w: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-hărţi, fotografii ale amplasamentului care pot oferi informaţii privind caracteristicile fizice ale mediului, atât naturale, cât şi artificiale, şi alte informaţii privind: folosinţele actuale şi planificate ale ternului atât pe amplasament, cât şi pe zonele  adiacente acestuia.</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Anexăm fotografii care prezintă terenul şi zonele adiacente, dar şi cu </w:t>
      </w:r>
      <w:r w:rsidR="00BF6E54" w:rsidRPr="0017124D">
        <w:rPr>
          <w:rFonts w:ascii="Times New Roman" w:hAnsi="Times New Roman" w:hint="default"/>
          <w:b/>
          <w:sz w:val="28"/>
          <w:szCs w:val="28"/>
        </w:rPr>
        <w:t>strada Mihai Viteazu,  precum și cu anexa</w:t>
      </w:r>
      <w:r w:rsidRPr="0017124D">
        <w:rPr>
          <w:rFonts w:ascii="Times New Roman" w:hAnsi="Times New Roman" w:hint="default"/>
          <w:b/>
          <w:sz w:val="28"/>
          <w:szCs w:val="28"/>
        </w:rPr>
        <w:t xml:space="preserve"> gospodărească</w:t>
      </w:r>
      <w:r w:rsidR="00BF6E54" w:rsidRPr="0017124D">
        <w:rPr>
          <w:rFonts w:ascii="Times New Roman" w:hAnsi="Times New Roman" w:hint="default"/>
          <w:b/>
          <w:sz w:val="28"/>
          <w:szCs w:val="28"/>
        </w:rPr>
        <w:t xml:space="preserve"> (cu grupurile sanitare și vestiar, sala , terasă acoperită)</w:t>
      </w:r>
      <w:r w:rsidRPr="0017124D">
        <w:rPr>
          <w:rFonts w:ascii="Times New Roman" w:hAnsi="Times New Roman" w:hint="default"/>
          <w:b/>
          <w:sz w:val="28"/>
          <w:szCs w:val="28"/>
        </w:rPr>
        <w:t xml:space="preserve"> recent  dată în funcţiune, după recepţia finală.</w:t>
      </w:r>
      <w:r w:rsidR="00BF6E54" w:rsidRPr="0017124D">
        <w:rPr>
          <w:rFonts w:ascii="Times New Roman" w:hAnsi="Times New Roman" w:hint="default"/>
          <w:b/>
          <w:sz w:val="28"/>
          <w:szCs w:val="28"/>
        </w:rPr>
        <w:t xml:space="preserve"> </w:t>
      </w:r>
    </w:p>
    <w:p w:rsidR="00214AAB"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-politicile de zonare şi de folosire a terenului : -Sunt în conformitate cu prevederile PUG oraş Titu, aprobat prin HCL nr. 130/28.10.2009, confo</w:t>
      </w:r>
      <w:r w:rsidR="00BF6E54" w:rsidRPr="0017124D">
        <w:rPr>
          <w:rFonts w:ascii="Times New Roman" w:hAnsi="Times New Roman" w:hint="default"/>
          <w:b/>
          <w:sz w:val="28"/>
          <w:szCs w:val="28"/>
        </w:rPr>
        <w:t>rm precizărilor din C.U. nr. 182/26.10.2023</w:t>
      </w:r>
      <w:r w:rsidRPr="0017124D">
        <w:rPr>
          <w:rFonts w:ascii="Times New Roman" w:hAnsi="Times New Roman" w:hint="default"/>
          <w:b/>
          <w:sz w:val="28"/>
          <w:szCs w:val="28"/>
        </w:rPr>
        <w:t>, anexa</w:t>
      </w:r>
      <w:r w:rsidR="00214AAB" w:rsidRPr="0017124D">
        <w:rPr>
          <w:rFonts w:ascii="Times New Roman" w:hAnsi="Times New Roman" w:hint="default"/>
          <w:b/>
          <w:sz w:val="28"/>
          <w:szCs w:val="28"/>
        </w:rPr>
        <w:t>t, ce continuă C.U. nr. 234/10.11.2020.</w:t>
      </w:r>
    </w:p>
    <w:p w:rsidR="00540012" w:rsidRPr="0017124D" w:rsidRDefault="00214AAB"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-A</w:t>
      </w:r>
      <w:r w:rsidR="00540012" w:rsidRPr="0017124D">
        <w:rPr>
          <w:rFonts w:ascii="Times New Roman" w:hAnsi="Times New Roman" w:hint="default"/>
          <w:b/>
          <w:sz w:val="28"/>
          <w:szCs w:val="28"/>
        </w:rPr>
        <w:t>reale sensibile:-Nu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-coordonate geografice ale amplasamentului proiectului, în format digital, Stereo 1970</w:t>
      </w:r>
      <w:r w:rsidR="00431D27" w:rsidRPr="0017124D">
        <w:rPr>
          <w:rFonts w:ascii="Times New Roman" w:hAnsi="Times New Roman" w:hint="default"/>
          <w:b/>
          <w:sz w:val="28"/>
          <w:szCs w:val="28"/>
        </w:rPr>
        <w:t>, anexate</w:t>
      </w:r>
      <w:r w:rsidRPr="0017124D">
        <w:rPr>
          <w:rFonts w:ascii="Times New Roman" w:hAnsi="Times New Roman" w:hint="default"/>
          <w:b/>
          <w:sz w:val="28"/>
          <w:szCs w:val="28"/>
        </w:rPr>
        <w: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-detalii privind variante de amplasament:-Nu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VI.Descrierea tuturor efectelor semnificative posibile asupra mediului ale proiectului, în limita informaţiilor disponibile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A.Surse de poluanţi şi instalaţii pentru reţinerea, evacuarea şi dispersia poluanţilor în mediu:</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a)protectia calității apelor:</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lastRenderedPageBreak/>
        <w:t>-surse de poluanți pentru ape, locul de evacuare sau emisarul: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w:t>
      </w:r>
      <w:r w:rsidR="00431D27" w:rsidRPr="0017124D">
        <w:rPr>
          <w:rFonts w:ascii="Times New Roman" w:hAnsi="Times New Roman" w:hint="default"/>
          <w:b/>
          <w:sz w:val="28"/>
          <w:szCs w:val="28"/>
        </w:rPr>
        <w:t xml:space="preserve">   Potențiale surse de poluanți: Nu este cazul</w:t>
      </w:r>
      <w:r w:rsidRPr="0017124D">
        <w:rPr>
          <w:rFonts w:ascii="Times New Roman" w:hAnsi="Times New Roman" w:hint="default"/>
          <w:b/>
          <w:sz w:val="28"/>
          <w:szCs w:val="28"/>
        </w:rPr>
        <w:t>.</w:t>
      </w:r>
    </w:p>
    <w:p w:rsidR="00431D27" w:rsidRPr="0017124D" w:rsidRDefault="00431D27" w:rsidP="00431D27">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Deșeurile de tablă sunt colectate cu atenție și depozitate în containere distincte de alte tipuri de deșeuri și valorificate la centrele de colectare deșeuri metalice.</w:t>
      </w:r>
    </w:p>
    <w:p w:rsidR="00540012" w:rsidRPr="0017124D" w:rsidRDefault="00431D27" w:rsidP="00431D27">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Nu sunt produse de natură hidrocarburilor care să fie implicate în procesul tehnologic. </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-Epurar</w:t>
      </w:r>
      <w:r w:rsidR="00431D27" w:rsidRPr="0017124D">
        <w:rPr>
          <w:rFonts w:ascii="Times New Roman" w:hAnsi="Times New Roman" w:hint="default"/>
          <w:b/>
          <w:sz w:val="28"/>
          <w:szCs w:val="28"/>
        </w:rPr>
        <w:t>ea apelor meteorice contaminate</w:t>
      </w:r>
      <w:r w:rsidRPr="0017124D">
        <w:rPr>
          <w:rFonts w:ascii="Times New Roman" w:hAnsi="Times New Roman" w:hint="default"/>
          <w:b/>
          <w:sz w:val="28"/>
          <w:szCs w:val="28"/>
        </w:rPr>
        <w:t xml:space="preserve"> cu uleiul provenit din zonele impermeeabile ale i</w:t>
      </w:r>
      <w:r w:rsidR="00431D27" w:rsidRPr="0017124D">
        <w:rPr>
          <w:rFonts w:ascii="Times New Roman" w:hAnsi="Times New Roman" w:hint="default"/>
          <w:b/>
          <w:sz w:val="28"/>
          <w:szCs w:val="28"/>
        </w:rPr>
        <w:t>ncintei sau anexei gospodărești: Nu este cazul.</w:t>
      </w:r>
    </w:p>
    <w:p w:rsidR="00540012" w:rsidRPr="0017124D" w:rsidRDefault="00431D27" w:rsidP="00431D27">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w:t>
      </w:r>
      <w:r w:rsidR="00540012" w:rsidRPr="0017124D">
        <w:rPr>
          <w:rFonts w:ascii="Times New Roman" w:hAnsi="Times New Roman" w:hint="default"/>
          <w:b/>
          <w:sz w:val="28"/>
          <w:szCs w:val="28"/>
        </w:rPr>
        <w:t xml:space="preserve">Apele uzate menajere </w:t>
      </w:r>
      <w:r w:rsidRPr="0017124D">
        <w:rPr>
          <w:rFonts w:ascii="Times New Roman" w:hAnsi="Times New Roman" w:hint="default"/>
          <w:b/>
          <w:sz w:val="28"/>
          <w:szCs w:val="28"/>
        </w:rPr>
        <w:t xml:space="preserve">de la anexele gospodărești existente </w:t>
      </w:r>
      <w:r w:rsidR="00540012" w:rsidRPr="0017124D">
        <w:rPr>
          <w:rFonts w:ascii="Times New Roman" w:hAnsi="Times New Roman" w:hint="default"/>
          <w:b/>
          <w:sz w:val="28"/>
          <w:szCs w:val="28"/>
        </w:rPr>
        <w:t xml:space="preserve">sunt descărcate în </w:t>
      </w:r>
      <w:r w:rsidRPr="0017124D">
        <w:rPr>
          <w:rFonts w:ascii="Times New Roman" w:hAnsi="Times New Roman" w:hint="default"/>
          <w:b/>
          <w:sz w:val="28"/>
          <w:szCs w:val="28"/>
        </w:rPr>
        <w:t xml:space="preserve">sistemul de canalizare </w:t>
      </w:r>
      <w:r w:rsidR="00540012" w:rsidRPr="0017124D">
        <w:rPr>
          <w:rFonts w:ascii="Times New Roman" w:hAnsi="Times New Roman" w:hint="default"/>
          <w:b/>
          <w:sz w:val="28"/>
          <w:szCs w:val="28"/>
        </w:rPr>
        <w:t xml:space="preserve"> orăşenesc Titu</w:t>
      </w:r>
      <w:r w:rsidRPr="0017124D">
        <w:rPr>
          <w:rFonts w:ascii="Times New Roman" w:hAnsi="Times New Roman" w:hint="default"/>
          <w:b/>
          <w:sz w:val="28"/>
          <w:szCs w:val="28"/>
        </w:rPr>
        <w:t xml:space="preserve"> prin vidanjarea bazinului etanș existent</w:t>
      </w:r>
      <w:r w:rsidR="00540012" w:rsidRPr="0017124D">
        <w:rPr>
          <w:rFonts w:ascii="Times New Roman" w:hAnsi="Times New Roman" w:hint="default"/>
          <w:b/>
          <w:sz w:val="28"/>
          <w:szCs w:val="28"/>
        </w:rPr>
        <w:t>.</w:t>
      </w:r>
      <w:r w:rsidRPr="0017124D">
        <w:rPr>
          <w:rFonts w:ascii="Times New Roman" w:hAnsi="Times New Roman" w:hint="default"/>
          <w:b/>
          <w:sz w:val="28"/>
          <w:szCs w:val="28"/>
        </w:rPr>
        <w:t xml:space="preserve"> N.B. Aceste aspecte nu </w:t>
      </w:r>
      <w:r w:rsidR="00E35ABA" w:rsidRPr="0017124D">
        <w:rPr>
          <w:rFonts w:ascii="Times New Roman" w:hAnsi="Times New Roman" w:hint="default"/>
          <w:b/>
          <w:sz w:val="28"/>
          <w:szCs w:val="28"/>
        </w:rPr>
        <w:t>vizează prezentul proiect de Hală)</w:t>
      </w:r>
    </w:p>
    <w:p w:rsidR="00540012" w:rsidRPr="0017124D" w:rsidRDefault="00540012" w:rsidP="00E35ABA">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Staţiile şi instalaţiile de epurare sau de preepurare a apelor uzate prevăzute</w:t>
      </w:r>
      <w:r w:rsidR="00E35ABA" w:rsidRPr="0017124D">
        <w:rPr>
          <w:rFonts w:ascii="Times New Roman" w:hAnsi="Times New Roman" w:hint="default"/>
          <w:b/>
          <w:sz w:val="28"/>
          <w:szCs w:val="28"/>
        </w:rPr>
        <w:t>. 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b)protectia aerului: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-sursele de poluanţi pentru aer, poluanţi-inclusiv surse de mirosuri: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-Gazele de eșapament</w:t>
      </w:r>
      <w:r w:rsidR="00E35ABA" w:rsidRPr="0017124D">
        <w:rPr>
          <w:rFonts w:ascii="Times New Roman" w:hAnsi="Times New Roman" w:hint="default"/>
          <w:b/>
          <w:sz w:val="28"/>
          <w:szCs w:val="28"/>
        </w:rPr>
        <w:t xml:space="preserve"> ale mașinilor din dotare sau ale clienților</w:t>
      </w:r>
      <w:r w:rsidRPr="0017124D">
        <w:rPr>
          <w:rFonts w:ascii="Times New Roman" w:hAnsi="Times New Roman" w:hint="default"/>
          <w:b/>
          <w:sz w:val="28"/>
          <w:szCs w:val="28"/>
        </w:rPr>
        <w:t>:- Nu vor fi permise depășiri ale limitelor de gaze admise nici la exterior și cu atât mai mult la interior.</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Ventilația halei se va face în mod natural.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Factorii de microclimat: Temperatura mediului interior ambiant, umiditatea, viteza curenților de aer, temperatura suprafețelor de lucru și radiația calorică va fi în conformitate cu destinația încăperilor și conform normelor din legislația actuală: H.G. n</w:t>
      </w:r>
      <w:r w:rsidR="00E35ABA" w:rsidRPr="0017124D">
        <w:rPr>
          <w:rFonts w:ascii="Times New Roman" w:hAnsi="Times New Roman" w:hint="default"/>
          <w:b/>
          <w:sz w:val="28"/>
          <w:szCs w:val="28"/>
        </w:rPr>
        <w:t>r. 300/</w:t>
      </w:r>
      <w:r w:rsidRPr="0017124D">
        <w:rPr>
          <w:rFonts w:ascii="Times New Roman" w:hAnsi="Times New Roman" w:hint="default"/>
          <w:b/>
          <w:sz w:val="28"/>
          <w:szCs w:val="28"/>
        </w:rPr>
        <w:t>2006, Anexa 4, ParteaA, Punctul 7.</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Umiditatea relativă a aerului interior -cea atmosferică, realizată prin dozarea admisiei și evacuării aerului interior prin deschiderea gradată a ferestrelor pe cele două laturi lungi (de sud și nord) ale halei. </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În funcție de necesitățile de moment toți factorii de microclimat sunt intercondițion</w:t>
      </w:r>
      <w:r w:rsidR="00E35ABA" w:rsidRPr="0017124D">
        <w:rPr>
          <w:rFonts w:ascii="Times New Roman" w:hAnsi="Times New Roman" w:hint="default"/>
          <w:b/>
          <w:sz w:val="28"/>
          <w:szCs w:val="28"/>
        </w:rPr>
        <w:t>ați și se influențează reciproc</w:t>
      </w:r>
      <w:r w:rsidRPr="0017124D">
        <w:rPr>
          <w:rFonts w:ascii="Times New Roman" w:hAnsi="Times New Roman" w:hint="default"/>
          <w:b/>
          <w:sz w:val="28"/>
          <w:szCs w:val="28"/>
        </w:rPr>
        <w:t xml:space="preserve">. Prin măsuri punctuale ei vor fi dozați corespunzător în funcție de specificul fiecărui loc de muncă, de </w:t>
      </w:r>
      <w:r w:rsidRPr="0017124D">
        <w:rPr>
          <w:rFonts w:ascii="Times New Roman" w:hAnsi="Times New Roman" w:hint="default"/>
          <w:b/>
          <w:sz w:val="28"/>
          <w:szCs w:val="28"/>
        </w:rPr>
        <w:lastRenderedPageBreak/>
        <w:t>procesele tehnologice respective.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Deşeurile uzuale vor fi colectate în pubele din pvc cu capac, amplasate pe platforma betonată şi asigurată cu sursă de apă şi racordată la canalizarea orăşenească. Administratorul  va urmări respectarea strictă a colectării selective precum şi ridicarea ritmică a gunoiului menajer astfel încât să nu fie cazul de poluare a aerului prin mirosuri mai ales în perioada caldă a anului.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-instalaţii pentru reţinerea şi dispersia poluanţilor în atmosferă. –Nu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c)protecţia împotriva zgomotului şi vibraţiilor:</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-surse de zgomot şi</w:t>
      </w:r>
      <w:r w:rsidR="00E35ABA" w:rsidRPr="0017124D">
        <w:rPr>
          <w:rFonts w:ascii="Times New Roman" w:hAnsi="Times New Roman" w:hint="default"/>
          <w:b/>
          <w:sz w:val="28"/>
          <w:szCs w:val="28"/>
        </w:rPr>
        <w:t xml:space="preserve"> de vibraţii: -surse de tip tehnologic</w:t>
      </w:r>
      <w:r w:rsidRPr="0017124D">
        <w:rPr>
          <w:rFonts w:ascii="Times New Roman" w:hAnsi="Times New Roman" w:hint="default"/>
          <w:b/>
          <w:sz w:val="28"/>
          <w:szCs w:val="28"/>
        </w:rPr>
        <w:t>, normale.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-amenajările şi dotările pentru protecţia împotriva zgomotului şi vibraţiilor</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Pentru delimitarea spațiului de lucru principal de spaţiile cu altă destinaţie precum şi față de exterior au fost folosite panouri de închidere interioare și exterioare din panouri termoizolante tristrat cu grosime de 8 cm,</w:t>
      </w:r>
      <w:r w:rsidR="006E6679" w:rsidRPr="0017124D">
        <w:rPr>
          <w:rFonts w:ascii="Times New Roman" w:hAnsi="Times New Roman" w:hint="default"/>
          <w:b/>
          <w:sz w:val="28"/>
          <w:szCs w:val="28"/>
        </w:rPr>
        <w:t xml:space="preserve"> precum și panouri fonoabsorbante perforate din gama gipsc</w:t>
      </w:r>
      <w:r w:rsidR="009F3756" w:rsidRPr="0017124D">
        <w:rPr>
          <w:rFonts w:ascii="Times New Roman" w:hAnsi="Times New Roman" w:hint="default"/>
          <w:b/>
          <w:sz w:val="28"/>
          <w:szCs w:val="28"/>
        </w:rPr>
        <w:t>arton/fibrobeton (Quash Details</w:t>
      </w:r>
      <w:r w:rsidR="006E6679" w:rsidRPr="0017124D">
        <w:rPr>
          <w:rFonts w:ascii="Times New Roman" w:hAnsi="Times New Roman" w:hint="default"/>
          <w:b/>
          <w:sz w:val="28"/>
          <w:szCs w:val="28"/>
        </w:rPr>
        <w:t>)</w:t>
      </w:r>
      <w:r w:rsidRPr="0017124D">
        <w:rPr>
          <w:rFonts w:ascii="Times New Roman" w:hAnsi="Times New Roman" w:hint="default"/>
          <w:b/>
          <w:sz w:val="28"/>
          <w:szCs w:val="28"/>
        </w:rPr>
        <w:t xml:space="preserve"> care asigură protecţia/izolarea fonică normală.</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d)protecţia împotriva radiaţiilor: Normale.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e)protecţia solului şi a subsolului: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-sursele de poluanţi pentru sol, subsol, ape freatice şi de adâncime</w:t>
      </w:r>
    </w:p>
    <w:p w:rsidR="00540012" w:rsidRPr="0017124D" w:rsidRDefault="00E35ABA"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Nu este cazul. Spațiul </w:t>
      </w:r>
      <w:r w:rsidR="00540012" w:rsidRPr="0017124D">
        <w:rPr>
          <w:rFonts w:ascii="Times New Roman" w:hAnsi="Times New Roman" w:hint="default"/>
          <w:b/>
          <w:sz w:val="28"/>
          <w:szCs w:val="28"/>
        </w:rPr>
        <w:t>amenajat pentru func</w:t>
      </w:r>
      <w:r w:rsidRPr="0017124D">
        <w:rPr>
          <w:rFonts w:ascii="Times New Roman" w:hAnsi="Times New Roman" w:hint="default"/>
          <w:b/>
          <w:sz w:val="28"/>
          <w:szCs w:val="28"/>
        </w:rPr>
        <w:t>țiunea de depozitare și confecții metalice</w:t>
      </w:r>
      <w:r w:rsidR="00540012" w:rsidRPr="0017124D">
        <w:rPr>
          <w:rFonts w:ascii="Times New Roman" w:hAnsi="Times New Roman" w:hint="default"/>
          <w:b/>
          <w:sz w:val="28"/>
          <w:szCs w:val="28"/>
        </w:rPr>
        <w:t xml:space="preserve"> nu generează poluanţi pentru sol, subsol, ape freatice fiind etanș realizat și r</w:t>
      </w:r>
      <w:r w:rsidRPr="0017124D">
        <w:rPr>
          <w:rFonts w:ascii="Times New Roman" w:hAnsi="Times New Roman" w:hint="default"/>
          <w:b/>
          <w:sz w:val="28"/>
          <w:szCs w:val="28"/>
        </w:rPr>
        <w:t>acordat la rețelele de utilități</w:t>
      </w:r>
      <w:r w:rsidR="00540012" w:rsidRPr="0017124D">
        <w:rPr>
          <w:rFonts w:ascii="Times New Roman" w:hAnsi="Times New Roman" w:hint="default"/>
          <w:b/>
          <w:sz w:val="28"/>
          <w:szCs w:val="28"/>
        </w:rPr>
        <w:t xml:space="preserve"> orășenească.</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-lucrările şi dotările pentru protecţia solului şi a subso</w:t>
      </w:r>
      <w:r w:rsidR="00E35ABA" w:rsidRPr="0017124D">
        <w:rPr>
          <w:rFonts w:ascii="Times New Roman" w:hAnsi="Times New Roman" w:hint="default"/>
          <w:b/>
          <w:sz w:val="28"/>
          <w:szCs w:val="28"/>
        </w:rPr>
        <w:t>lului: 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f)protecţia ecosistemelor terestre şi acvatice: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-identificarea arealelor sensibile ce pot fi afectate de proiect: -Nu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-lucrările, dotările şi măsurile pentru protecţia biodiversităţii, monumentelor naturii şi ariilor protejate:-Nu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g)protecţia aşezărilor umane şi a altor obiective de interes public:</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lastRenderedPageBreak/>
        <w:t xml:space="preserve">    -identificarea obiectivelor de interes public, distanţa faţă de aşezările umane, respectiv faţă de monumente istorice şi de arhitectură, alte zone asupra cărora există instituit un regim de restricţie,  zone de interes tradiţional etc. :Nu este cazul.</w:t>
      </w:r>
      <w:r w:rsidRPr="0017124D">
        <w:rPr>
          <w:rFonts w:ascii="Times New Roman" w:hAnsi="Times New Roman" w:hint="default"/>
          <w:b/>
          <w:sz w:val="28"/>
          <w:szCs w:val="28"/>
        </w:rPr>
        <w:cr/>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h)prevenirea şi gestionarea deşeurilor generate pe amplasament în timpul realizării proiectului/în timpul exploatării, inclusiv eliminarea lor.</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-lista deşeurilor (clasificate şi codificate în conformitate cu prevederile legislaţiei europene şi naționale privind deşeurile) cantităţi de deşeuri generate:- Nu este c</w:t>
      </w:r>
      <w:r w:rsidR="00E35ABA" w:rsidRPr="0017124D">
        <w:rPr>
          <w:rFonts w:ascii="Times New Roman" w:hAnsi="Times New Roman" w:hint="default"/>
          <w:b/>
          <w:sz w:val="28"/>
          <w:szCs w:val="28"/>
        </w:rPr>
        <w:t xml:space="preserve">azul. Construcția este  de tip metalic (structură, înhideri laterale și acoperiș </w:t>
      </w:r>
      <w:r w:rsidR="00A90474" w:rsidRPr="0017124D">
        <w:rPr>
          <w:rFonts w:ascii="Times New Roman" w:hAnsi="Times New Roman" w:hint="default"/>
          <w:b/>
          <w:sz w:val="28"/>
          <w:szCs w:val="28"/>
        </w:rPr>
        <w:t>cu panouri tristrat termoizolante, cu tablă la exterior)</w:t>
      </w:r>
      <w:r w:rsidRPr="0017124D">
        <w:rPr>
          <w:rFonts w:ascii="Times New Roman" w:hAnsi="Times New Roman" w:hint="default"/>
          <w:b/>
          <w:sz w:val="28"/>
          <w:szCs w:val="28"/>
        </w:rPr>
        <w:t>.</w:t>
      </w:r>
      <w:r w:rsidR="00A90474" w:rsidRPr="0017124D">
        <w:rPr>
          <w:rFonts w:ascii="Times New Roman" w:hAnsi="Times New Roman" w:hint="default"/>
          <w:b/>
          <w:sz w:val="28"/>
          <w:szCs w:val="28"/>
        </w:rPr>
        <w:t xml:space="preserve"> Toate materialele incluse în procesul de producție sunt integrate în produsul finit, fără perderi, deșeuri ce pot produce pierderi economice.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-În exploatare: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Deşeurile solide, de tip menajer (preponderent biodegradabile), nepericuloase, se colectează şi se depozitează în locul special amenajat (împrejmuit şi betonat), amplasat în spatele co</w:t>
      </w:r>
      <w:r w:rsidR="00A90474" w:rsidRPr="0017124D">
        <w:rPr>
          <w:rFonts w:ascii="Times New Roman" w:hAnsi="Times New Roman" w:hint="default"/>
          <w:b/>
          <w:sz w:val="28"/>
          <w:szCs w:val="28"/>
        </w:rPr>
        <w:t>nstrucției existente, la peste 8</w:t>
      </w:r>
      <w:r w:rsidRPr="0017124D">
        <w:rPr>
          <w:rFonts w:ascii="Times New Roman" w:hAnsi="Times New Roman" w:hint="default"/>
          <w:b/>
          <w:sz w:val="28"/>
          <w:szCs w:val="28"/>
        </w:rPr>
        <w:t xml:space="preserve">4 m de construcţiile de locuințe din zonă, în containere din pvc prevăzute cu capac, distincte pentru diversele categorii de deseuri (plastic şi metal, hârtie, sticlă şi resturi menajere). Preluarea acestora se va face tot în mod diferenţiat, de către  firma judeţeană specializată, pe bază de contract, conform legislatiei în vigoare. </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Nu sunt surse de deseuri periculoase, chimice, biochimice, medicale sau de alt tip:ascuțite-18 01 01, fragmente de organe-18 01 02, generatoare de infectii-18. 01 03 si 18 01 04, chimicale-18 01 06, ...07, medicale-18 01 08 si ...09, deșeuri stomatologice- 18 01 10, conform HG 856/2002.</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-programul de prevenire şi reducere a cantităţilor de deşeuri generate: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Pe timpul șantierului de reamenajare va fi urmărită respectarea cu strictețe a planului de organizare a incintei și implicit gestionarea judicioasă a materialelor folosite în execuție pentru reducerea pierderilor și risipei de materiale care ar putea deveni deșeuri din neglijență, scumpind inutil costurile de execuție în dauna beneficiarului.</w:t>
      </w:r>
    </w:p>
    <w:p w:rsidR="00A90474" w:rsidRPr="0017124D" w:rsidRDefault="00A90474"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Betonul este folosit doar la nivelul fundațiilor și plăcii de la parter și va fi adus cu betoniera și turnat cu pompa, fără a fi permise pierderi în exteriorul </w:t>
      </w:r>
      <w:r w:rsidRPr="0017124D">
        <w:rPr>
          <w:rFonts w:ascii="Times New Roman" w:hAnsi="Times New Roman" w:hint="default"/>
          <w:b/>
          <w:sz w:val="28"/>
          <w:szCs w:val="28"/>
        </w:rPr>
        <w:lastRenderedPageBreak/>
        <w:t>conturului halei.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După te</w:t>
      </w:r>
      <w:r w:rsidR="00A90474" w:rsidRPr="0017124D">
        <w:rPr>
          <w:rFonts w:ascii="Times New Roman" w:hAnsi="Times New Roman" w:hint="default"/>
          <w:b/>
          <w:sz w:val="28"/>
          <w:szCs w:val="28"/>
        </w:rPr>
        <w:t>rminarea lucrărilor de execuție</w:t>
      </w:r>
      <w:r w:rsidRPr="0017124D">
        <w:rPr>
          <w:rFonts w:ascii="Times New Roman" w:hAnsi="Times New Roman" w:hint="default"/>
          <w:b/>
          <w:sz w:val="28"/>
          <w:szCs w:val="28"/>
        </w:rPr>
        <w:t>, prevenirea și reducerea cantităților de deșeuri se va realiza şi urmări d</w:t>
      </w:r>
      <w:r w:rsidR="00A90474" w:rsidRPr="0017124D">
        <w:rPr>
          <w:rFonts w:ascii="Times New Roman" w:hAnsi="Times New Roman" w:hint="default"/>
          <w:b/>
          <w:sz w:val="28"/>
          <w:szCs w:val="28"/>
        </w:rPr>
        <w:t>e către administratorul obiectiv</w:t>
      </w:r>
      <w:r w:rsidRPr="0017124D">
        <w:rPr>
          <w:rFonts w:ascii="Times New Roman" w:hAnsi="Times New Roman" w:hint="default"/>
          <w:b/>
          <w:sz w:val="28"/>
          <w:szCs w:val="28"/>
        </w:rPr>
        <w:t>ului.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-planul de gestionare a deşeurilor:</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Se va realiza prin participarea la programele naţionale privind electrocasnicele sau prin contracte cu firmele care colectează carton, materiale plastice sau hârtie.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i)gospodărirea substanţelor şi preparatelor chimice periculoase: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-substanţele şi preparatele chimice periculoase utilizate şi/sau produse: -Nu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-modul de gospodărire a substanţelor şi preparatelor chimice periculoase şi asigurarea condiţiilor de protecţie a factorilor de mediu şi a sănătăţii populaţiei: -Nu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B. Utilizarea resurselor  naturale, în special a solului, a terenurilor, a apei și a biodiversităţii: -Măsuri uzuale, normale.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VII.Descrierea aspectelor de mediu susceptibile a fi afectate în mod semnificativ de proiect: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-impactul asupra populaţiei, sănătăţii umane, biodiversităţii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Realizarea acestei investiţii restrânse</w:t>
      </w:r>
      <w:r w:rsidR="00A90474" w:rsidRPr="0017124D">
        <w:rPr>
          <w:rFonts w:ascii="Times New Roman" w:hAnsi="Times New Roman" w:hint="default"/>
          <w:b/>
          <w:sz w:val="28"/>
          <w:szCs w:val="28"/>
        </w:rPr>
        <w:t xml:space="preserve"> atât</w:t>
      </w:r>
      <w:r w:rsidRPr="0017124D">
        <w:rPr>
          <w:rFonts w:ascii="Times New Roman" w:hAnsi="Times New Roman" w:hint="default"/>
          <w:b/>
          <w:sz w:val="28"/>
          <w:szCs w:val="28"/>
        </w:rPr>
        <w:t xml:space="preserve"> ca suprafaţă</w:t>
      </w:r>
      <w:r w:rsidR="00A90474" w:rsidRPr="0017124D">
        <w:rPr>
          <w:rFonts w:ascii="Times New Roman" w:hAnsi="Times New Roman" w:hint="default"/>
          <w:b/>
          <w:sz w:val="28"/>
          <w:szCs w:val="28"/>
        </w:rPr>
        <w:t xml:space="preserve"> cât și ca</w:t>
      </w:r>
      <w:r w:rsidRPr="0017124D">
        <w:rPr>
          <w:rFonts w:ascii="Times New Roman" w:hAnsi="Times New Roman" w:hint="default"/>
          <w:b/>
          <w:sz w:val="28"/>
          <w:szCs w:val="28"/>
        </w:rPr>
        <w:t xml:space="preserve"> valoare financiară nu va avea un impact deosebit asupra me</w:t>
      </w:r>
      <w:r w:rsidR="00A90474" w:rsidRPr="0017124D">
        <w:rPr>
          <w:rFonts w:ascii="Times New Roman" w:hAnsi="Times New Roman" w:hint="default"/>
          <w:b/>
          <w:sz w:val="28"/>
          <w:szCs w:val="28"/>
        </w:rPr>
        <w:t>diului în zonă, mai ales cănu</w:t>
      </w:r>
      <w:r w:rsidRPr="0017124D">
        <w:rPr>
          <w:rFonts w:ascii="Times New Roman" w:hAnsi="Times New Roman" w:hint="default"/>
          <w:b/>
          <w:sz w:val="28"/>
          <w:szCs w:val="28"/>
        </w:rPr>
        <w:t xml:space="preserve"> presupune lucră</w:t>
      </w:r>
      <w:r w:rsidR="00A90474" w:rsidRPr="0017124D">
        <w:rPr>
          <w:rFonts w:ascii="Times New Roman" w:hAnsi="Times New Roman" w:hint="default"/>
          <w:b/>
          <w:sz w:val="28"/>
          <w:szCs w:val="28"/>
        </w:rPr>
        <w:t>ri noi, de amp</w:t>
      </w:r>
      <w:r w:rsidRPr="0017124D">
        <w:rPr>
          <w:rFonts w:ascii="Times New Roman" w:hAnsi="Times New Roman" w:hint="default"/>
          <w:b/>
          <w:sz w:val="28"/>
          <w:szCs w:val="28"/>
        </w:rPr>
        <w:t>l</w:t>
      </w:r>
      <w:r w:rsidR="00A90474" w:rsidRPr="0017124D">
        <w:rPr>
          <w:rFonts w:ascii="Times New Roman" w:hAnsi="Times New Roman" w:hint="default"/>
          <w:b/>
          <w:sz w:val="28"/>
          <w:szCs w:val="28"/>
        </w:rPr>
        <w:t>oare, în exterior. I</w:t>
      </w:r>
      <w:r w:rsidRPr="0017124D">
        <w:rPr>
          <w:rFonts w:ascii="Times New Roman" w:hAnsi="Times New Roman" w:hint="default"/>
          <w:b/>
          <w:sz w:val="28"/>
          <w:szCs w:val="28"/>
        </w:rPr>
        <w:t xml:space="preserve">mpactul </w:t>
      </w:r>
      <w:r w:rsidR="00A90474" w:rsidRPr="0017124D">
        <w:rPr>
          <w:rFonts w:ascii="Times New Roman" w:hAnsi="Times New Roman" w:hint="default"/>
          <w:b/>
          <w:sz w:val="28"/>
          <w:szCs w:val="28"/>
        </w:rPr>
        <w:t xml:space="preserve">realizării construcției </w:t>
      </w:r>
      <w:r w:rsidRPr="0017124D">
        <w:rPr>
          <w:rFonts w:ascii="Times New Roman" w:hAnsi="Times New Roman" w:hint="default"/>
          <w:b/>
          <w:sz w:val="28"/>
          <w:szCs w:val="28"/>
        </w:rPr>
        <w:t>va fi unul pozitiv, favorabil celor care vor lucra</w:t>
      </w:r>
      <w:r w:rsidR="00090E27" w:rsidRPr="0017124D">
        <w:rPr>
          <w:rFonts w:ascii="Times New Roman" w:hAnsi="Times New Roman" w:hint="default"/>
          <w:b/>
          <w:sz w:val="28"/>
          <w:szCs w:val="28"/>
        </w:rPr>
        <w:t xml:space="preserve"> în clădirea nouă a halei, dar și beneficiarilor din zonă</w:t>
      </w:r>
      <w:r w:rsidRPr="0017124D">
        <w:rPr>
          <w:rFonts w:ascii="Times New Roman" w:hAnsi="Times New Roman" w:hint="default"/>
          <w:b/>
          <w:sz w:val="28"/>
          <w:szCs w:val="28"/>
        </w:rPr>
        <w:t xml:space="preserve">.      </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Nu vor fi afectate speciile şi habitatele naturale ale zonei de câmpie în care se va dezvolta acest atelier nou de întreținere și reparații a autovehiculelor din oraşul Titu.</w:t>
      </w:r>
    </w:p>
    <w:p w:rsidR="00540012" w:rsidRPr="0017124D" w:rsidRDefault="00090E27"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-E</w:t>
      </w:r>
      <w:r w:rsidR="00540012" w:rsidRPr="0017124D">
        <w:rPr>
          <w:rFonts w:ascii="Times New Roman" w:hAnsi="Times New Roman" w:hint="default"/>
          <w:b/>
          <w:sz w:val="28"/>
          <w:szCs w:val="28"/>
        </w:rPr>
        <w:t>xtinderea impactului: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Concluzionând, precizăm că natura impactului direct asupra mediului este una de </w:t>
      </w:r>
      <w:r w:rsidR="00090E27" w:rsidRPr="0017124D">
        <w:rPr>
          <w:rFonts w:ascii="Times New Roman" w:hAnsi="Times New Roman" w:hint="default"/>
          <w:b/>
          <w:sz w:val="28"/>
          <w:szCs w:val="28"/>
        </w:rPr>
        <w:t>integrare î</w:t>
      </w:r>
      <w:r w:rsidRPr="0017124D">
        <w:rPr>
          <w:rFonts w:ascii="Times New Roman" w:hAnsi="Times New Roman" w:hint="default"/>
          <w:b/>
          <w:sz w:val="28"/>
          <w:szCs w:val="28"/>
        </w:rPr>
        <w:t xml:space="preserve">n cadrul natural, în peisaj şi în spaţiul urban  din zonă, fără a afecta patrimoniul istoric şi cultural,  în aşa fel încât prin calităţile sale acest </w:t>
      </w:r>
      <w:r w:rsidRPr="0017124D">
        <w:rPr>
          <w:rFonts w:ascii="Times New Roman" w:hAnsi="Times New Roman" w:hint="default"/>
          <w:b/>
          <w:sz w:val="28"/>
          <w:szCs w:val="28"/>
        </w:rPr>
        <w:lastRenderedPageBreak/>
        <w:t xml:space="preserve">proiect să se constituie într-un exemplu pozitiv pentru viitoarea dezvoltare urbană a teritoriului. </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-magnitudinea şi complexitatea impactului: -Nu va fi unul de mare amploare, dar va fi unul pozitiv.</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-probabilitatea impactului:- Evaluarea acestui impact va putea fi făcută după darea în funcțiune, după realizarea unor legături profesionale</w:t>
      </w:r>
      <w:r w:rsidR="00090E27" w:rsidRPr="0017124D">
        <w:rPr>
          <w:rFonts w:ascii="Times New Roman" w:hAnsi="Times New Roman" w:hint="default"/>
          <w:b/>
          <w:sz w:val="28"/>
          <w:szCs w:val="28"/>
        </w:rPr>
        <w:t xml:space="preserve"> cu beneficiarii</w:t>
      </w:r>
      <w:r w:rsidRPr="0017124D">
        <w:rPr>
          <w:rFonts w:ascii="Times New Roman" w:hAnsi="Times New Roman" w:hint="default"/>
          <w:b/>
          <w:sz w:val="28"/>
          <w:szCs w:val="28"/>
        </w:rPr>
        <w:t xml:space="preserve"> ce vor apela la serviciile oferite de proprietarii aceastui nou spațiu.</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-durata, frecvenţa şi reversibilitatea impactului: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Toate aceste aspecte ţin de factori umani extrem de greu cuantificabili, dar cum oraşul Titu arată o atitudine deschisă, emancipată în această peri</w:t>
      </w:r>
      <w:r w:rsidR="00090E27" w:rsidRPr="0017124D">
        <w:rPr>
          <w:rFonts w:ascii="Times New Roman" w:hAnsi="Times New Roman" w:hint="default"/>
          <w:b/>
          <w:sz w:val="28"/>
          <w:szCs w:val="28"/>
        </w:rPr>
        <w:t>oadă de dezvoltare spectaculoasă</w:t>
      </w:r>
      <w:r w:rsidRPr="0017124D">
        <w:rPr>
          <w:rFonts w:ascii="Times New Roman" w:hAnsi="Times New Roman" w:hint="default"/>
          <w:b/>
          <w:sz w:val="28"/>
          <w:szCs w:val="28"/>
        </w:rPr>
        <w:t xml:space="preserve"> la scara întregului judeţ Dâmboviţa, acest oraş tânăr reprezentând un exemplu de bună practică ( mai ales după amplasarea la Sălcuţa a Unităţii de testări Dacia+ Renault, dar şi a altor firme), suntem încredinţaţi că durata impactului pozitiv scontat va fi una mare şi fără fenomene de reversibilitate sau regres.</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-măsuri de evitare, reducere sau ameliorare a impactului semnificativ asupra mediului:- Vor trebui avute în vedere de către UAT Titu asigurarea unor noi investiţii care să permită ocuparea forţei de muncă locale şi din comunele învecinate, în strâ</w:t>
      </w:r>
      <w:r w:rsidR="00090E27" w:rsidRPr="0017124D">
        <w:rPr>
          <w:rFonts w:ascii="Times New Roman" w:hAnsi="Times New Roman" w:hint="default"/>
          <w:b/>
          <w:sz w:val="28"/>
          <w:szCs w:val="28"/>
        </w:rPr>
        <w:t>nsă legătură cu dezvoltarea înv</w:t>
      </w:r>
      <w:r w:rsidRPr="0017124D">
        <w:rPr>
          <w:rFonts w:ascii="Times New Roman" w:hAnsi="Times New Roman" w:hint="default"/>
          <w:b/>
          <w:sz w:val="28"/>
          <w:szCs w:val="28"/>
        </w:rPr>
        <w:t>ăţământului gimnazial şi mediu, dar şi al celui profesional pentru că, la final, doar o populaţie bine educată şi cu locuri de muncă sigure va garanta existenţa unui mediu curat şi sănătos.</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-natura transfrontalieră a impactului:-Este greu cuantificabilă, date fiind dimensiunile restrânse ale proiectului precum şi distanţele mari  până la frontiere.  </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VIII. Prevederi pentru monitorizarea mediului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-dotări şi măsuri prevăzute pentru controlul emisiilor de poluanţi în mediu: -Conform prevederilor legale, fără  măsuri speciale, deosebite, de către administratorul firmei.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IX. Legătura cu alte acte normative şi/sau planuri/programe/strategii/documente de planificare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A.Justificarea încadrării proiectului, după caz, în prevederile altor acte </w:t>
      </w:r>
      <w:r w:rsidRPr="0017124D">
        <w:rPr>
          <w:rFonts w:ascii="Times New Roman" w:hAnsi="Times New Roman" w:hint="default"/>
          <w:b/>
          <w:sz w:val="28"/>
          <w:szCs w:val="28"/>
        </w:rPr>
        <w:lastRenderedPageBreak/>
        <w:t>normative naţionale care transpun legislaţia comunitară (IPPC, SEVESO, COV, LCP, Directiva Cadru Apă, Directiva Cadru Aer, Directiva Cadru a Deşeurilor etc.):</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-Proiectul se încadrează în prevederile actualului Plan Urbanistic General (PUG) şi în Regulamentul Local de Urbanism (RLU), dar şi în Strategia de</w:t>
      </w:r>
      <w:r w:rsidR="00090E27" w:rsidRPr="0017124D">
        <w:rPr>
          <w:rFonts w:ascii="Times New Roman" w:hAnsi="Times New Roman" w:hint="default"/>
          <w:b/>
          <w:sz w:val="28"/>
          <w:szCs w:val="28"/>
        </w:rPr>
        <w:t xml:space="preserve"> dezvoltare a oraşului Titu 2020-2028</w:t>
      </w:r>
      <w:r w:rsidRPr="0017124D">
        <w:rPr>
          <w:rFonts w:ascii="Times New Roman" w:hAnsi="Times New Roman" w:hint="default"/>
          <w:b/>
          <w:sz w:val="28"/>
          <w:szCs w:val="28"/>
        </w:rPr>
        <w: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B. Se va mentiona planul/programul/strategia/documentul de programare/planificare din care face parte proiectul, cu indicarea actului normativ prin care a fost aprobat.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În prezent s-a iniţiat de către Administraţia publică locală studiul pentru noua Strategie locală de dezvoltare şi a PUG + RLU Titu, în baza prevederilor Legii 350/2001 privind amenajarea teritoriului şi urbanismul, prin care modalitatea de dezvoltare a acestei zone va căpăta un contur mult mai clar, ţinând cont şi de actualele proiecte de dezvoltare din care şi acesta face parte.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X. Lucrări necesare o</w:t>
      </w:r>
      <w:r w:rsidR="00090E27" w:rsidRPr="0017124D">
        <w:rPr>
          <w:rFonts w:ascii="Times New Roman" w:hAnsi="Times New Roman" w:hint="default"/>
          <w:b/>
          <w:sz w:val="28"/>
          <w:szCs w:val="28"/>
        </w:rPr>
        <w:t>rganizării de şantier:-Construcția are asigurată documentația tehnică pentru organizarea execuției (D.T.O.E.)  solicitată prin Certificatul de urbanism nr. 182/26.10.2023 ce continuă C.U. nr. 234/10.11.2020.</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-descrierea impactului asupra mediului a lucrărilor organizării de şantier:</w:t>
      </w:r>
    </w:p>
    <w:p w:rsidR="00540012" w:rsidRPr="0017124D" w:rsidRDefault="00DA5169"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-Nu</w:t>
      </w:r>
      <w:r w:rsidR="00540012" w:rsidRPr="0017124D">
        <w:rPr>
          <w:rFonts w:ascii="Times New Roman" w:hAnsi="Times New Roman" w:hint="default"/>
          <w:b/>
          <w:sz w:val="28"/>
          <w:szCs w:val="28"/>
        </w:rPr>
        <w:t xml:space="preserve"> sunt necesare lucrări de spargeri şi refaceri al</w:t>
      </w:r>
      <w:r w:rsidRPr="0017124D">
        <w:rPr>
          <w:rFonts w:ascii="Times New Roman" w:hAnsi="Times New Roman" w:hint="default"/>
          <w:b/>
          <w:sz w:val="28"/>
          <w:szCs w:val="28"/>
        </w:rPr>
        <w:t>e trotuarului şi străzii Mihai Viteazu.</w:t>
      </w:r>
    </w:p>
    <w:p w:rsidR="00DA5169" w:rsidRPr="0017124D" w:rsidRDefault="00DA5169"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În incintă vor fi realizate lucrări de decupare a betonului incintei carosabile strict în zonele în care vor fi realizate fundațiile izolate ale stâlpilor halei iar excedentul rezultat va fi folosit ca umplutură sub noua pardiseală a halei.</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-surse de poluanţi şi instalaţii pentru reţinerea, evacuarea şi dispersia poluanţilor în mediu în timpul organizării de şantier:-Nu este cazul. </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Nu vor fi necesare lucrări de acest gen, toate materialele sau pământul rezultat în urma săpăturilor vor fi folosite în continuare pentru realizarea umpluturii şi sistematizării verticale a incintei, inclusiv a spaţiilor verzi proiectate.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-dotări şi măsuri prevăzute pentru controlul emisiilor de poluanţi în mediu.</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lastRenderedPageBreak/>
        <w:t>Monitorizarea apelor reziduale se va face la stația de epurare orăşenescă iar la nivel de incintă de către administratorul firmei, prin verificări p</w:t>
      </w:r>
      <w:r w:rsidR="00DA5169" w:rsidRPr="0017124D">
        <w:rPr>
          <w:rFonts w:ascii="Times New Roman" w:hAnsi="Times New Roman" w:hint="default"/>
          <w:b/>
          <w:sz w:val="28"/>
          <w:szCs w:val="28"/>
        </w:rPr>
        <w:t>eriodice/ monitorizare la bazinul etanș vidanjabil</w:t>
      </w:r>
      <w:r w:rsidRPr="0017124D">
        <w:rPr>
          <w:rFonts w:ascii="Times New Roman" w:hAnsi="Times New Roman" w:hint="default"/>
          <w:b/>
          <w:sz w:val="28"/>
          <w:szCs w:val="28"/>
        </w:rPr>
        <w: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XI. Lucrări de refacere a amplasamentului la finalizarea investiţiei, în caz de accidente şi/sau la încetarea activităţii, în măsura în care aceste informaţii sunt disponibile:</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-lucrările propuse pentru refacerea amplasamentului la finalizarea investiţiei, în caz de accidente şi/sau la încetarea activităţii: Nu e</w:t>
      </w:r>
      <w:r w:rsidR="00DA5169" w:rsidRPr="0017124D">
        <w:rPr>
          <w:rFonts w:ascii="Times New Roman" w:hAnsi="Times New Roman" w:hint="default"/>
          <w:b/>
          <w:sz w:val="28"/>
          <w:szCs w:val="28"/>
        </w:rPr>
        <w:t>ste cazul</w:t>
      </w:r>
      <w:r w:rsidRPr="0017124D">
        <w:rPr>
          <w:rFonts w:ascii="Times New Roman" w:hAnsi="Times New Roman" w:hint="default"/>
          <w:b/>
          <w:sz w:val="28"/>
          <w:szCs w:val="28"/>
        </w:rPr>
        <w: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-aspecte referitoare la prevenirea şi modul de răspuns pentru cazuri de poluări accidentale: -Nu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-aspecte referitoare la închiderea/dezafectarea/demolarea instalaţiei:-Nu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-modalităţi de refacere a stării iniţiale/reabilitare în vederea utilizării ulterioare a terenului:-Nu este cazul.</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XII.Anexe-piese desenate:</w:t>
      </w:r>
    </w:p>
    <w:p w:rsidR="00540012" w:rsidRPr="0017124D" w:rsidRDefault="0017124D"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w:t>
      </w:r>
      <w:r w:rsidR="00540012" w:rsidRPr="0017124D">
        <w:rPr>
          <w:rFonts w:ascii="Times New Roman" w:hAnsi="Times New Roman" w:hint="default"/>
          <w:b/>
          <w:sz w:val="28"/>
          <w:szCs w:val="28"/>
        </w:rPr>
        <w:t>1.-plan de încardare în zonă</w:t>
      </w:r>
      <w:r w:rsidR="00214AAB" w:rsidRPr="0017124D">
        <w:rPr>
          <w:rFonts w:ascii="Times New Roman" w:hAnsi="Times New Roman" w:hint="default"/>
          <w:b/>
          <w:sz w:val="28"/>
          <w:szCs w:val="28"/>
        </w:rPr>
        <w:t xml:space="preserve"> (ortofotoplan)</w:t>
      </w:r>
      <w:r w:rsidR="00540012" w:rsidRPr="0017124D">
        <w:rPr>
          <w:rFonts w:ascii="Times New Roman" w:hAnsi="Times New Roman" w:hint="default"/>
          <w:b/>
          <w:sz w:val="28"/>
          <w:szCs w:val="28"/>
        </w:rPr>
        <w:t>, sc.1:5.000</w:t>
      </w:r>
    </w:p>
    <w:p w:rsidR="00214AAB" w:rsidRPr="0017124D" w:rsidRDefault="0017124D"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w:t>
      </w:r>
      <w:r w:rsidR="00214AAB" w:rsidRPr="0017124D">
        <w:rPr>
          <w:rFonts w:ascii="Times New Roman" w:hAnsi="Times New Roman" w:hint="default"/>
          <w:b/>
          <w:sz w:val="28"/>
          <w:szCs w:val="28"/>
        </w:rPr>
        <w:t>2.-plan cu coordonate stereo 70.</w:t>
      </w:r>
    </w:p>
    <w:p w:rsidR="00540012" w:rsidRPr="0017124D" w:rsidRDefault="0017124D"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w:t>
      </w:r>
      <w:r w:rsidR="00214AAB" w:rsidRPr="0017124D">
        <w:rPr>
          <w:rFonts w:ascii="Times New Roman" w:hAnsi="Times New Roman" w:hint="default"/>
          <w:b/>
          <w:sz w:val="28"/>
          <w:szCs w:val="28"/>
        </w:rPr>
        <w:t>3</w:t>
      </w:r>
      <w:r w:rsidR="00540012" w:rsidRPr="0017124D">
        <w:rPr>
          <w:rFonts w:ascii="Times New Roman" w:hAnsi="Times New Roman" w:hint="default"/>
          <w:b/>
          <w:sz w:val="28"/>
          <w:szCs w:val="28"/>
        </w:rPr>
        <w:t>. -plan de s</w:t>
      </w:r>
      <w:r w:rsidR="00DA5169" w:rsidRPr="0017124D">
        <w:rPr>
          <w:rFonts w:ascii="Times New Roman" w:hAnsi="Times New Roman" w:hint="default"/>
          <w:b/>
          <w:sz w:val="28"/>
          <w:szCs w:val="28"/>
        </w:rPr>
        <w:t>ituaţie DTAC și DTOE,</w:t>
      </w:r>
      <w:r w:rsidR="00540012" w:rsidRPr="0017124D">
        <w:rPr>
          <w:rFonts w:ascii="Times New Roman" w:hAnsi="Times New Roman" w:hint="default"/>
          <w:b/>
          <w:sz w:val="28"/>
          <w:szCs w:val="28"/>
        </w:rPr>
        <w:t xml:space="preserve"> sc:1:500</w:t>
      </w:r>
    </w:p>
    <w:p w:rsidR="00540012" w:rsidRPr="0017124D" w:rsidRDefault="0017124D"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w:t>
      </w:r>
      <w:r w:rsidR="00214AAB" w:rsidRPr="0017124D">
        <w:rPr>
          <w:rFonts w:ascii="Times New Roman" w:hAnsi="Times New Roman" w:hint="default"/>
          <w:b/>
          <w:sz w:val="28"/>
          <w:szCs w:val="28"/>
        </w:rPr>
        <w:t>4</w:t>
      </w:r>
      <w:r w:rsidRPr="0017124D">
        <w:rPr>
          <w:rFonts w:ascii="Times New Roman" w:hAnsi="Times New Roman" w:hint="default"/>
          <w:b/>
          <w:sz w:val="28"/>
          <w:szCs w:val="28"/>
        </w:rPr>
        <w:t xml:space="preserve">. </w:t>
      </w:r>
      <w:r w:rsidR="00540012" w:rsidRPr="0017124D">
        <w:rPr>
          <w:rFonts w:ascii="Times New Roman" w:hAnsi="Times New Roman" w:hint="default"/>
          <w:b/>
          <w:sz w:val="28"/>
          <w:szCs w:val="28"/>
        </w:rPr>
        <w:t>-plan parter</w:t>
      </w:r>
      <w:r w:rsidR="00DA5169" w:rsidRPr="0017124D">
        <w:rPr>
          <w:rFonts w:ascii="Times New Roman" w:hAnsi="Times New Roman" w:hint="default"/>
          <w:b/>
          <w:sz w:val="28"/>
          <w:szCs w:val="28"/>
        </w:rPr>
        <w:t xml:space="preserve"> cu precizarea fluxurilor tehnologice</w:t>
      </w:r>
    </w:p>
    <w:p w:rsidR="00540012" w:rsidRPr="0017124D" w:rsidRDefault="0017124D" w:rsidP="00DA5169">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w:t>
      </w:r>
      <w:r w:rsidR="00214AAB" w:rsidRPr="0017124D">
        <w:rPr>
          <w:rFonts w:ascii="Times New Roman" w:hAnsi="Times New Roman" w:hint="default"/>
          <w:b/>
          <w:sz w:val="28"/>
          <w:szCs w:val="28"/>
        </w:rPr>
        <w:t>5</w:t>
      </w:r>
      <w:r w:rsidR="00540012" w:rsidRPr="0017124D">
        <w:rPr>
          <w:rFonts w:ascii="Times New Roman" w:hAnsi="Times New Roman" w:hint="default"/>
          <w:b/>
          <w:sz w:val="28"/>
          <w:szCs w:val="28"/>
        </w:rPr>
        <w:t>.</w:t>
      </w:r>
      <w:r w:rsidRPr="0017124D">
        <w:rPr>
          <w:rFonts w:ascii="Times New Roman" w:hAnsi="Times New Roman" w:hint="default"/>
          <w:b/>
          <w:sz w:val="28"/>
          <w:szCs w:val="28"/>
        </w:rPr>
        <w:t xml:space="preserve"> </w:t>
      </w:r>
      <w:r w:rsidR="00540012" w:rsidRPr="0017124D">
        <w:rPr>
          <w:rFonts w:ascii="Times New Roman" w:hAnsi="Times New Roman" w:hint="default"/>
          <w:b/>
          <w:sz w:val="28"/>
          <w:szCs w:val="28"/>
        </w:rPr>
        <w:t>-secţiune transversală A-A, sc.1:100</w:t>
      </w:r>
      <w:r w:rsidR="00DA5169" w:rsidRPr="0017124D">
        <w:rPr>
          <w:rFonts w:ascii="Times New Roman" w:hAnsi="Times New Roman" w:hint="default"/>
          <w:b/>
          <w:sz w:val="28"/>
          <w:szCs w:val="28"/>
        </w:rPr>
        <w:t>.</w:t>
      </w:r>
    </w:p>
    <w:p w:rsidR="00214AAB" w:rsidRPr="0017124D" w:rsidRDefault="00214AAB" w:rsidP="00540012">
      <w:pPr>
        <w:shd w:val="clear" w:color="auto" w:fill="FFFFFF"/>
        <w:spacing w:before="245"/>
        <w:ind w:left="10"/>
        <w:rPr>
          <w:rFonts w:ascii="Times New Roman" w:hAnsi="Times New Roman" w:hint="default"/>
          <w:b/>
          <w:sz w:val="28"/>
          <w:szCs w:val="28"/>
        </w:rPr>
      </w:pP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Titular proiect,</w:t>
      </w:r>
    </w:p>
    <w:p w:rsidR="00540012" w:rsidRPr="0017124D" w:rsidRDefault="00540012" w:rsidP="00540012">
      <w:pPr>
        <w:shd w:val="clear" w:color="auto" w:fill="FFFFFF"/>
        <w:spacing w:before="245"/>
        <w:ind w:left="10"/>
        <w:rPr>
          <w:rFonts w:ascii="Times New Roman" w:hAnsi="Times New Roman" w:hint="default"/>
          <w:b/>
          <w:sz w:val="28"/>
          <w:szCs w:val="28"/>
        </w:rPr>
      </w:pPr>
      <w:r w:rsidRPr="0017124D">
        <w:rPr>
          <w:rFonts w:ascii="Times New Roman" w:hAnsi="Times New Roman" w:hint="default"/>
          <w:b/>
          <w:sz w:val="28"/>
          <w:szCs w:val="28"/>
        </w:rPr>
        <w:t xml:space="preserve">                                                             </w:t>
      </w:r>
      <w:r w:rsidR="00A0246A" w:rsidRPr="0017124D">
        <w:rPr>
          <w:rFonts w:ascii="Times New Roman" w:hAnsi="Times New Roman" w:hint="default"/>
          <w:b/>
          <w:sz w:val="28"/>
          <w:szCs w:val="28"/>
        </w:rPr>
        <w:t xml:space="preserve">                Marin Marian </w:t>
      </w:r>
    </w:p>
    <w:p w:rsidR="00540012" w:rsidRPr="0017124D" w:rsidRDefault="00540012" w:rsidP="00540012">
      <w:pPr>
        <w:shd w:val="clear" w:color="auto" w:fill="FFFFFF"/>
        <w:spacing w:before="245"/>
        <w:ind w:left="10"/>
        <w:rPr>
          <w:rFonts w:ascii="Times New Roman" w:hAnsi="Times New Roman" w:hint="default"/>
          <w:b/>
          <w:sz w:val="28"/>
          <w:szCs w:val="28"/>
        </w:rPr>
      </w:pPr>
    </w:p>
    <w:p w:rsidR="00540012" w:rsidRDefault="00540012" w:rsidP="00540012">
      <w:pPr>
        <w:shd w:val="clear" w:color="auto" w:fill="FFFFFF"/>
        <w:spacing w:before="245"/>
        <w:ind w:left="10"/>
        <w:rPr>
          <w:rFonts w:ascii="Times New Roman" w:hAnsi="Times New Roman" w:hint="default"/>
          <w:b/>
          <w:sz w:val="24"/>
          <w:szCs w:val="24"/>
        </w:rPr>
      </w:pPr>
    </w:p>
    <w:p w:rsidR="00540012" w:rsidRDefault="00540012" w:rsidP="00540012">
      <w:pPr>
        <w:shd w:val="clear" w:color="auto" w:fill="FFFFFF"/>
        <w:spacing w:before="245"/>
        <w:ind w:left="10"/>
        <w:rPr>
          <w:rFonts w:ascii="Times New Roman" w:hAnsi="Times New Roman" w:hint="default"/>
          <w:b/>
          <w:sz w:val="24"/>
          <w:szCs w:val="24"/>
        </w:rPr>
      </w:pPr>
    </w:p>
    <w:p w:rsidR="00540012" w:rsidRDefault="00540012" w:rsidP="00540012">
      <w:pPr>
        <w:shd w:val="clear" w:color="auto" w:fill="FFFFFF"/>
        <w:spacing w:before="245"/>
        <w:ind w:left="10"/>
        <w:rPr>
          <w:rFonts w:ascii="Times New Roman" w:hAnsi="Times New Roman" w:hint="default"/>
          <w:b/>
          <w:sz w:val="24"/>
          <w:szCs w:val="24"/>
        </w:rPr>
      </w:pPr>
    </w:p>
    <w:p w:rsidR="00540012" w:rsidRDefault="00540012" w:rsidP="00540012">
      <w:pPr>
        <w:shd w:val="clear" w:color="auto" w:fill="FFFFFF"/>
        <w:spacing w:before="245"/>
        <w:ind w:left="10"/>
        <w:rPr>
          <w:rFonts w:ascii="Times New Roman" w:hAnsi="Times New Roman" w:hint="default"/>
          <w:b/>
          <w:sz w:val="24"/>
          <w:szCs w:val="24"/>
        </w:rPr>
      </w:pPr>
    </w:p>
    <w:p w:rsidR="00540012" w:rsidRDefault="00540012" w:rsidP="00540012">
      <w:pPr>
        <w:shd w:val="clear" w:color="auto" w:fill="FFFFFF"/>
        <w:spacing w:before="245"/>
        <w:ind w:left="10"/>
        <w:rPr>
          <w:rFonts w:ascii="Times New Roman" w:hAnsi="Times New Roman" w:hint="default"/>
          <w:b/>
          <w:sz w:val="24"/>
          <w:szCs w:val="24"/>
        </w:rPr>
      </w:pPr>
    </w:p>
    <w:p w:rsidR="00540012" w:rsidRDefault="00540012" w:rsidP="00540012">
      <w:pPr>
        <w:shd w:val="clear" w:color="auto" w:fill="FFFFFF"/>
        <w:spacing w:before="245"/>
        <w:ind w:left="10"/>
        <w:rPr>
          <w:rFonts w:ascii="Times New Roman" w:hAnsi="Times New Roman" w:hint="default"/>
          <w:b/>
          <w:sz w:val="24"/>
          <w:szCs w:val="24"/>
        </w:rPr>
      </w:pPr>
    </w:p>
    <w:p w:rsidR="00540012" w:rsidRDefault="00540012" w:rsidP="00540012">
      <w:pPr>
        <w:shd w:val="clear" w:color="auto" w:fill="FFFFFF"/>
        <w:spacing w:before="245"/>
        <w:ind w:left="10"/>
        <w:rPr>
          <w:rFonts w:ascii="Times New Roman" w:hAnsi="Times New Roman" w:hint="default"/>
          <w:b/>
          <w:sz w:val="24"/>
          <w:szCs w:val="24"/>
        </w:rPr>
      </w:pPr>
    </w:p>
    <w:p w:rsidR="00540012" w:rsidRDefault="00540012" w:rsidP="00540012">
      <w:pPr>
        <w:shd w:val="clear" w:color="auto" w:fill="FFFFFF"/>
        <w:spacing w:before="245"/>
        <w:ind w:left="10"/>
        <w:rPr>
          <w:rFonts w:ascii="Times New Roman" w:hAnsi="Times New Roman" w:hint="default"/>
          <w:b/>
          <w:sz w:val="24"/>
          <w:szCs w:val="24"/>
        </w:rPr>
      </w:pPr>
    </w:p>
    <w:p w:rsidR="00540012" w:rsidRDefault="00540012" w:rsidP="00540012">
      <w:pPr>
        <w:shd w:val="clear" w:color="auto" w:fill="FFFFFF"/>
        <w:spacing w:before="245"/>
        <w:ind w:left="10"/>
        <w:rPr>
          <w:rFonts w:ascii="Times New Roman" w:hAnsi="Times New Roman" w:hint="default"/>
          <w:b/>
          <w:sz w:val="24"/>
          <w:szCs w:val="24"/>
        </w:rPr>
      </w:pPr>
    </w:p>
    <w:p w:rsidR="00540012" w:rsidRDefault="00540012" w:rsidP="00540012">
      <w:pPr>
        <w:shd w:val="clear" w:color="auto" w:fill="FFFFFF"/>
        <w:spacing w:before="245"/>
        <w:ind w:left="10"/>
        <w:rPr>
          <w:rFonts w:ascii="Times New Roman" w:hAnsi="Times New Roman" w:hint="default"/>
          <w:b/>
          <w:sz w:val="24"/>
          <w:szCs w:val="24"/>
        </w:rPr>
      </w:pPr>
    </w:p>
    <w:p w:rsidR="00540012" w:rsidRDefault="00540012" w:rsidP="00540012">
      <w:pPr>
        <w:shd w:val="clear" w:color="auto" w:fill="FFFFFF"/>
        <w:spacing w:before="245"/>
        <w:ind w:left="10"/>
        <w:rPr>
          <w:rFonts w:ascii="Times New Roman" w:hAnsi="Times New Roman" w:hint="default"/>
          <w:b/>
          <w:sz w:val="24"/>
          <w:szCs w:val="24"/>
        </w:rPr>
      </w:pPr>
    </w:p>
    <w:p w:rsidR="00540012" w:rsidRDefault="00540012" w:rsidP="00540012">
      <w:pPr>
        <w:shd w:val="clear" w:color="auto" w:fill="FFFFFF"/>
        <w:spacing w:before="245"/>
        <w:ind w:left="10"/>
        <w:rPr>
          <w:rFonts w:ascii="Times New Roman" w:hAnsi="Times New Roman" w:hint="default"/>
          <w:b/>
          <w:sz w:val="24"/>
          <w:szCs w:val="24"/>
        </w:rPr>
      </w:pPr>
    </w:p>
    <w:p w:rsidR="00540012" w:rsidRDefault="00540012" w:rsidP="00540012">
      <w:pPr>
        <w:shd w:val="clear" w:color="auto" w:fill="FFFFFF"/>
        <w:spacing w:before="245"/>
        <w:ind w:left="10"/>
        <w:rPr>
          <w:rFonts w:ascii="Times New Roman" w:hAnsi="Times New Roman" w:hint="default"/>
          <w:b/>
          <w:sz w:val="24"/>
          <w:szCs w:val="24"/>
        </w:rPr>
      </w:pPr>
    </w:p>
    <w:p w:rsidR="00540012" w:rsidRPr="00540012" w:rsidRDefault="00540012" w:rsidP="00540012">
      <w:pPr>
        <w:shd w:val="clear" w:color="auto" w:fill="FFFFFF"/>
        <w:spacing w:before="245"/>
        <w:ind w:left="10"/>
        <w:rPr>
          <w:rFonts w:ascii="Times New Roman" w:hAnsi="Times New Roman" w:hint="default"/>
          <w:b/>
          <w:sz w:val="24"/>
          <w:szCs w:val="24"/>
        </w:rPr>
      </w:pPr>
      <w:bookmarkStart w:id="0" w:name="_GoBack"/>
      <w:bookmarkEnd w:id="0"/>
    </w:p>
    <w:sectPr w:rsidR="00540012" w:rsidRPr="00540012" w:rsidSect="00054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C552D"/>
    <w:multiLevelType w:val="hybridMultilevel"/>
    <w:tmpl w:val="262CB3A6"/>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A9444706">
      <w:start w:val="2"/>
      <w:numFmt w:val="bullet"/>
      <w:lvlText w:val="-"/>
      <w:lvlJc w:val="left"/>
      <w:pPr>
        <w:tabs>
          <w:tab w:val="num" w:pos="1080"/>
        </w:tabs>
        <w:ind w:left="1080" w:hanging="360"/>
      </w:pPr>
      <w:rPr>
        <w:rFonts w:ascii="Times New Roman" w:eastAsia="Times New Roman" w:hAnsi="Times New Roman" w:cs="Times New Roman" w:hint="default"/>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EB34137"/>
    <w:multiLevelType w:val="hybridMultilevel"/>
    <w:tmpl w:val="3390890C"/>
    <w:lvl w:ilvl="0" w:tplc="1340F784">
      <w:start w:val="1"/>
      <w:numFmt w:val="decimal"/>
      <w:lvlText w:val="%1."/>
      <w:lvlJc w:val="left"/>
      <w:pPr>
        <w:ind w:left="730" w:hanging="360"/>
      </w:pPr>
      <w:rPr>
        <w:rFonts w:hint="default"/>
      </w:rPr>
    </w:lvl>
    <w:lvl w:ilvl="1" w:tplc="04180019" w:tentative="1">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2">
    <w:nsid w:val="2F185988"/>
    <w:multiLevelType w:val="hybridMultilevel"/>
    <w:tmpl w:val="E8BAC438"/>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24E286E"/>
    <w:multiLevelType w:val="hybridMultilevel"/>
    <w:tmpl w:val="5704C8D8"/>
    <w:lvl w:ilvl="0" w:tplc="5510D83E">
      <w:start w:val="1"/>
      <w:numFmt w:val="lowerLetter"/>
      <w:lvlText w:val="%1)"/>
      <w:lvlJc w:val="left"/>
      <w:pPr>
        <w:ind w:left="525"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4">
    <w:nsid w:val="64055225"/>
    <w:multiLevelType w:val="hybridMultilevel"/>
    <w:tmpl w:val="57BC374E"/>
    <w:lvl w:ilvl="0" w:tplc="D0A86182">
      <w:start w:val="1"/>
      <w:numFmt w:val="upperRoman"/>
      <w:lvlText w:val="%1."/>
      <w:lvlJc w:val="left"/>
      <w:pPr>
        <w:ind w:left="730" w:hanging="720"/>
      </w:pPr>
      <w:rPr>
        <w:rFonts w:hint="default"/>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5">
    <w:nsid w:val="71A33768"/>
    <w:multiLevelType w:val="hybridMultilevel"/>
    <w:tmpl w:val="F6CEFAB6"/>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60"/>
    <w:rsid w:val="000219F6"/>
    <w:rsid w:val="000330DC"/>
    <w:rsid w:val="00043DD2"/>
    <w:rsid w:val="00054810"/>
    <w:rsid w:val="00067BBC"/>
    <w:rsid w:val="000762DF"/>
    <w:rsid w:val="00086CD9"/>
    <w:rsid w:val="00090E27"/>
    <w:rsid w:val="000C2A60"/>
    <w:rsid w:val="0017124D"/>
    <w:rsid w:val="00184DB4"/>
    <w:rsid w:val="00186F0F"/>
    <w:rsid w:val="001F134F"/>
    <w:rsid w:val="00214AAB"/>
    <w:rsid w:val="002B7A57"/>
    <w:rsid w:val="00362E9E"/>
    <w:rsid w:val="00376A39"/>
    <w:rsid w:val="00404F54"/>
    <w:rsid w:val="00431D27"/>
    <w:rsid w:val="00437C8C"/>
    <w:rsid w:val="004653FA"/>
    <w:rsid w:val="0047145B"/>
    <w:rsid w:val="004D1537"/>
    <w:rsid w:val="004F2551"/>
    <w:rsid w:val="005059A9"/>
    <w:rsid w:val="005178D6"/>
    <w:rsid w:val="00540012"/>
    <w:rsid w:val="00561826"/>
    <w:rsid w:val="006879B3"/>
    <w:rsid w:val="0069481D"/>
    <w:rsid w:val="006E6679"/>
    <w:rsid w:val="007066E9"/>
    <w:rsid w:val="00770785"/>
    <w:rsid w:val="00782129"/>
    <w:rsid w:val="00845EA8"/>
    <w:rsid w:val="008539AF"/>
    <w:rsid w:val="00855E0A"/>
    <w:rsid w:val="008729EA"/>
    <w:rsid w:val="008F7C76"/>
    <w:rsid w:val="009055DB"/>
    <w:rsid w:val="00914C95"/>
    <w:rsid w:val="009A516A"/>
    <w:rsid w:val="009B7C0B"/>
    <w:rsid w:val="009F3756"/>
    <w:rsid w:val="00A0246A"/>
    <w:rsid w:val="00A90474"/>
    <w:rsid w:val="00AC1E75"/>
    <w:rsid w:val="00AE366F"/>
    <w:rsid w:val="00AE38F0"/>
    <w:rsid w:val="00B976AA"/>
    <w:rsid w:val="00BE36AA"/>
    <w:rsid w:val="00BF6E54"/>
    <w:rsid w:val="00C93C96"/>
    <w:rsid w:val="00CB3E2F"/>
    <w:rsid w:val="00CB79DE"/>
    <w:rsid w:val="00D74823"/>
    <w:rsid w:val="00D77486"/>
    <w:rsid w:val="00DA5169"/>
    <w:rsid w:val="00DE6EE0"/>
    <w:rsid w:val="00E35ABA"/>
    <w:rsid w:val="00E62774"/>
    <w:rsid w:val="00EC406B"/>
    <w:rsid w:val="00EF19D0"/>
    <w:rsid w:val="00EF400F"/>
    <w:rsid w:val="00F1715F"/>
    <w:rsid w:val="00F608E4"/>
    <w:rsid w:val="00F65783"/>
    <w:rsid w:val="00FF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D1413-2B3B-4584-9969-51D7B49D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5DB"/>
    <w:pPr>
      <w:widowControl w:val="0"/>
      <w:autoSpaceDE w:val="0"/>
      <w:autoSpaceDN w:val="0"/>
      <w:spacing w:after="0" w:line="240" w:lineRule="auto"/>
    </w:pPr>
    <w:rPr>
      <w:rFonts w:ascii="Arial" w:eastAsia="Times New Roman" w:hAnsi="Arial" w:cs="Times New Roman" w:hint="eastAsia"/>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rsid w:val="009055DB"/>
    <w:pPr>
      <w:tabs>
        <w:tab w:val="left" w:pos="0"/>
      </w:tabs>
      <w:suppressAutoHyphens/>
      <w:autoSpaceDE/>
      <w:autoSpaceDN/>
      <w:spacing w:line="228" w:lineRule="auto"/>
    </w:pPr>
    <w:rPr>
      <w:rFonts w:ascii="Times New Roman" w:eastAsia="SimSun" w:hAnsi="Times New Roman" w:hint="default"/>
      <w:kern w:val="2"/>
      <w:sz w:val="24"/>
      <w:lang w:val="en-US" w:eastAsia="zh-CN"/>
    </w:rPr>
  </w:style>
  <w:style w:type="character" w:customStyle="1" w:styleId="tpa1">
    <w:name w:val="tpa1"/>
    <w:basedOn w:val="Fontdeparagrafimplicit"/>
    <w:rsid w:val="009055DB"/>
    <w:rPr>
      <w:rFonts w:hint="default"/>
    </w:rPr>
  </w:style>
  <w:style w:type="character" w:customStyle="1" w:styleId="sp1">
    <w:name w:val="sp1"/>
    <w:basedOn w:val="Fontdeparagrafimplicit"/>
    <w:rsid w:val="009055DB"/>
    <w:rPr>
      <w:rFonts w:hint="default"/>
      <w:b/>
      <w:bCs/>
      <w:color w:val="8F0000"/>
    </w:rPr>
  </w:style>
  <w:style w:type="character" w:customStyle="1" w:styleId="tsp1">
    <w:name w:val="tsp1"/>
    <w:basedOn w:val="Fontdeparagrafimplicit"/>
    <w:rsid w:val="009055DB"/>
    <w:rPr>
      <w:rFonts w:hint="default"/>
    </w:rPr>
  </w:style>
  <w:style w:type="character" w:customStyle="1" w:styleId="pt1">
    <w:name w:val="pt1"/>
    <w:basedOn w:val="Fontdeparagrafimplicit"/>
    <w:rsid w:val="009055DB"/>
    <w:rPr>
      <w:rFonts w:hint="default"/>
      <w:b/>
      <w:bCs/>
      <w:color w:val="8F0000"/>
    </w:rPr>
  </w:style>
  <w:style w:type="character" w:customStyle="1" w:styleId="tpt1">
    <w:name w:val="tpt1"/>
    <w:basedOn w:val="Fontdeparagrafimplicit"/>
    <w:rsid w:val="009055DB"/>
    <w:rPr>
      <w:rFonts w:hint="default"/>
    </w:rPr>
  </w:style>
  <w:style w:type="paragraph" w:styleId="Listparagraf">
    <w:name w:val="List Paragraph"/>
    <w:basedOn w:val="Normal"/>
    <w:uiPriority w:val="34"/>
    <w:qFormat/>
    <w:rsid w:val="00184DB4"/>
    <w:pPr>
      <w:ind w:left="720"/>
      <w:contextualSpacing/>
    </w:pPr>
  </w:style>
  <w:style w:type="paragraph" w:styleId="TextnBalon">
    <w:name w:val="Balloon Text"/>
    <w:basedOn w:val="Normal"/>
    <w:link w:val="TextnBalonCaracter"/>
    <w:uiPriority w:val="99"/>
    <w:semiHidden/>
    <w:unhideWhenUsed/>
    <w:rsid w:val="00AE38F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E38F0"/>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3436</Words>
  <Characters>19586</Characters>
  <Application>Microsoft Office Word</Application>
  <DocSecurity>0</DocSecurity>
  <Lines>163</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avigeo77</dc:creator>
  <cp:lastModifiedBy>ELENA2023</cp:lastModifiedBy>
  <cp:revision>2</cp:revision>
  <cp:lastPrinted>2024-03-04T08:41:00Z</cp:lastPrinted>
  <dcterms:created xsi:type="dcterms:W3CDTF">2024-03-04T08:41:00Z</dcterms:created>
  <dcterms:modified xsi:type="dcterms:W3CDTF">2024-03-04T08:41:00Z</dcterms:modified>
</cp:coreProperties>
</file>