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4D4664">
        <w:rPr>
          <w:rFonts w:ascii="Trebuchet MS" w:hAnsi="Trebuchet MS" w:cs="Times New Roman"/>
          <w:lang w:val="fr-FR"/>
        </w:rPr>
        <w:t>15002 / 8841</w:t>
      </w:r>
      <w:r w:rsidR="00133ABB" w:rsidRPr="00133ABB">
        <w:rPr>
          <w:rFonts w:ascii="Trebuchet MS" w:hAnsi="Trebuchet MS" w:cs="Times New Roman"/>
          <w:lang w:val="fr-FR"/>
        </w:rPr>
        <w:t xml:space="preserve">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C352FC">
        <w:rPr>
          <w:rFonts w:ascii="Trebuchet MS" w:hAnsi="Trebuchet MS" w:cs="Times New Roman"/>
          <w:lang w:val="fr-FR"/>
        </w:rPr>
        <w:t>__________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480977" w:rsidRPr="00ED52B6" w:rsidRDefault="00051258" w:rsidP="00DE70AF">
      <w:pPr>
        <w:suppressAutoHyphens/>
        <w:spacing w:after="0"/>
        <w:rPr>
          <w:rFonts w:ascii="Trebuchet MS" w:eastAsia="Times New Roman" w:hAnsi="Trebuchet MS" w:cs="Times New Roman"/>
          <w:lang w:val="en-US" w:eastAsia="ro-RO"/>
        </w:rPr>
      </w:pPr>
      <w:r w:rsidRPr="00ED52B6">
        <w:rPr>
          <w:rFonts w:ascii="Trebuchet MS" w:eastAsia="Times New Roman" w:hAnsi="Trebuchet MS" w:cs="Times New Roman"/>
          <w:lang w:val="en-US" w:eastAsia="ro-RO"/>
        </w:rPr>
        <w:t xml:space="preserve"> </w:t>
      </w:r>
    </w:p>
    <w:p w:rsidR="00051258" w:rsidRPr="00583731" w:rsidRDefault="00C352FC" w:rsidP="00DE70AF">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din_____________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4363B8" w:rsidRPr="004363B8">
        <w:rPr>
          <w:rFonts w:ascii="Trebuchet MS" w:eastAsia="Times New Roman" w:hAnsi="Trebuchet MS" w:cs="Times New Roman"/>
          <w:b/>
          <w:lang w:eastAsia="ro-RO"/>
        </w:rPr>
        <w:t>SC ENGIE ROMANIA SA</w:t>
      </w:r>
      <w:r w:rsidR="006076FE" w:rsidRPr="00ED52B6">
        <w:rPr>
          <w:rFonts w:ascii="Trebuchet MS" w:eastAsia="Times New Roman" w:hAnsi="Trebuchet MS" w:cs="Times New Roman"/>
          <w:lang w:eastAsia="ro-RO"/>
        </w:rPr>
        <w:t xml:space="preserve">, cu sediul în </w:t>
      </w:r>
      <w:r w:rsidR="004363B8">
        <w:rPr>
          <w:rFonts w:ascii="Trebuchet MS" w:eastAsia="Times New Roman" w:hAnsi="Trebuchet MS" w:cs="Times New Roman"/>
          <w:lang w:eastAsia="ro-RO"/>
        </w:rPr>
        <w:t>municipiul Bucuresti, sector 4, strada B-dul. Marasesti, numar</w:t>
      </w:r>
      <w:r w:rsidR="004363B8" w:rsidRPr="004363B8">
        <w:rPr>
          <w:rFonts w:ascii="Trebuchet MS" w:eastAsia="Times New Roman" w:hAnsi="Trebuchet MS" w:cs="Times New Roman"/>
          <w:lang w:eastAsia="ro-RO"/>
        </w:rPr>
        <w:t xml:space="preserve"> 4-6</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4D4664">
        <w:rPr>
          <w:rFonts w:ascii="Trebuchet MS" w:eastAsia="Times New Roman" w:hAnsi="Trebuchet MS" w:cs="Times New Roman"/>
          <w:lang w:eastAsia="ro-RO"/>
        </w:rPr>
        <w:t>15002</w:t>
      </w:r>
      <w:r w:rsidR="004363B8" w:rsidRPr="004363B8">
        <w:rPr>
          <w:rFonts w:ascii="Trebuchet MS" w:eastAsia="Times New Roman" w:hAnsi="Trebuchet MS" w:cs="Times New Roman"/>
          <w:lang w:eastAsia="ro-RO"/>
        </w:rPr>
        <w:t xml:space="preserve"> din 24.10.2023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hyperlink r:id="rId11" w:history="1">
        <w:r w:rsidR="00955D6F" w:rsidRPr="00ED52B6">
          <w:rPr>
            <w:rStyle w:val="Hyperlink"/>
            <w:rFonts w:ascii="Trebuchet MS" w:hAnsi="Trebuchet MS" w:cs="Times New Roman"/>
            <w:bCs/>
            <w:color w:val="333399"/>
          </w:rPr>
          <w:t>57/2007</w:t>
        </w:r>
      </w:hyperlink>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2" w:history="1">
        <w:r w:rsidR="00955D6F" w:rsidRPr="00ED52B6">
          <w:rPr>
            <w:rStyle w:val="Hyperlink"/>
            <w:rFonts w:ascii="Trebuchet MS" w:hAnsi="Trebuchet MS" w:cs="Times New Roman"/>
            <w:bCs/>
            <w:color w:val="333399"/>
          </w:rPr>
          <w:t>49/2011</w:t>
        </w:r>
      </w:hyperlink>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4363B8">
        <w:rPr>
          <w:rStyle w:val="tpa"/>
          <w:rFonts w:ascii="Trebuchet MS" w:hAnsi="Trebuchet MS" w:cs="Times New Roman"/>
          <w:b/>
          <w:color w:val="000000"/>
        </w:rPr>
        <w:t>22</w:t>
      </w:r>
      <w:r w:rsidR="00D33A5E">
        <w:rPr>
          <w:rStyle w:val="tpa"/>
          <w:rFonts w:ascii="Trebuchet MS" w:hAnsi="Trebuchet MS" w:cs="Times New Roman"/>
          <w:b/>
          <w:color w:val="000000"/>
        </w:rPr>
        <w:t>.02.2024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B20154" w:rsidRPr="00B20154">
        <w:rPr>
          <w:rStyle w:val="tpa"/>
          <w:rFonts w:ascii="Trebuchet MS" w:hAnsi="Trebuchet MS" w:cs="Times New Roman"/>
          <w:b/>
          <w:i/>
          <w:color w:val="000000"/>
        </w:rPr>
        <w:t>Construire centrala electrica fotovoltaica</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B20154">
        <w:rPr>
          <w:rFonts w:ascii="Trebuchet MS" w:eastAsia="Times New Roman" w:hAnsi="Trebuchet MS" w:cs="Times New Roman"/>
          <w:lang w:eastAsia="ro-RO"/>
        </w:rPr>
        <w:t xml:space="preserve">comuna Cornatelu, sat Cornatelu, </w:t>
      </w:r>
      <w:r w:rsidR="004D4664" w:rsidRPr="004D4664">
        <w:rPr>
          <w:rFonts w:ascii="Trebuchet MS" w:eastAsia="Times New Roman" w:hAnsi="Trebuchet MS" w:cs="Times New Roman"/>
          <w:lang w:eastAsia="ro-RO"/>
        </w:rPr>
        <w:t>nr. cad. 70004 si 72391</w:t>
      </w:r>
      <w:r w:rsidR="004D4664">
        <w:rPr>
          <w:rFonts w:ascii="Trebuchet MS" w:eastAsia="Times New Roman" w:hAnsi="Trebuchet MS" w:cs="Times New Roman"/>
          <w:lang w:eastAsia="ro-RO"/>
        </w:rPr>
        <w:t xml:space="preserve">, </w:t>
      </w:r>
      <w:r w:rsidR="00B20154">
        <w:rPr>
          <w:rFonts w:ascii="Trebuchet MS" w:eastAsia="Times New Roman" w:hAnsi="Trebuchet MS" w:cs="Times New Roman"/>
          <w:lang w:eastAsia="ro-RO"/>
        </w:rPr>
        <w:t>judet</w:t>
      </w:r>
      <w:r w:rsidR="00B20154" w:rsidRPr="00B20154">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0D5B20" w:rsidRDefault="000D5B20" w:rsidP="00DE70AF">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B20154" w:rsidRPr="00B20154">
        <w:rPr>
          <w:rFonts w:ascii="Trebuchet MS" w:hAnsi="Trebuchet MS" w:cs="Times New Roman"/>
          <w:color w:val="000000"/>
        </w:rPr>
        <w:t>com. Cornatelu, sat Cornatelu, jud. Dambovita</w:t>
      </w:r>
      <w:r w:rsidRPr="00ED52B6">
        <w:rPr>
          <w:rFonts w:ascii="Trebuchet MS" w:hAnsi="Trebuchet MS" w:cs="Times New Roman"/>
          <w:color w:val="000000"/>
        </w:rPr>
        <w:t>, nu este amplasat intr-o arie naturala protejata de interes național sau comunitar;</w:t>
      </w:r>
    </w:p>
    <w:p w:rsidR="004D4664" w:rsidRDefault="004D4664" w:rsidP="004D4664">
      <w:pPr>
        <w:shd w:val="clear" w:color="auto" w:fill="FFFFFF"/>
        <w:spacing w:after="0"/>
        <w:jc w:val="both"/>
        <w:rPr>
          <w:rFonts w:ascii="Trebuchet MS" w:hAnsi="Trebuchet MS" w:cs="Times New Roman"/>
          <w:color w:val="000000"/>
        </w:rPr>
      </w:pPr>
    </w:p>
    <w:p w:rsidR="004D4664" w:rsidRDefault="004D4664" w:rsidP="004D4664">
      <w:pPr>
        <w:shd w:val="clear" w:color="auto" w:fill="FFFFFF"/>
        <w:spacing w:after="0"/>
        <w:jc w:val="both"/>
        <w:rPr>
          <w:rFonts w:ascii="Trebuchet MS" w:hAnsi="Trebuchet MS" w:cs="Times New Roman"/>
          <w:color w:val="000000"/>
        </w:rPr>
      </w:pPr>
    </w:p>
    <w:p w:rsidR="004D4664" w:rsidRPr="004D4664" w:rsidRDefault="004D4664" w:rsidP="004D4664">
      <w:pPr>
        <w:shd w:val="clear" w:color="auto" w:fill="FFFFFF"/>
        <w:spacing w:after="0"/>
        <w:jc w:val="both"/>
        <w:rPr>
          <w:rFonts w:ascii="Trebuchet MS" w:hAnsi="Trebuchet MS" w:cs="Times New Roman"/>
          <w:color w:val="000000"/>
        </w:rPr>
      </w:pP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lastRenderedPageBreak/>
        <w:t xml:space="preserve">Motivele pe baza cărora s-a stabilit neefectuarea evaluării impactului asupra corpurilor de apă: </w:t>
      </w:r>
    </w:p>
    <w:p w:rsidR="00C97A8B" w:rsidRPr="00B20154" w:rsidRDefault="00DA0F35" w:rsidP="00DE70AF">
      <w:pPr>
        <w:pStyle w:val="ListParagraph"/>
        <w:numPr>
          <w:ilvl w:val="0"/>
          <w:numId w:val="13"/>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Conform </w:t>
      </w:r>
      <w:r w:rsidR="00A324BB">
        <w:rPr>
          <w:rFonts w:ascii="Trebuchet MS" w:hAnsi="Trebuchet MS" w:cs="Times New Roman"/>
          <w:color w:val="000000"/>
        </w:rPr>
        <w:t xml:space="preserve">adresei </w:t>
      </w:r>
      <w:r w:rsidR="00D238E3">
        <w:rPr>
          <w:rFonts w:ascii="Trebuchet MS" w:hAnsi="Trebuchet MS" w:cs="Times New Roman"/>
          <w:color w:val="000000"/>
        </w:rPr>
        <w:t xml:space="preserve">emisa de Administratia Bazinala </w:t>
      </w:r>
      <w:r w:rsidR="00550D45">
        <w:rPr>
          <w:rFonts w:ascii="Trebuchet MS" w:hAnsi="Trebuchet MS" w:cs="Times New Roman"/>
          <w:color w:val="000000"/>
        </w:rPr>
        <w:t xml:space="preserve">Arges-Vedea Sistemul de </w:t>
      </w:r>
      <w:r w:rsidR="00A324BB">
        <w:rPr>
          <w:rFonts w:ascii="Trebuchet MS" w:hAnsi="Trebuchet MS" w:cs="Times New Roman"/>
          <w:color w:val="000000"/>
        </w:rPr>
        <w:t>Hidrotehnic Independent Vacaresti</w:t>
      </w:r>
      <w:r w:rsidR="00550D45">
        <w:rPr>
          <w:rFonts w:ascii="Trebuchet MS" w:hAnsi="Trebuchet MS" w:cs="Times New Roman"/>
          <w:color w:val="000000"/>
        </w:rPr>
        <w:t xml:space="preserve"> inregistrata la APM Dambovita cu numarul </w:t>
      </w:r>
      <w:r w:rsidR="00A324BB">
        <w:rPr>
          <w:rFonts w:ascii="Trebuchet MS" w:hAnsi="Trebuchet MS" w:cs="Times New Roman"/>
          <w:color w:val="000000"/>
        </w:rPr>
        <w:t>18</w:t>
      </w:r>
      <w:r w:rsidR="000F1701">
        <w:rPr>
          <w:rFonts w:ascii="Trebuchet MS" w:hAnsi="Trebuchet MS" w:cs="Times New Roman"/>
          <w:color w:val="000000"/>
        </w:rPr>
        <w:t>442</w:t>
      </w:r>
      <w:r w:rsidR="007B5E4A">
        <w:rPr>
          <w:rFonts w:ascii="Trebuchet MS" w:hAnsi="Trebuchet MS" w:cs="Times New Roman"/>
          <w:color w:val="000000"/>
        </w:rPr>
        <w:t xml:space="preserve"> / </w:t>
      </w:r>
      <w:r w:rsidR="000F1701">
        <w:rPr>
          <w:rFonts w:ascii="Trebuchet MS" w:hAnsi="Trebuchet MS" w:cs="Times New Roman"/>
          <w:color w:val="000000"/>
        </w:rPr>
        <w:t>12</w:t>
      </w:r>
      <w:r w:rsidR="00A324BB">
        <w:rPr>
          <w:rFonts w:ascii="Trebuchet MS" w:hAnsi="Trebuchet MS" w:cs="Times New Roman"/>
          <w:color w:val="000000"/>
        </w:rPr>
        <w:t>.12.2024</w:t>
      </w:r>
      <w:r w:rsidR="007B5E4A">
        <w:rPr>
          <w:rFonts w:ascii="Trebuchet MS" w:hAnsi="Trebuchet MS" w:cs="Times New Roman"/>
          <w:color w:val="000000"/>
        </w:rPr>
        <w:t>: nu este necesara obtinerea avizului de gospodairea apelor</w:t>
      </w:r>
      <w:r w:rsidRPr="00DA0F35">
        <w:rPr>
          <w:rFonts w:ascii="Trebuchet MS" w:hAnsi="Trebuchet MS" w:cs="Times New Roman"/>
          <w:color w:val="000000"/>
        </w:rPr>
        <w:t>;</w:t>
      </w:r>
    </w:p>
    <w:p w:rsidR="004822CF" w:rsidRPr="00DE70AF" w:rsidRDefault="004822CF" w:rsidP="00DE70AF">
      <w:pPr>
        <w:shd w:val="clear" w:color="auto" w:fill="FFFFFF"/>
        <w:spacing w:after="0"/>
        <w:ind w:left="426"/>
        <w:jc w:val="both"/>
        <w:rPr>
          <w:rFonts w:ascii="Trebuchet MS" w:hAnsi="Trebuchet MS" w:cs="Times New Roman"/>
          <w:color w:val="000000"/>
        </w:rPr>
      </w:pPr>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452CFC" w:rsidRDefault="00877DB1" w:rsidP="00DE70AF">
      <w:pPr>
        <w:spacing w:after="0"/>
        <w:ind w:left="708" w:firstLine="708"/>
        <w:jc w:val="both"/>
        <w:rPr>
          <w:rFonts w:ascii="Trebuchet MS" w:eastAsia="Calibri" w:hAnsi="Trebuchet MS" w:cs="Times New Roman"/>
        </w:rPr>
      </w:pPr>
      <w:r w:rsidRPr="00C97A8B">
        <w:rPr>
          <w:rFonts w:ascii="Trebuchet MS" w:eastAsia="Calibri" w:hAnsi="Trebuchet MS" w:cs="Times New Roman"/>
        </w:rPr>
        <w:t xml:space="preserve">Prin proiect se propune construirea unui parc fotovoltaic in </w:t>
      </w:r>
      <w:r w:rsidR="00FB3F01">
        <w:rPr>
          <w:rFonts w:ascii="Trebuchet MS" w:eastAsia="Calibri" w:hAnsi="Trebuchet MS" w:cs="Times New Roman"/>
        </w:rPr>
        <w:t>comuna Cornatelu</w:t>
      </w:r>
      <w:r w:rsidRPr="00C97A8B">
        <w:rPr>
          <w:rFonts w:ascii="Trebuchet MS" w:eastAsia="Calibri" w:hAnsi="Trebuchet MS" w:cs="Times New Roman"/>
        </w:rPr>
        <w:t>.</w:t>
      </w:r>
    </w:p>
    <w:p w:rsidR="00FB3F01" w:rsidRDefault="006C1BA0" w:rsidP="00DE70AF">
      <w:pPr>
        <w:spacing w:after="0"/>
        <w:ind w:left="708" w:firstLine="708"/>
        <w:jc w:val="both"/>
        <w:rPr>
          <w:rFonts w:ascii="Trebuchet MS" w:eastAsia="Calibri" w:hAnsi="Trebuchet MS" w:cs="Times New Roman"/>
          <w:b/>
        </w:rPr>
      </w:pPr>
      <w:r>
        <w:rPr>
          <w:rFonts w:ascii="Trebuchet MS" w:eastAsia="Calibri" w:hAnsi="Trebuchet MS" w:cs="Times New Roman"/>
          <w:b/>
        </w:rPr>
        <w:t xml:space="preserve">Centrala </w:t>
      </w:r>
    </w:p>
    <w:p w:rsidR="00454037" w:rsidRPr="00454037" w:rsidRDefault="00454037" w:rsidP="00454037">
      <w:pPr>
        <w:spacing w:after="0"/>
        <w:ind w:left="928" w:firstLine="488"/>
        <w:jc w:val="both"/>
        <w:rPr>
          <w:rFonts w:ascii="Trebuchet MS" w:eastAsia="Calibri" w:hAnsi="Trebuchet MS" w:cs="Times New Roman"/>
        </w:rPr>
      </w:pPr>
      <w:r w:rsidRPr="00454037">
        <w:rPr>
          <w:rFonts w:ascii="Trebuchet MS" w:eastAsia="Calibri" w:hAnsi="Trebuchet MS" w:cs="Times New Roman"/>
        </w:rPr>
        <w:t xml:space="preserve">Centrala electrică fotovoltaică va fi construită în sistem HSAT – respectiv sistem fotovoltaic cu tracker de tip Horizontal Single Axis (HSAT) cu module(panouri) fotovoltaice montate in sistem 1Portrait sau 2Portrait. Sistemul permite urmărirea soarelui de-a lungul zilei pe o singură axă, cea orizontală. Dispunere panourilor </w:t>
      </w:r>
      <w:r>
        <w:rPr>
          <w:rFonts w:ascii="Trebuchet MS" w:eastAsia="Calibri" w:hAnsi="Trebuchet MS" w:cs="Times New Roman"/>
        </w:rPr>
        <w:t xml:space="preserve">se realizează pe direcția N-S. </w:t>
      </w:r>
    </w:p>
    <w:p w:rsidR="00454037" w:rsidRPr="00454037" w:rsidRDefault="00454037" w:rsidP="00454037">
      <w:pPr>
        <w:spacing w:after="0"/>
        <w:ind w:left="928" w:firstLine="488"/>
        <w:jc w:val="both"/>
        <w:rPr>
          <w:rFonts w:ascii="Trebuchet MS" w:eastAsia="Calibri" w:hAnsi="Trebuchet MS" w:cs="Times New Roman"/>
        </w:rPr>
      </w:pPr>
      <w:r w:rsidRPr="00454037">
        <w:rPr>
          <w:rFonts w:ascii="Trebuchet MS" w:eastAsia="Calibri" w:hAnsi="Trebuchet MS" w:cs="Times New Roman"/>
        </w:rPr>
        <w:t>Centrala electrică fotovoltaică, în sistem HSAT, este compusă din următoarele componente principale:</w:t>
      </w:r>
    </w:p>
    <w:p w:rsidR="00454037" w:rsidRPr="00FD7A88" w:rsidRDefault="00454037" w:rsidP="00FD7A88">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Panouri Fotovoltaice (PV)</w:t>
      </w:r>
      <w:r w:rsidR="00F52249">
        <w:rPr>
          <w:rFonts w:ascii="Trebuchet MS" w:eastAsia="Calibri" w:hAnsi="Trebuchet MS" w:cs="Times New Roman"/>
        </w:rPr>
        <w:t xml:space="preserve"> - p</w:t>
      </w:r>
      <w:r w:rsidR="00F52249" w:rsidRPr="00F52249">
        <w:rPr>
          <w:rFonts w:ascii="Trebuchet MS" w:eastAsia="Calibri" w:hAnsi="Trebuchet MS" w:cs="Times New Roman"/>
        </w:rPr>
        <w:t>anouri LR5-72HGD 560~590</w:t>
      </w:r>
      <w:r w:rsidR="00F52249">
        <w:rPr>
          <w:rFonts w:ascii="Trebuchet MS" w:eastAsia="Calibri" w:hAnsi="Trebuchet MS" w:cs="Times New Roman"/>
        </w:rPr>
        <w:t>M sau similar – număr estimativ</w:t>
      </w:r>
      <w:r w:rsidR="00F52249" w:rsidRPr="00F52249">
        <w:rPr>
          <w:rFonts w:ascii="Trebuchet MS" w:eastAsia="Calibri" w:hAnsi="Trebuchet MS" w:cs="Times New Roman"/>
        </w:rPr>
        <w:t xml:space="preserve"> 57590 panouri</w:t>
      </w:r>
      <w:r w:rsidR="00F52249">
        <w:rPr>
          <w:rFonts w:ascii="Trebuchet MS" w:eastAsia="Calibri" w:hAnsi="Trebuchet MS" w:cs="Times New Roman"/>
        </w:rPr>
        <w:t xml:space="preserve">, </w:t>
      </w:r>
      <w:r w:rsidR="00F52249" w:rsidRPr="00F52249">
        <w:rPr>
          <w:rFonts w:ascii="Trebuchet MS" w:eastAsia="Calibri" w:hAnsi="Trebuchet MS" w:cs="Times New Roman"/>
        </w:rPr>
        <w:t>d</w:t>
      </w:r>
      <w:r w:rsidR="00F52249">
        <w:rPr>
          <w:rFonts w:ascii="Trebuchet MS" w:eastAsia="Calibri" w:hAnsi="Trebuchet MS" w:cs="Times New Roman"/>
        </w:rPr>
        <w:t>imensiuni aproximative</w:t>
      </w:r>
      <w:r w:rsidR="00F52249" w:rsidRPr="00F52249">
        <w:rPr>
          <w:rFonts w:ascii="Trebuchet MS" w:eastAsia="Calibri" w:hAnsi="Trebuchet MS" w:cs="Times New Roman"/>
        </w:rPr>
        <w:t xml:space="preserve"> 2278x1134x30 mm</w:t>
      </w:r>
      <w:r w:rsidR="00F52249">
        <w:rPr>
          <w:rFonts w:ascii="Trebuchet MS" w:eastAsia="Calibri" w:hAnsi="Trebuchet MS" w:cs="Times New Roman"/>
        </w:rPr>
        <w:t xml:space="preserve">, </w:t>
      </w:r>
      <w:r w:rsidR="00F52249" w:rsidRPr="00F52249">
        <w:rPr>
          <w:rFonts w:ascii="Trebuchet MS" w:eastAsia="Calibri" w:hAnsi="Trebuchet MS" w:cs="Times New Roman"/>
        </w:rPr>
        <w:t>g</w:t>
      </w:r>
      <w:r w:rsidR="00F52249">
        <w:rPr>
          <w:rFonts w:ascii="Trebuchet MS" w:eastAsia="Calibri" w:hAnsi="Trebuchet MS" w:cs="Times New Roman"/>
        </w:rPr>
        <w:t>reutate</w:t>
      </w:r>
      <w:r w:rsidR="00F52249" w:rsidRPr="00F52249">
        <w:rPr>
          <w:rFonts w:ascii="Trebuchet MS" w:eastAsia="Calibri" w:hAnsi="Trebuchet MS" w:cs="Times New Roman"/>
        </w:rPr>
        <w:t xml:space="preserve"> 31,80 kg</w:t>
      </w:r>
      <w:r w:rsidR="00FD7A88">
        <w:rPr>
          <w:rFonts w:ascii="Trebuchet MS" w:eastAsia="Calibri" w:hAnsi="Trebuchet MS" w:cs="Times New Roman"/>
        </w:rPr>
        <w:t xml:space="preserve"> </w:t>
      </w:r>
      <w:r w:rsidR="00FD7A88" w:rsidRPr="00FD7A88">
        <w:rPr>
          <w:rFonts w:ascii="Trebuchet MS" w:eastAsia="Calibri" w:hAnsi="Trebuchet MS" w:cs="Times New Roman"/>
        </w:rPr>
        <w:t>e</w:t>
      </w:r>
      <w:r w:rsidR="00F52249" w:rsidRPr="00FD7A88">
        <w:rPr>
          <w:rFonts w:ascii="Trebuchet MS" w:eastAsia="Calibri" w:hAnsi="Trebuchet MS" w:cs="Times New Roman"/>
        </w:rPr>
        <w:t>ficiența modului 22,30%</w:t>
      </w:r>
    </w:p>
    <w:p w:rsidR="00454037" w:rsidRDefault="00454037" w:rsidP="00454037">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Structura de Montare cu Echipament Tracker</w:t>
      </w:r>
      <w:r>
        <w:rPr>
          <w:rFonts w:ascii="Trebuchet MS" w:eastAsia="Calibri" w:hAnsi="Trebuchet MS" w:cs="Times New Roman"/>
        </w:rPr>
        <w:t>;</w:t>
      </w:r>
    </w:p>
    <w:p w:rsidR="00454037" w:rsidRDefault="00454037" w:rsidP="00454037">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Sistem de Urmărire</w:t>
      </w:r>
      <w:r>
        <w:rPr>
          <w:rFonts w:ascii="Trebuchet MS" w:eastAsia="Calibri" w:hAnsi="Trebuchet MS" w:cs="Times New Roman"/>
        </w:rPr>
        <w:t>;</w:t>
      </w:r>
    </w:p>
    <w:p w:rsidR="00454037" w:rsidRDefault="00454037" w:rsidP="00454037">
      <w:pPr>
        <w:pStyle w:val="ListParagraph"/>
        <w:numPr>
          <w:ilvl w:val="0"/>
          <w:numId w:val="28"/>
        </w:numPr>
        <w:spacing w:after="0"/>
        <w:jc w:val="both"/>
        <w:rPr>
          <w:rFonts w:ascii="Trebuchet MS" w:eastAsia="Calibri" w:hAnsi="Trebuchet MS" w:cs="Times New Roman"/>
        </w:rPr>
      </w:pPr>
      <w:r>
        <w:rPr>
          <w:rFonts w:ascii="Trebuchet MS" w:eastAsia="Calibri" w:hAnsi="Trebuchet MS" w:cs="Times New Roman"/>
        </w:rPr>
        <w:t>Invertor;</w:t>
      </w:r>
    </w:p>
    <w:p w:rsidR="00454037" w:rsidRDefault="00454037" w:rsidP="00454037">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Transformatoare</w:t>
      </w:r>
      <w:r>
        <w:rPr>
          <w:rFonts w:ascii="Trebuchet MS" w:eastAsia="Calibri" w:hAnsi="Trebuchet MS" w:cs="Times New Roman"/>
        </w:rPr>
        <w:t>;</w:t>
      </w:r>
    </w:p>
    <w:p w:rsidR="00454037" w:rsidRDefault="00454037" w:rsidP="00454037">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S</w:t>
      </w:r>
      <w:r w:rsidRPr="00454037">
        <w:rPr>
          <w:rFonts w:ascii="Trebuchet MS" w:eastAsia="Calibri" w:hAnsi="Trebuchet MS" w:cs="Times New Roman"/>
        </w:rPr>
        <w:t>istem de Protecție</w:t>
      </w:r>
      <w:r>
        <w:rPr>
          <w:rFonts w:ascii="Trebuchet MS" w:eastAsia="Calibri" w:hAnsi="Trebuchet MS" w:cs="Times New Roman"/>
        </w:rPr>
        <w:t>;</w:t>
      </w:r>
    </w:p>
    <w:p w:rsidR="00454037" w:rsidRDefault="00454037" w:rsidP="00454037">
      <w:pPr>
        <w:pStyle w:val="ListParagraph"/>
        <w:numPr>
          <w:ilvl w:val="0"/>
          <w:numId w:val="28"/>
        </w:numPr>
        <w:spacing w:after="0"/>
        <w:jc w:val="both"/>
        <w:rPr>
          <w:rFonts w:ascii="Trebuchet MS" w:eastAsia="Calibri" w:hAnsi="Trebuchet MS" w:cs="Times New Roman"/>
        </w:rPr>
      </w:pPr>
      <w:r w:rsidRPr="00454037">
        <w:rPr>
          <w:rFonts w:ascii="Trebuchet MS" w:eastAsia="Calibri" w:hAnsi="Trebuchet MS" w:cs="Times New Roman"/>
        </w:rPr>
        <w:t>Sistem de Monitorizare</w:t>
      </w:r>
      <w:r>
        <w:rPr>
          <w:rFonts w:ascii="Trebuchet MS" w:eastAsia="Calibri" w:hAnsi="Trebuchet MS" w:cs="Times New Roman"/>
        </w:rPr>
        <w:t>;</w:t>
      </w:r>
    </w:p>
    <w:p w:rsidR="00A21C82" w:rsidRPr="00454037" w:rsidRDefault="00A21C82" w:rsidP="00454037">
      <w:pPr>
        <w:pStyle w:val="ListParagraph"/>
        <w:spacing w:after="0"/>
        <w:ind w:left="1353"/>
        <w:jc w:val="both"/>
        <w:rPr>
          <w:rFonts w:ascii="Trebuchet MS" w:eastAsia="Calibri" w:hAnsi="Trebuchet MS" w:cs="Times New Roman"/>
        </w:rPr>
      </w:pPr>
      <w:r w:rsidRPr="00454037">
        <w:rPr>
          <w:rFonts w:ascii="Trebuchet MS" w:eastAsia="Calibri" w:hAnsi="Trebuchet MS" w:cs="Times New Roman"/>
          <w:b/>
        </w:rPr>
        <w:t>Împrejmuire</w:t>
      </w:r>
    </w:p>
    <w:p w:rsidR="00A21C82" w:rsidRPr="00A21C82" w:rsidRDefault="00E11E07" w:rsidP="00454037">
      <w:pPr>
        <w:spacing w:after="0"/>
        <w:ind w:left="708" w:firstLine="645"/>
        <w:jc w:val="both"/>
        <w:rPr>
          <w:rFonts w:ascii="Trebuchet MS" w:eastAsia="Calibri" w:hAnsi="Trebuchet MS" w:cs="Times New Roman"/>
        </w:rPr>
      </w:pPr>
      <w:r w:rsidRPr="00E11E07">
        <w:rPr>
          <w:rFonts w:ascii="Trebuchet MS" w:eastAsia="Calibri" w:hAnsi="Trebuchet MS" w:cs="Times New Roman"/>
        </w:rPr>
        <w:t>În vedere asigurării securității, siguranței în exploatare, a eficienței operaționale și pentru protecția investiției pe termen lung, prin prezenta documentație este propusă realizarea unei împrejmuiri perimetrale terenului pe suprafața căruia se va realiza obiectivul de investiții.</w:t>
      </w:r>
    </w:p>
    <w:p w:rsidR="00A21C82" w:rsidRDefault="00A21C82" w:rsidP="00DE70AF">
      <w:pPr>
        <w:spacing w:after="0"/>
        <w:jc w:val="both"/>
        <w:rPr>
          <w:rFonts w:ascii="Trebuchet MS" w:eastAsia="Calibri" w:hAnsi="Trebuchet MS" w:cs="Times New Roman"/>
          <w:b/>
        </w:rPr>
      </w:pPr>
      <w:r>
        <w:rPr>
          <w:rFonts w:ascii="Trebuchet MS" w:eastAsia="Calibri" w:hAnsi="Trebuchet MS" w:cs="Times New Roman"/>
        </w:rPr>
        <w:tab/>
      </w:r>
      <w:r>
        <w:rPr>
          <w:rFonts w:ascii="Trebuchet MS" w:eastAsia="Calibri" w:hAnsi="Trebuchet MS" w:cs="Times New Roman"/>
        </w:rPr>
        <w:tab/>
      </w:r>
      <w:r w:rsidR="00FD7A88" w:rsidRPr="00FD7A88">
        <w:rPr>
          <w:rFonts w:ascii="Trebuchet MS" w:eastAsia="Calibri" w:hAnsi="Trebuchet MS" w:cs="Times New Roman"/>
          <w:b/>
        </w:rPr>
        <w:t>Cabină poartă – construcție ușoară prefabricată</w:t>
      </w:r>
      <w:r w:rsidRPr="00E11E07">
        <w:rPr>
          <w:rFonts w:ascii="Trebuchet MS" w:eastAsia="Calibri" w:hAnsi="Trebuchet MS" w:cs="Times New Roman"/>
          <w:b/>
        </w:rPr>
        <w:tab/>
      </w:r>
    </w:p>
    <w:p w:rsidR="00FD7A88" w:rsidRPr="00FD7A88" w:rsidRDefault="00FD7A88" w:rsidP="00FD7A88">
      <w:pPr>
        <w:spacing w:after="0"/>
        <w:ind w:left="708" w:firstLine="708"/>
        <w:jc w:val="both"/>
        <w:rPr>
          <w:rFonts w:ascii="Trebuchet MS" w:eastAsia="Calibri" w:hAnsi="Trebuchet MS" w:cs="Times New Roman"/>
        </w:rPr>
      </w:pPr>
      <w:r w:rsidRPr="00FD7A88">
        <w:rPr>
          <w:rFonts w:ascii="Trebuchet MS" w:eastAsia="Calibri" w:hAnsi="Trebuchet MS" w:cs="Times New Roman"/>
        </w:rPr>
        <w:t>Construcție modulară ușoară prefabricată din PVC amplasată direct pe sol, fără sistem propriu de fundare.</w:t>
      </w:r>
    </w:p>
    <w:p w:rsidR="00FD7A88" w:rsidRPr="00FD7A88" w:rsidRDefault="00FD7A88" w:rsidP="00FD7A88">
      <w:pPr>
        <w:spacing w:after="0"/>
        <w:ind w:left="708" w:firstLine="708"/>
        <w:jc w:val="both"/>
        <w:rPr>
          <w:rFonts w:ascii="Trebuchet MS" w:eastAsia="Calibri" w:hAnsi="Trebuchet MS" w:cs="Times New Roman"/>
        </w:rPr>
      </w:pPr>
      <w:r w:rsidRPr="00FD7A88">
        <w:rPr>
          <w:rFonts w:ascii="Trebuchet MS" w:eastAsia="Calibri" w:hAnsi="Trebuchet MS" w:cs="Times New Roman"/>
        </w:rPr>
        <w:t>Dimensiuni m</w:t>
      </w:r>
      <w:r>
        <w:rPr>
          <w:rFonts w:ascii="Trebuchet MS" w:eastAsia="Calibri" w:hAnsi="Trebuchet MS" w:cs="Times New Roman"/>
        </w:rPr>
        <w:t>aximale în plan</w:t>
      </w:r>
      <w:r w:rsidRPr="00FD7A88">
        <w:rPr>
          <w:rFonts w:ascii="Trebuchet MS" w:eastAsia="Calibri" w:hAnsi="Trebuchet MS" w:cs="Times New Roman"/>
        </w:rPr>
        <w:t>: 2,00 x 2,00 m</w:t>
      </w:r>
      <w:r w:rsidR="00027914">
        <w:rPr>
          <w:rFonts w:ascii="Trebuchet MS" w:eastAsia="Calibri" w:hAnsi="Trebuchet MS" w:cs="Times New Roman"/>
        </w:rPr>
        <w:t>;</w:t>
      </w:r>
    </w:p>
    <w:p w:rsidR="00FD7A88" w:rsidRPr="00FD7A88" w:rsidRDefault="00FD7A88" w:rsidP="00FD7A88">
      <w:pPr>
        <w:spacing w:after="0"/>
        <w:ind w:left="708" w:firstLine="708"/>
        <w:jc w:val="both"/>
        <w:rPr>
          <w:rFonts w:ascii="Trebuchet MS" w:eastAsia="Calibri" w:hAnsi="Trebuchet MS" w:cs="Times New Roman"/>
        </w:rPr>
      </w:pPr>
      <w:r>
        <w:rPr>
          <w:rFonts w:ascii="Trebuchet MS" w:eastAsia="Calibri" w:hAnsi="Trebuchet MS" w:cs="Times New Roman"/>
        </w:rPr>
        <w:t>Înălțime maximă</w:t>
      </w:r>
      <w:r w:rsidRPr="00FD7A88">
        <w:rPr>
          <w:rFonts w:ascii="Trebuchet MS" w:eastAsia="Calibri" w:hAnsi="Trebuchet MS" w:cs="Times New Roman"/>
        </w:rPr>
        <w:t>: 3,00 m de la CTN</w:t>
      </w:r>
      <w:r w:rsidR="00027914">
        <w:rPr>
          <w:rFonts w:ascii="Trebuchet MS" w:eastAsia="Calibri" w:hAnsi="Trebuchet MS" w:cs="Times New Roman"/>
        </w:rPr>
        <w:t>;</w:t>
      </w:r>
    </w:p>
    <w:p w:rsidR="00FD7A88" w:rsidRPr="00FD7A88" w:rsidRDefault="00FD7A88" w:rsidP="00FD7A88">
      <w:pPr>
        <w:spacing w:after="0"/>
        <w:ind w:left="708" w:firstLine="708"/>
        <w:jc w:val="both"/>
        <w:rPr>
          <w:rFonts w:ascii="Trebuchet MS" w:eastAsia="Calibri" w:hAnsi="Trebuchet MS" w:cs="Times New Roman"/>
        </w:rPr>
      </w:pPr>
      <w:r>
        <w:rPr>
          <w:rFonts w:ascii="Trebuchet MS" w:eastAsia="Calibri" w:hAnsi="Trebuchet MS" w:cs="Times New Roman"/>
        </w:rPr>
        <w:t>Regim de înălțime</w:t>
      </w:r>
      <w:r w:rsidRPr="00FD7A88">
        <w:rPr>
          <w:rFonts w:ascii="Trebuchet MS" w:eastAsia="Calibri" w:hAnsi="Trebuchet MS" w:cs="Times New Roman"/>
        </w:rPr>
        <w:t>: PARTER</w:t>
      </w:r>
      <w:r w:rsidR="00027914">
        <w:rPr>
          <w:rFonts w:ascii="Trebuchet MS" w:eastAsia="Calibri" w:hAnsi="Trebuchet MS" w:cs="Times New Roman"/>
        </w:rPr>
        <w:t>;</w:t>
      </w:r>
    </w:p>
    <w:p w:rsidR="00FD7A88" w:rsidRPr="00027914" w:rsidRDefault="00FD7A88" w:rsidP="00FD7A88">
      <w:pPr>
        <w:spacing w:after="0"/>
        <w:ind w:left="708" w:firstLine="708"/>
        <w:jc w:val="both"/>
        <w:rPr>
          <w:rFonts w:ascii="Trebuchet MS" w:eastAsia="Calibri" w:hAnsi="Trebuchet MS" w:cs="Times New Roman"/>
        </w:rPr>
      </w:pPr>
      <w:r>
        <w:rPr>
          <w:rFonts w:ascii="Trebuchet MS" w:eastAsia="Calibri" w:hAnsi="Trebuchet MS" w:cs="Times New Roman"/>
        </w:rPr>
        <w:t>Suprafață maximă: 4,00 m</w:t>
      </w:r>
      <w:r>
        <w:rPr>
          <w:rFonts w:ascii="Trebuchet MS" w:eastAsia="Calibri" w:hAnsi="Trebuchet MS" w:cs="Times New Roman"/>
          <w:vertAlign w:val="superscript"/>
        </w:rPr>
        <w:t>2</w:t>
      </w:r>
      <w:r w:rsidR="00027914">
        <w:rPr>
          <w:rFonts w:ascii="Trebuchet MS" w:eastAsia="Calibri" w:hAnsi="Trebuchet MS" w:cs="Times New Roman"/>
        </w:rPr>
        <w:t>;</w:t>
      </w:r>
    </w:p>
    <w:p w:rsidR="003039D2" w:rsidRDefault="000143CE" w:rsidP="00FD7A88">
      <w:pPr>
        <w:spacing w:after="0"/>
        <w:ind w:left="708" w:firstLine="708"/>
        <w:jc w:val="both"/>
        <w:rPr>
          <w:rFonts w:ascii="Trebuchet MS" w:eastAsia="Calibri" w:hAnsi="Trebuchet MS" w:cs="Times New Roman"/>
          <w:b/>
        </w:rPr>
      </w:pPr>
      <w:r w:rsidRPr="000143CE">
        <w:rPr>
          <w:rFonts w:ascii="Trebuchet MS" w:eastAsia="Calibri" w:hAnsi="Trebuchet MS" w:cs="Times New Roman"/>
          <w:b/>
        </w:rPr>
        <w:t>Toaletă ecologică – construcție ușoară prefabricată</w:t>
      </w:r>
    </w:p>
    <w:p w:rsidR="000143CE" w:rsidRPr="000143CE" w:rsidRDefault="000143CE" w:rsidP="000143CE">
      <w:pPr>
        <w:spacing w:after="0"/>
        <w:ind w:left="708" w:firstLine="708"/>
        <w:jc w:val="both"/>
        <w:rPr>
          <w:rFonts w:ascii="Trebuchet MS" w:eastAsia="Calibri" w:hAnsi="Trebuchet MS" w:cs="Times New Roman"/>
        </w:rPr>
      </w:pPr>
      <w:r w:rsidRPr="000143CE">
        <w:rPr>
          <w:rFonts w:ascii="Trebuchet MS" w:eastAsia="Calibri" w:hAnsi="Trebuchet MS" w:cs="Times New Roman"/>
        </w:rPr>
        <w:t>Construcție modulară ușoară prefabricată din PVC amplasată direct pe sol, fără sistem propriu de fundare.</w:t>
      </w:r>
    </w:p>
    <w:p w:rsidR="000143CE" w:rsidRPr="000143CE" w:rsidRDefault="000143CE" w:rsidP="000143CE">
      <w:pPr>
        <w:spacing w:after="0"/>
        <w:ind w:left="708" w:firstLine="708"/>
        <w:jc w:val="both"/>
        <w:rPr>
          <w:rFonts w:ascii="Trebuchet MS" w:eastAsia="Calibri" w:hAnsi="Trebuchet MS" w:cs="Times New Roman"/>
        </w:rPr>
      </w:pPr>
      <w:r>
        <w:rPr>
          <w:rFonts w:ascii="Trebuchet MS" w:eastAsia="Calibri" w:hAnsi="Trebuchet MS" w:cs="Times New Roman"/>
        </w:rPr>
        <w:t>Dimensiuni maximale în plan</w:t>
      </w:r>
      <w:r w:rsidRPr="000143CE">
        <w:rPr>
          <w:rFonts w:ascii="Trebuchet MS" w:eastAsia="Calibri" w:hAnsi="Trebuchet MS" w:cs="Times New Roman"/>
        </w:rPr>
        <w:t>: 2,00 x 2,00 m</w:t>
      </w:r>
      <w:r>
        <w:rPr>
          <w:rFonts w:ascii="Trebuchet MS" w:eastAsia="Calibri" w:hAnsi="Trebuchet MS" w:cs="Times New Roman"/>
        </w:rPr>
        <w:t>;</w:t>
      </w:r>
    </w:p>
    <w:p w:rsidR="000143CE" w:rsidRPr="000143CE" w:rsidRDefault="000143CE" w:rsidP="000143CE">
      <w:pPr>
        <w:spacing w:after="0"/>
        <w:ind w:left="708" w:firstLine="708"/>
        <w:jc w:val="both"/>
        <w:rPr>
          <w:rFonts w:ascii="Trebuchet MS" w:eastAsia="Calibri" w:hAnsi="Trebuchet MS" w:cs="Times New Roman"/>
        </w:rPr>
      </w:pPr>
      <w:r>
        <w:rPr>
          <w:rFonts w:ascii="Trebuchet MS" w:eastAsia="Calibri" w:hAnsi="Trebuchet MS" w:cs="Times New Roman"/>
        </w:rPr>
        <w:t>Înălțime maximă</w:t>
      </w:r>
      <w:r w:rsidRPr="000143CE">
        <w:rPr>
          <w:rFonts w:ascii="Trebuchet MS" w:eastAsia="Calibri" w:hAnsi="Trebuchet MS" w:cs="Times New Roman"/>
        </w:rPr>
        <w:t>: 3,00 m de la CTN</w:t>
      </w:r>
      <w:r>
        <w:rPr>
          <w:rFonts w:ascii="Trebuchet MS" w:eastAsia="Calibri" w:hAnsi="Trebuchet MS" w:cs="Times New Roman"/>
        </w:rPr>
        <w:t>;</w:t>
      </w:r>
    </w:p>
    <w:p w:rsidR="000143CE" w:rsidRPr="000143CE" w:rsidRDefault="000143CE" w:rsidP="000143CE">
      <w:pPr>
        <w:spacing w:after="0"/>
        <w:ind w:left="708" w:firstLine="708"/>
        <w:jc w:val="both"/>
        <w:rPr>
          <w:rFonts w:ascii="Trebuchet MS" w:eastAsia="Calibri" w:hAnsi="Trebuchet MS" w:cs="Times New Roman"/>
        </w:rPr>
      </w:pPr>
      <w:r>
        <w:rPr>
          <w:rFonts w:ascii="Trebuchet MS" w:eastAsia="Calibri" w:hAnsi="Trebuchet MS" w:cs="Times New Roman"/>
        </w:rPr>
        <w:t>Regim de înălțime</w:t>
      </w:r>
      <w:r w:rsidRPr="000143CE">
        <w:rPr>
          <w:rFonts w:ascii="Trebuchet MS" w:eastAsia="Calibri" w:hAnsi="Trebuchet MS" w:cs="Times New Roman"/>
        </w:rPr>
        <w:t>: PARTER</w:t>
      </w:r>
      <w:r>
        <w:rPr>
          <w:rFonts w:ascii="Trebuchet MS" w:eastAsia="Calibri" w:hAnsi="Trebuchet MS" w:cs="Times New Roman"/>
        </w:rPr>
        <w:t>;</w:t>
      </w:r>
    </w:p>
    <w:p w:rsidR="000143CE" w:rsidRDefault="000143CE" w:rsidP="000143CE">
      <w:pPr>
        <w:spacing w:after="0"/>
        <w:ind w:left="708" w:firstLine="708"/>
        <w:jc w:val="both"/>
        <w:rPr>
          <w:rFonts w:ascii="Trebuchet MS" w:eastAsia="Calibri" w:hAnsi="Trebuchet MS" w:cs="Times New Roman"/>
        </w:rPr>
      </w:pPr>
      <w:r>
        <w:rPr>
          <w:rFonts w:ascii="Trebuchet MS" w:eastAsia="Calibri" w:hAnsi="Trebuchet MS" w:cs="Times New Roman"/>
        </w:rPr>
        <w:t>Suprafață maximă: 4,00 m</w:t>
      </w:r>
      <w:r>
        <w:rPr>
          <w:rFonts w:ascii="Trebuchet MS" w:eastAsia="Calibri" w:hAnsi="Trebuchet MS" w:cs="Times New Roman"/>
          <w:vertAlign w:val="superscript"/>
        </w:rPr>
        <w:t>2</w:t>
      </w:r>
      <w:r>
        <w:rPr>
          <w:rFonts w:ascii="Trebuchet MS" w:eastAsia="Calibri" w:hAnsi="Trebuchet MS" w:cs="Times New Roman"/>
        </w:rPr>
        <w:t>;</w:t>
      </w:r>
    </w:p>
    <w:p w:rsidR="00156F7D" w:rsidRDefault="00156F7D" w:rsidP="000143CE">
      <w:pPr>
        <w:spacing w:after="0"/>
        <w:ind w:left="708" w:firstLine="708"/>
        <w:jc w:val="both"/>
        <w:rPr>
          <w:rFonts w:ascii="Trebuchet MS" w:eastAsia="Calibri" w:hAnsi="Trebuchet MS" w:cs="Times New Roman"/>
        </w:rPr>
      </w:pPr>
      <w:r w:rsidRPr="00156F7D">
        <w:rPr>
          <w:rFonts w:ascii="Trebuchet MS" w:eastAsia="Calibri" w:hAnsi="Trebuchet MS" w:cs="Times New Roman"/>
        </w:rPr>
        <w:t>Colectează apele menajere uzate într-un bazin etanș integrat construcției. Vidanjare periodică în funcție de necesități.</w:t>
      </w:r>
    </w:p>
    <w:p w:rsidR="00156F7D" w:rsidRDefault="00156F7D" w:rsidP="000143CE">
      <w:pPr>
        <w:spacing w:after="0"/>
        <w:ind w:left="708" w:firstLine="708"/>
        <w:jc w:val="both"/>
        <w:rPr>
          <w:rFonts w:ascii="Trebuchet MS" w:eastAsia="Calibri" w:hAnsi="Trebuchet MS" w:cs="Times New Roman"/>
          <w:b/>
        </w:rPr>
      </w:pPr>
      <w:r w:rsidRPr="00156F7D">
        <w:rPr>
          <w:rFonts w:ascii="Trebuchet MS" w:eastAsia="Calibri" w:hAnsi="Trebuchet MS" w:cs="Times New Roman"/>
          <w:b/>
        </w:rPr>
        <w:t>Alei rutiere interioare</w:t>
      </w:r>
    </w:p>
    <w:p w:rsidR="00156F7D" w:rsidRDefault="00156F7D" w:rsidP="000143CE">
      <w:pPr>
        <w:spacing w:after="0"/>
        <w:ind w:left="708" w:firstLine="708"/>
        <w:jc w:val="both"/>
        <w:rPr>
          <w:rFonts w:ascii="Trebuchet MS" w:eastAsia="Calibri" w:hAnsi="Trebuchet MS" w:cs="Times New Roman"/>
        </w:rPr>
      </w:pPr>
      <w:r w:rsidRPr="00156F7D">
        <w:rPr>
          <w:rFonts w:ascii="Trebuchet MS" w:eastAsia="Calibri" w:hAnsi="Trebuchet MS" w:cs="Times New Roman"/>
        </w:rPr>
        <w:t xml:space="preserve">Alei rutiere în propria incintă alcătuite din 10 cm strat de macadam (sau similar), 20 cm strat superior de fundație din piatră spartă, 30 cm strat inferior de fundație din balast, </w:t>
      </w:r>
      <w:r w:rsidRPr="00156F7D">
        <w:rPr>
          <w:rFonts w:ascii="Trebuchet MS" w:eastAsia="Calibri" w:hAnsi="Trebuchet MS" w:cs="Times New Roman"/>
        </w:rPr>
        <w:lastRenderedPageBreak/>
        <w:t>15 cm strat de forma din balast. (în funcție de sarcina tehnologică impusă, grosimea și materialele structurii propuse pot să varieze).</w:t>
      </w:r>
    </w:p>
    <w:p w:rsidR="00156F7D" w:rsidRPr="00156F7D" w:rsidRDefault="00156F7D" w:rsidP="00B16439">
      <w:pPr>
        <w:spacing w:after="0"/>
        <w:ind w:left="708" w:firstLine="708"/>
        <w:jc w:val="both"/>
        <w:rPr>
          <w:rFonts w:ascii="Trebuchet MS" w:eastAsia="Calibri" w:hAnsi="Trebuchet MS" w:cs="Times New Roman"/>
        </w:rPr>
      </w:pPr>
      <w:r w:rsidRPr="00156F7D">
        <w:rPr>
          <w:rFonts w:ascii="Trebuchet MS" w:eastAsia="Calibri" w:hAnsi="Trebuchet MS" w:cs="Times New Roman"/>
        </w:rPr>
        <w:t xml:space="preserve">Se vor asigura alei carosabile dispuse perimetral sistemelor fotovoltaice. Se va asigura o rază interioară de racord de minim 6,00 m. Se va amenaja un acces către drumul vicinal 450 cu o rază minimă de racord de 12,00 m. Profilul minim al aleilor carosabile va fi de 6,00 m, sarcina maximă de 7,5 tone iar viteza de proiectare </w:t>
      </w:r>
      <w:r w:rsidR="00B16439">
        <w:rPr>
          <w:rFonts w:ascii="Trebuchet MS" w:eastAsia="Calibri" w:hAnsi="Trebuchet MS" w:cs="Times New Roman"/>
        </w:rPr>
        <w:t>este cuprinsă între 20-30 km/h.</w:t>
      </w:r>
    </w:p>
    <w:p w:rsidR="00156F7D" w:rsidRPr="00156F7D" w:rsidRDefault="00156F7D" w:rsidP="00156F7D">
      <w:pPr>
        <w:spacing w:after="0"/>
        <w:ind w:left="708" w:firstLine="708"/>
        <w:jc w:val="both"/>
        <w:rPr>
          <w:rFonts w:ascii="Trebuchet MS" w:eastAsia="Calibri" w:hAnsi="Trebuchet MS" w:cs="Times New Roman"/>
        </w:rPr>
      </w:pPr>
      <w:r w:rsidRPr="00156F7D">
        <w:rPr>
          <w:rFonts w:ascii="Trebuchet MS" w:eastAsia="Calibri" w:hAnsi="Trebuchet MS" w:cs="Times New Roman"/>
        </w:rPr>
        <w:t>Pentru scurgerea apelor pluviale se va asigura o pantă transversală de minim 4%. Scurgerea apelor se va realiza prin pantele transversale și longitudinale către terenul natural.</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r w:rsidRPr="00ED52B6">
        <w:rPr>
          <w:rFonts w:ascii="Trebuchet MS" w:hAnsi="Trebuchet MS" w:cs="Times New Roman"/>
          <w:bCs/>
          <w:i/>
          <w:lang w:val="en-US"/>
        </w:rPr>
        <w:t>producţia de deşeuri</w:t>
      </w:r>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vor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r w:rsidRPr="00ED52B6">
        <w:rPr>
          <w:rFonts w:ascii="Trebuchet MS" w:hAnsi="Trebuchet MS" w:cs="Times New Roman"/>
          <w:bCs/>
          <w:i/>
          <w:lang w:val="en-US"/>
        </w:rPr>
        <w:t>emisiile poluante, inclusiv zgomotul şi alte surse de disconfort</w:t>
      </w:r>
      <w:r w:rsidRPr="00ED52B6">
        <w:rPr>
          <w:rFonts w:ascii="Trebuchet MS" w:hAnsi="Trebuchet MS" w:cs="Times New Roman"/>
          <w:bCs/>
          <w:lang w:val="en-US"/>
        </w:rPr>
        <w:t xml:space="preserve">: în perioada de execuţie, zgomotul va fi generat de utilajele </w:t>
      </w:r>
      <w:r w:rsidRPr="00ED52B6">
        <w:rPr>
          <w:rFonts w:ascii="Trebuchet MS" w:hAnsi="Trebuchet MS" w:cs="Times New Roman"/>
          <w:bCs/>
        </w:rPr>
        <w:t>ș</w:t>
      </w:r>
      <w:r w:rsidRPr="00ED52B6">
        <w:rPr>
          <w:rFonts w:ascii="Trebuchet MS" w:hAnsi="Trebuchet MS" w:cs="Times New Roman"/>
          <w:bCs/>
          <w:lang w:val="en-US"/>
        </w:rPr>
        <w:t xml:space="preserve">i mijloacele de transport; lucrările şi măsurile prevăzute în proiect nu vor afecta semnificativ factorii de mediu (aer, apă, sol, aşezări umane); </w:t>
      </w:r>
    </w:p>
    <w:p w:rsidR="007A6095" w:rsidRDefault="00CA2933" w:rsidP="00DE70AF">
      <w:pPr>
        <w:numPr>
          <w:ilvl w:val="0"/>
          <w:numId w:val="8"/>
        </w:numPr>
        <w:tabs>
          <w:tab w:val="left" w:pos="0"/>
        </w:tabs>
        <w:spacing w:after="0"/>
        <w:jc w:val="both"/>
        <w:rPr>
          <w:rFonts w:ascii="Trebuchet MS" w:hAnsi="Trebuchet MS" w:cs="Times New Roman"/>
          <w:bCs/>
          <w:lang w:val="en-US"/>
        </w:rPr>
      </w:pPr>
      <w:r w:rsidRPr="00ED52B6">
        <w:rPr>
          <w:rFonts w:ascii="Trebuchet MS" w:hAnsi="Trebuchet MS" w:cs="Times New Roman"/>
          <w:bCs/>
          <w:i/>
          <w:lang w:val="en-US"/>
        </w:rPr>
        <w:t>riscul de accident, ţinându-se seama în special de substanţele şi de tehnologiile utilizate</w:t>
      </w:r>
      <w:r w:rsidRPr="00ED52B6">
        <w:rPr>
          <w:rFonts w:ascii="Trebuchet MS" w:hAnsi="Trebuchet MS" w:cs="Times New Roman"/>
          <w:bCs/>
          <w:lang w:val="en-US"/>
        </w:rPr>
        <w:t>: nu este cazul;</w:t>
      </w:r>
    </w:p>
    <w:p w:rsidR="00580AAF" w:rsidRPr="00580AAF" w:rsidRDefault="00580AAF"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r w:rsidR="006334FC" w:rsidRPr="00ED52B6">
        <w:rPr>
          <w:rFonts w:ascii="Trebuchet MS" w:eastAsia="Times New Roman" w:hAnsi="Trebuchet MS" w:cs="Times New Roman"/>
          <w:bCs/>
          <w:lang w:val="fr-FR" w:eastAsia="ro-RO"/>
        </w:rPr>
        <w:t xml:space="preserve">erenul ce urmeaza a fi ocupat de lucrarile proiectate apartine in intregime domeniului public al </w:t>
      </w:r>
      <w:r w:rsidR="006273C9">
        <w:rPr>
          <w:rFonts w:ascii="Trebuchet MS" w:eastAsia="Times New Roman" w:hAnsi="Trebuchet MS" w:cs="Times New Roman"/>
          <w:bCs/>
          <w:lang w:val="fr-FR" w:eastAsia="ro-RO"/>
        </w:rPr>
        <w:t>comuna Cornatelu</w:t>
      </w:r>
      <w:r w:rsidR="00541A29" w:rsidRPr="00541A29">
        <w:rPr>
          <w:rFonts w:ascii="Trebuchet MS" w:eastAsia="Times New Roman" w:hAnsi="Trebuchet MS" w:cs="Times New Roman"/>
          <w:bCs/>
          <w:lang w:val="fr-FR" w:eastAsia="ro-RO"/>
        </w:rPr>
        <w:t>, judet Dambovita</w:t>
      </w:r>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3"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5"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6"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DF7BFD" w:rsidRPr="00ED52B6" w:rsidRDefault="00DF7BFD"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DE70AF">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xml:space="preserve">1986 - Protecţia împotriva zgomotului in </w:t>
      </w:r>
      <w:r w:rsidR="0033151D" w:rsidRPr="00ED52B6">
        <w:rPr>
          <w:rFonts w:ascii="Trebuchet MS" w:eastAsia="Times New Roman" w:hAnsi="Trebuchet MS" w:cs="Times New Roman"/>
          <w:lang w:eastAsia="ro-RO"/>
        </w:rPr>
        <w:lastRenderedPageBreak/>
        <w:t>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DE70AF">
      <w:pPr>
        <w:spacing w:after="0"/>
        <w:jc w:val="both"/>
        <w:rPr>
          <w:rFonts w:ascii="Trebuchet MS" w:eastAsia="Times New Roman" w:hAnsi="Trebuchet MS" w:cs="Times New Roman"/>
          <w:lang w:eastAsia="ro-RO"/>
        </w:rPr>
      </w:pPr>
      <w:bookmarkStart w:id="5" w:name="_GoBack"/>
      <w:bookmarkEnd w:id="5"/>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DE70AF">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DE70AF">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7B011E" w:rsidRPr="00ED52B6" w:rsidRDefault="007B011E" w:rsidP="00DE70AF">
      <w:pPr>
        <w:pStyle w:val="ListParagraph"/>
        <w:spacing w:after="0"/>
        <w:ind w:left="36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DE70AF">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Proiectul propus nu necesită parcurgerea celorlalte etape ale procedurilor de evaluare a impactului asupra mediului</w:t>
      </w:r>
      <w:r w:rsidR="00AF27F6" w:rsidRPr="00ED52B6">
        <w:rPr>
          <w:rFonts w:ascii="Trebuchet MS" w:eastAsia="Times New Roman" w:hAnsi="Trebuchet MS" w:cs="Times New Roman"/>
          <w:i/>
          <w:lang w:eastAsia="ro-RO"/>
        </w:rPr>
        <w:t xml:space="preserve"> </w:t>
      </w:r>
      <w:r w:rsidRPr="00ED52B6">
        <w:rPr>
          <w:rFonts w:ascii="Trebuchet MS" w:eastAsia="Times New Roman" w:hAnsi="Trebuchet MS" w:cs="Times New Roman"/>
          <w:i/>
          <w:lang w:eastAsia="ro-RO"/>
        </w:rPr>
        <w:t xml:space="preserve">,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B16439">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8"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Pr>
          <w:rFonts w:ascii="Trebuchet MS" w:hAnsi="Trebuchet MS" w:cs="Open Sans"/>
          <w:color w:val="000000"/>
          <w:shd w:val="clear" w:color="auto" w:fill="FFFFFF"/>
        </w:rPr>
        <w:t>Raluca PANTURU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2B" w:rsidRDefault="0028672B" w:rsidP="00EE5AEC">
      <w:pPr>
        <w:spacing w:after="0" w:line="240" w:lineRule="auto"/>
      </w:pPr>
      <w:r>
        <w:separator/>
      </w:r>
    </w:p>
  </w:endnote>
  <w:endnote w:type="continuationSeparator" w:id="0">
    <w:p w:rsidR="0028672B" w:rsidRDefault="0028672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042199">
      <w:rPr>
        <w:rFonts w:ascii="Trebuchet MS" w:eastAsia="Calibri" w:hAnsi="Trebuchet MS" w:cs="Open Sans"/>
        <w:b/>
        <w:bCs/>
        <w:noProof/>
        <w:color w:val="000000"/>
        <w:sz w:val="16"/>
        <w:szCs w:val="16"/>
      </w:rPr>
      <w:t>5</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042199">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2B" w:rsidRDefault="0028672B" w:rsidP="00EE5AEC">
      <w:pPr>
        <w:spacing w:after="0" w:line="240" w:lineRule="auto"/>
      </w:pPr>
      <w:r>
        <w:separator/>
      </w:r>
    </w:p>
  </w:footnote>
  <w:footnote w:type="continuationSeparator" w:id="0">
    <w:p w:rsidR="0028672B" w:rsidRDefault="0028672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6">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7">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0">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BB525D8"/>
    <w:multiLevelType w:val="hybridMultilevel"/>
    <w:tmpl w:val="2D544FC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18">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3">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4">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8"/>
  </w:num>
  <w:num w:numId="5">
    <w:abstractNumId w:val="23"/>
  </w:num>
  <w:num w:numId="6">
    <w:abstractNumId w:val="11"/>
  </w:num>
  <w:num w:numId="7">
    <w:abstractNumId w:val="12"/>
  </w:num>
  <w:num w:numId="8">
    <w:abstractNumId w:val="26"/>
  </w:num>
  <w:num w:numId="9">
    <w:abstractNumId w:val="22"/>
  </w:num>
  <w:num w:numId="10">
    <w:abstractNumId w:val="25"/>
  </w:num>
  <w:num w:numId="11">
    <w:abstractNumId w:val="1"/>
  </w:num>
  <w:num w:numId="12">
    <w:abstractNumId w:val="24"/>
  </w:num>
  <w:num w:numId="13">
    <w:abstractNumId w:val="16"/>
  </w:num>
  <w:num w:numId="14">
    <w:abstractNumId w:val="4"/>
  </w:num>
  <w:num w:numId="15">
    <w:abstractNumId w:val="6"/>
  </w:num>
  <w:num w:numId="16">
    <w:abstractNumId w:val="3"/>
  </w:num>
  <w:num w:numId="17">
    <w:abstractNumId w:val="10"/>
  </w:num>
  <w:num w:numId="18">
    <w:abstractNumId w:val="8"/>
  </w:num>
  <w:num w:numId="19">
    <w:abstractNumId w:val="15"/>
  </w:num>
  <w:num w:numId="20">
    <w:abstractNumId w:val="21"/>
  </w:num>
  <w:num w:numId="21">
    <w:abstractNumId w:val="13"/>
  </w:num>
  <w:num w:numId="22">
    <w:abstractNumId w:val="2"/>
  </w:num>
  <w:num w:numId="23">
    <w:abstractNumId w:val="27"/>
  </w:num>
  <w:num w:numId="24">
    <w:abstractNumId w:val="14"/>
  </w:num>
  <w:num w:numId="25">
    <w:abstractNumId w:val="7"/>
  </w:num>
  <w:num w:numId="26">
    <w:abstractNumId w:val="0"/>
  </w:num>
  <w:num w:numId="27">
    <w:abstractNumId w:val="20"/>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143CE"/>
    <w:rsid w:val="00024271"/>
    <w:rsid w:val="0002695F"/>
    <w:rsid w:val="00027914"/>
    <w:rsid w:val="00042199"/>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519"/>
    <w:rsid w:val="000B4C88"/>
    <w:rsid w:val="000D35A8"/>
    <w:rsid w:val="000D4CCF"/>
    <w:rsid w:val="000D5B20"/>
    <w:rsid w:val="000F0C76"/>
    <w:rsid w:val="000F1701"/>
    <w:rsid w:val="000F3979"/>
    <w:rsid w:val="00102243"/>
    <w:rsid w:val="0010563B"/>
    <w:rsid w:val="001057FC"/>
    <w:rsid w:val="0010775F"/>
    <w:rsid w:val="0011166F"/>
    <w:rsid w:val="00111EF9"/>
    <w:rsid w:val="00112B72"/>
    <w:rsid w:val="00112F21"/>
    <w:rsid w:val="00113809"/>
    <w:rsid w:val="00131653"/>
    <w:rsid w:val="00133ABB"/>
    <w:rsid w:val="001348C0"/>
    <w:rsid w:val="00144DDF"/>
    <w:rsid w:val="0015206B"/>
    <w:rsid w:val="001530E7"/>
    <w:rsid w:val="00156F7D"/>
    <w:rsid w:val="001571D2"/>
    <w:rsid w:val="001607A9"/>
    <w:rsid w:val="00165A7C"/>
    <w:rsid w:val="00166CED"/>
    <w:rsid w:val="00167D80"/>
    <w:rsid w:val="00171A29"/>
    <w:rsid w:val="0017239C"/>
    <w:rsid w:val="00172764"/>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E2A3C"/>
    <w:rsid w:val="001E678F"/>
    <w:rsid w:val="001E6F01"/>
    <w:rsid w:val="001F156D"/>
    <w:rsid w:val="001F193A"/>
    <w:rsid w:val="001F3350"/>
    <w:rsid w:val="001F3B49"/>
    <w:rsid w:val="001F65BD"/>
    <w:rsid w:val="001F734B"/>
    <w:rsid w:val="00202566"/>
    <w:rsid w:val="00205CC8"/>
    <w:rsid w:val="00206E99"/>
    <w:rsid w:val="00207D2B"/>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8672B"/>
    <w:rsid w:val="002A2566"/>
    <w:rsid w:val="002A47DB"/>
    <w:rsid w:val="002A507E"/>
    <w:rsid w:val="002A64A2"/>
    <w:rsid w:val="002B1B5B"/>
    <w:rsid w:val="002B3F54"/>
    <w:rsid w:val="002B5234"/>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3151D"/>
    <w:rsid w:val="00331B4E"/>
    <w:rsid w:val="00332E6C"/>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F5DAD"/>
    <w:rsid w:val="003F6FCD"/>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729C7"/>
    <w:rsid w:val="00473897"/>
    <w:rsid w:val="0047423B"/>
    <w:rsid w:val="004763A4"/>
    <w:rsid w:val="0048082B"/>
    <w:rsid w:val="00480977"/>
    <w:rsid w:val="004822CF"/>
    <w:rsid w:val="004877C0"/>
    <w:rsid w:val="00487FAC"/>
    <w:rsid w:val="004933C3"/>
    <w:rsid w:val="004934B0"/>
    <w:rsid w:val="00493FC5"/>
    <w:rsid w:val="004A1535"/>
    <w:rsid w:val="004A1B57"/>
    <w:rsid w:val="004A3AB9"/>
    <w:rsid w:val="004A3FDA"/>
    <w:rsid w:val="004A41C4"/>
    <w:rsid w:val="004A7319"/>
    <w:rsid w:val="004B0846"/>
    <w:rsid w:val="004B6303"/>
    <w:rsid w:val="004D0950"/>
    <w:rsid w:val="004D0F38"/>
    <w:rsid w:val="004D4664"/>
    <w:rsid w:val="004D6F74"/>
    <w:rsid w:val="004E3435"/>
    <w:rsid w:val="004E3504"/>
    <w:rsid w:val="004F010B"/>
    <w:rsid w:val="004F2D2F"/>
    <w:rsid w:val="004F495D"/>
    <w:rsid w:val="00501B0D"/>
    <w:rsid w:val="005040F5"/>
    <w:rsid w:val="00504AC4"/>
    <w:rsid w:val="00504FC1"/>
    <w:rsid w:val="005073DA"/>
    <w:rsid w:val="00512E17"/>
    <w:rsid w:val="00517179"/>
    <w:rsid w:val="00525F68"/>
    <w:rsid w:val="0053048D"/>
    <w:rsid w:val="00530851"/>
    <w:rsid w:val="0053427C"/>
    <w:rsid w:val="00541A29"/>
    <w:rsid w:val="00550D45"/>
    <w:rsid w:val="00560600"/>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2E3"/>
    <w:rsid w:val="00593D2C"/>
    <w:rsid w:val="005941AF"/>
    <w:rsid w:val="00597A1E"/>
    <w:rsid w:val="005A0946"/>
    <w:rsid w:val="005A287E"/>
    <w:rsid w:val="005B5D8D"/>
    <w:rsid w:val="005C4353"/>
    <w:rsid w:val="005C580E"/>
    <w:rsid w:val="005C78EE"/>
    <w:rsid w:val="005D0F3F"/>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3C9"/>
    <w:rsid w:val="00627D92"/>
    <w:rsid w:val="006334FC"/>
    <w:rsid w:val="00633886"/>
    <w:rsid w:val="00640681"/>
    <w:rsid w:val="00640FAA"/>
    <w:rsid w:val="00641AB8"/>
    <w:rsid w:val="00644DD0"/>
    <w:rsid w:val="00653E23"/>
    <w:rsid w:val="006611F4"/>
    <w:rsid w:val="00663FBA"/>
    <w:rsid w:val="00664229"/>
    <w:rsid w:val="00667469"/>
    <w:rsid w:val="00672077"/>
    <w:rsid w:val="00674138"/>
    <w:rsid w:val="006756A3"/>
    <w:rsid w:val="00676DE5"/>
    <w:rsid w:val="00680B05"/>
    <w:rsid w:val="00685CCA"/>
    <w:rsid w:val="00687957"/>
    <w:rsid w:val="0069119C"/>
    <w:rsid w:val="006959BE"/>
    <w:rsid w:val="006A65D3"/>
    <w:rsid w:val="006B1B2F"/>
    <w:rsid w:val="006B5709"/>
    <w:rsid w:val="006C1483"/>
    <w:rsid w:val="006C1BA0"/>
    <w:rsid w:val="006C4237"/>
    <w:rsid w:val="006C6EDD"/>
    <w:rsid w:val="006C77D2"/>
    <w:rsid w:val="006D1701"/>
    <w:rsid w:val="006D34D2"/>
    <w:rsid w:val="006D7856"/>
    <w:rsid w:val="006E4755"/>
    <w:rsid w:val="006E5D45"/>
    <w:rsid w:val="006F065F"/>
    <w:rsid w:val="006F52A4"/>
    <w:rsid w:val="00701FD2"/>
    <w:rsid w:val="007053B6"/>
    <w:rsid w:val="007058A6"/>
    <w:rsid w:val="00711EDB"/>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D630E"/>
    <w:rsid w:val="007E1567"/>
    <w:rsid w:val="007E23C8"/>
    <w:rsid w:val="007F1F7B"/>
    <w:rsid w:val="007F257D"/>
    <w:rsid w:val="007F7A35"/>
    <w:rsid w:val="008108A4"/>
    <w:rsid w:val="00814580"/>
    <w:rsid w:val="00823E3F"/>
    <w:rsid w:val="0082429D"/>
    <w:rsid w:val="00826A19"/>
    <w:rsid w:val="00834097"/>
    <w:rsid w:val="008346AF"/>
    <w:rsid w:val="008362EC"/>
    <w:rsid w:val="00837B75"/>
    <w:rsid w:val="00843F15"/>
    <w:rsid w:val="00852BE9"/>
    <w:rsid w:val="008532F8"/>
    <w:rsid w:val="00864DF4"/>
    <w:rsid w:val="0086539D"/>
    <w:rsid w:val="00867524"/>
    <w:rsid w:val="00871F99"/>
    <w:rsid w:val="00877DB1"/>
    <w:rsid w:val="0088588D"/>
    <w:rsid w:val="00894ADF"/>
    <w:rsid w:val="008B210D"/>
    <w:rsid w:val="008B2F1A"/>
    <w:rsid w:val="008C37F2"/>
    <w:rsid w:val="008C47E7"/>
    <w:rsid w:val="008C70A7"/>
    <w:rsid w:val="008D2843"/>
    <w:rsid w:val="008E38AE"/>
    <w:rsid w:val="008E6D83"/>
    <w:rsid w:val="008F4632"/>
    <w:rsid w:val="00901F7A"/>
    <w:rsid w:val="00903099"/>
    <w:rsid w:val="0090723E"/>
    <w:rsid w:val="009106DC"/>
    <w:rsid w:val="00910A3E"/>
    <w:rsid w:val="00912F44"/>
    <w:rsid w:val="009167CA"/>
    <w:rsid w:val="00916C87"/>
    <w:rsid w:val="00917480"/>
    <w:rsid w:val="00937BE6"/>
    <w:rsid w:val="0094474A"/>
    <w:rsid w:val="00947D8F"/>
    <w:rsid w:val="00953668"/>
    <w:rsid w:val="0095407E"/>
    <w:rsid w:val="00955D6F"/>
    <w:rsid w:val="0096025F"/>
    <w:rsid w:val="0096248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6F72"/>
    <w:rsid w:val="00A07002"/>
    <w:rsid w:val="00A10BDF"/>
    <w:rsid w:val="00A130CC"/>
    <w:rsid w:val="00A160EB"/>
    <w:rsid w:val="00A2096D"/>
    <w:rsid w:val="00A21C82"/>
    <w:rsid w:val="00A25301"/>
    <w:rsid w:val="00A324BB"/>
    <w:rsid w:val="00A37252"/>
    <w:rsid w:val="00A375C1"/>
    <w:rsid w:val="00A5101E"/>
    <w:rsid w:val="00A51953"/>
    <w:rsid w:val="00A528BA"/>
    <w:rsid w:val="00A56D12"/>
    <w:rsid w:val="00A57600"/>
    <w:rsid w:val="00A6161A"/>
    <w:rsid w:val="00A62D3B"/>
    <w:rsid w:val="00A647D3"/>
    <w:rsid w:val="00A67E94"/>
    <w:rsid w:val="00A74ADB"/>
    <w:rsid w:val="00A751A0"/>
    <w:rsid w:val="00A76C08"/>
    <w:rsid w:val="00A77695"/>
    <w:rsid w:val="00A958A3"/>
    <w:rsid w:val="00A97314"/>
    <w:rsid w:val="00AA2114"/>
    <w:rsid w:val="00AA31AC"/>
    <w:rsid w:val="00AA65CD"/>
    <w:rsid w:val="00AB336F"/>
    <w:rsid w:val="00AB4990"/>
    <w:rsid w:val="00AC080D"/>
    <w:rsid w:val="00AC1774"/>
    <w:rsid w:val="00AD2F62"/>
    <w:rsid w:val="00AD4579"/>
    <w:rsid w:val="00AD5885"/>
    <w:rsid w:val="00AE0D80"/>
    <w:rsid w:val="00AE1F9C"/>
    <w:rsid w:val="00AE3DD4"/>
    <w:rsid w:val="00AF1CF7"/>
    <w:rsid w:val="00AF27F6"/>
    <w:rsid w:val="00AF359C"/>
    <w:rsid w:val="00AF736A"/>
    <w:rsid w:val="00B00305"/>
    <w:rsid w:val="00B04DAD"/>
    <w:rsid w:val="00B1370F"/>
    <w:rsid w:val="00B14AB8"/>
    <w:rsid w:val="00B16439"/>
    <w:rsid w:val="00B169FF"/>
    <w:rsid w:val="00B20154"/>
    <w:rsid w:val="00B22058"/>
    <w:rsid w:val="00B23621"/>
    <w:rsid w:val="00B23CFA"/>
    <w:rsid w:val="00B3398A"/>
    <w:rsid w:val="00B35ECB"/>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C025D0"/>
    <w:rsid w:val="00C12CB3"/>
    <w:rsid w:val="00C14094"/>
    <w:rsid w:val="00C15830"/>
    <w:rsid w:val="00C33455"/>
    <w:rsid w:val="00C352FC"/>
    <w:rsid w:val="00C354C7"/>
    <w:rsid w:val="00C359D3"/>
    <w:rsid w:val="00C36162"/>
    <w:rsid w:val="00C4188C"/>
    <w:rsid w:val="00C44F04"/>
    <w:rsid w:val="00C51029"/>
    <w:rsid w:val="00C52683"/>
    <w:rsid w:val="00C61E88"/>
    <w:rsid w:val="00C709A7"/>
    <w:rsid w:val="00C7247E"/>
    <w:rsid w:val="00C76160"/>
    <w:rsid w:val="00C761CC"/>
    <w:rsid w:val="00C80860"/>
    <w:rsid w:val="00C81601"/>
    <w:rsid w:val="00C81A3C"/>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6225"/>
    <w:rsid w:val="00CF6DC1"/>
    <w:rsid w:val="00D00C81"/>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A0F35"/>
    <w:rsid w:val="00DA28AC"/>
    <w:rsid w:val="00DA3AEA"/>
    <w:rsid w:val="00DA7DA8"/>
    <w:rsid w:val="00DB53AE"/>
    <w:rsid w:val="00DC6F82"/>
    <w:rsid w:val="00DD219F"/>
    <w:rsid w:val="00DE0186"/>
    <w:rsid w:val="00DE1950"/>
    <w:rsid w:val="00DE3A94"/>
    <w:rsid w:val="00DE70AF"/>
    <w:rsid w:val="00DF2AC4"/>
    <w:rsid w:val="00DF6C02"/>
    <w:rsid w:val="00DF7BFD"/>
    <w:rsid w:val="00E03E0B"/>
    <w:rsid w:val="00E0532A"/>
    <w:rsid w:val="00E10E22"/>
    <w:rsid w:val="00E11E07"/>
    <w:rsid w:val="00E12DC1"/>
    <w:rsid w:val="00E14E3B"/>
    <w:rsid w:val="00E30BED"/>
    <w:rsid w:val="00E321FE"/>
    <w:rsid w:val="00E33425"/>
    <w:rsid w:val="00E359ED"/>
    <w:rsid w:val="00E45F4C"/>
    <w:rsid w:val="00E462B8"/>
    <w:rsid w:val="00E46FCA"/>
    <w:rsid w:val="00E51181"/>
    <w:rsid w:val="00E51DE7"/>
    <w:rsid w:val="00E53CDC"/>
    <w:rsid w:val="00E55159"/>
    <w:rsid w:val="00E6529F"/>
    <w:rsid w:val="00E662D7"/>
    <w:rsid w:val="00E67AB2"/>
    <w:rsid w:val="00E733B5"/>
    <w:rsid w:val="00E86B96"/>
    <w:rsid w:val="00E86BE2"/>
    <w:rsid w:val="00E91709"/>
    <w:rsid w:val="00E92A88"/>
    <w:rsid w:val="00E95D21"/>
    <w:rsid w:val="00EA14F8"/>
    <w:rsid w:val="00EA3FF1"/>
    <w:rsid w:val="00EA42CB"/>
    <w:rsid w:val="00EA55C5"/>
    <w:rsid w:val="00EB4F82"/>
    <w:rsid w:val="00EC1028"/>
    <w:rsid w:val="00EC2E51"/>
    <w:rsid w:val="00EC3719"/>
    <w:rsid w:val="00EC4B1A"/>
    <w:rsid w:val="00EC66AB"/>
    <w:rsid w:val="00EC678F"/>
    <w:rsid w:val="00ED52B6"/>
    <w:rsid w:val="00ED5529"/>
    <w:rsid w:val="00ED6FA9"/>
    <w:rsid w:val="00EE3CE8"/>
    <w:rsid w:val="00EE4AB2"/>
    <w:rsid w:val="00EE5AEC"/>
    <w:rsid w:val="00EE7CB3"/>
    <w:rsid w:val="00EF064F"/>
    <w:rsid w:val="00EF2A52"/>
    <w:rsid w:val="00EF3E8D"/>
    <w:rsid w:val="00F0560A"/>
    <w:rsid w:val="00F065C7"/>
    <w:rsid w:val="00F07805"/>
    <w:rsid w:val="00F07933"/>
    <w:rsid w:val="00F160D0"/>
    <w:rsid w:val="00F17E0F"/>
    <w:rsid w:val="00F235D8"/>
    <w:rsid w:val="00F44AED"/>
    <w:rsid w:val="00F44C16"/>
    <w:rsid w:val="00F47500"/>
    <w:rsid w:val="00F5129D"/>
    <w:rsid w:val="00F52249"/>
    <w:rsid w:val="00F53EFD"/>
    <w:rsid w:val="00F57D05"/>
    <w:rsid w:val="00F64742"/>
    <w:rsid w:val="00F72054"/>
    <w:rsid w:val="00F724EB"/>
    <w:rsid w:val="00F768FE"/>
    <w:rsid w:val="00F800DB"/>
    <w:rsid w:val="00F8295F"/>
    <w:rsid w:val="00F837FB"/>
    <w:rsid w:val="00F86065"/>
    <w:rsid w:val="00F86A3F"/>
    <w:rsid w:val="00F91A4C"/>
    <w:rsid w:val="00F92715"/>
    <w:rsid w:val="00F978A2"/>
    <w:rsid w:val="00F978C3"/>
    <w:rsid w:val="00FA1095"/>
    <w:rsid w:val="00FA241F"/>
    <w:rsid w:val="00FA31F0"/>
    <w:rsid w:val="00FA7571"/>
    <w:rsid w:val="00FB05B7"/>
    <w:rsid w:val="00FB35EB"/>
    <w:rsid w:val="00FB3F01"/>
    <w:rsid w:val="00FD643D"/>
    <w:rsid w:val="00FD7A88"/>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03869.htm" TargetMode="Externa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4FB1-8F2B-4662-A2DD-383E6019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2685</Words>
  <Characters>15573</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2024-04-02T13:13:00Z</cp:lastPrinted>
  <dcterms:created xsi:type="dcterms:W3CDTF">2024-04-03T08:19:00Z</dcterms:created>
  <dcterms:modified xsi:type="dcterms:W3CDTF">2024-04-03T08:19:00Z</dcterms:modified>
</cp:coreProperties>
</file>