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val="ro-RO" w:eastAsia="ro-RO"/>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1905</wp:posOffset>
            </wp:positionV>
            <wp:extent cx="6848475" cy="801370"/>
            <wp:effectExtent l="0" t="0" r="0" b="0"/>
            <wp:wrapSquare wrapText="bothSides"/>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Pr="005933AB"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D6795A" w:rsidRPr="005933AB" w:rsidRDefault="00D6795A" w:rsidP="00562CB0">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62CB0">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486BA0">
        <w:rPr>
          <w:rFonts w:ascii="Trebuchet MS" w:eastAsia="Calibri" w:hAnsi="Trebuchet MS" w:cs="Times New Roman"/>
          <w:b/>
          <w:noProof/>
          <w:lang w:val="ro-RO"/>
        </w:rPr>
        <w:t>DRAFT</w:t>
      </w:r>
      <w:r w:rsidR="00F7452A">
        <w:rPr>
          <w:rFonts w:ascii="Trebuchet MS" w:eastAsia="Calibri" w:hAnsi="Trebuchet MS" w:cs="Times New Roman"/>
          <w:b/>
          <w:noProof/>
          <w:lang w:val="ro-RO"/>
        </w:rPr>
        <w:t xml:space="preserve"> </w:t>
      </w:r>
      <w:r w:rsidR="005933AB">
        <w:rPr>
          <w:rFonts w:ascii="Trebuchet MS" w:eastAsia="Calibri" w:hAnsi="Trebuchet MS" w:cs="Times New Roman"/>
          <w:b/>
          <w:noProof/>
          <w:lang w:val="ro-RO"/>
        </w:rPr>
        <w:t xml:space="preserve">din </w:t>
      </w:r>
      <w:r w:rsidR="00AA544C">
        <w:rPr>
          <w:rFonts w:ascii="Trebuchet MS" w:eastAsia="Calibri" w:hAnsi="Trebuchet MS" w:cs="Times New Roman"/>
          <w:b/>
          <w:noProof/>
          <w:lang w:val="ro-RO"/>
        </w:rPr>
        <w:t>18</w:t>
      </w:r>
      <w:r w:rsidR="00B57543">
        <w:rPr>
          <w:rFonts w:ascii="Trebuchet MS" w:eastAsia="Calibri" w:hAnsi="Trebuchet MS" w:cs="Times New Roman"/>
          <w:b/>
          <w:noProof/>
          <w:lang w:val="ro-RO"/>
        </w:rPr>
        <w:t>.</w:t>
      </w:r>
      <w:r w:rsidR="005933AB">
        <w:rPr>
          <w:rFonts w:ascii="Trebuchet MS" w:eastAsia="Calibri" w:hAnsi="Trebuchet MS" w:cs="Times New Roman"/>
          <w:b/>
          <w:noProof/>
          <w:lang w:val="ro-RO"/>
        </w:rPr>
        <w:t>0</w:t>
      </w:r>
      <w:r w:rsidR="00B57543">
        <w:rPr>
          <w:rFonts w:ascii="Trebuchet MS" w:eastAsia="Calibri" w:hAnsi="Trebuchet MS" w:cs="Times New Roman"/>
          <w:b/>
          <w:noProof/>
          <w:lang w:val="ro-RO"/>
        </w:rPr>
        <w:t>7.</w:t>
      </w:r>
      <w:r w:rsidR="005933AB">
        <w:rPr>
          <w:rFonts w:ascii="Trebuchet MS" w:eastAsia="Calibri" w:hAnsi="Trebuchet MS" w:cs="Times New Roman"/>
          <w:b/>
          <w:noProof/>
          <w:lang w:val="ro-RO"/>
        </w:rPr>
        <w:t>2024</w:t>
      </w:r>
    </w:p>
    <w:p w:rsidR="00711DB8" w:rsidRPr="005933AB" w:rsidRDefault="00711DB8" w:rsidP="00562CB0">
      <w:pPr>
        <w:spacing w:after="0" w:line="360" w:lineRule="auto"/>
        <w:ind w:right="108"/>
        <w:rPr>
          <w:rFonts w:ascii="Trebuchet MS" w:eastAsia="Calibri" w:hAnsi="Trebuchet MS" w:cs="Times New Roman"/>
          <w:noProof/>
          <w:lang w:val="ro-RO"/>
        </w:rPr>
      </w:pPr>
    </w:p>
    <w:p w:rsidR="00D6795A" w:rsidRPr="00562CB0" w:rsidRDefault="00D6795A" w:rsidP="00562CB0">
      <w:pPr>
        <w:autoSpaceDE w:val="0"/>
        <w:spacing w:after="0" w:line="360" w:lineRule="auto"/>
        <w:ind w:right="108" w:firstLine="567"/>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Ca urmare a solicitării de emitere a acordului de mediu adresate </w:t>
      </w:r>
      <w:r w:rsidR="00B57543">
        <w:rPr>
          <w:rFonts w:ascii="Trebuchet MS" w:eastAsia="Calibri" w:hAnsi="Trebuchet MS" w:cs="Times New Roman"/>
          <w:noProof/>
          <w:lang w:val="ro-RO"/>
        </w:rPr>
        <w:t xml:space="preserve">de </w:t>
      </w:r>
      <w:r w:rsidR="00486BA0">
        <w:rPr>
          <w:rFonts w:ascii="Trebuchet MS" w:eastAsia="Calibri" w:hAnsi="Trebuchet MS" w:cs="Times New Roman"/>
          <w:b/>
          <w:noProof/>
          <w:lang w:val="ro-RO"/>
        </w:rPr>
        <w:t>SABO ANCA pentru COMUNA FELEACU</w:t>
      </w:r>
      <w:r w:rsidR="005933AB" w:rsidRPr="00562CB0">
        <w:rPr>
          <w:rFonts w:ascii="Trebuchet MS" w:eastAsia="Calibri" w:hAnsi="Trebuchet MS" w:cs="Times New Roman"/>
          <w:b/>
          <w:spacing w:val="-4"/>
          <w:lang w:val="ro-RO"/>
        </w:rPr>
        <w:t xml:space="preserve">, </w:t>
      </w:r>
      <w:r w:rsidR="005933AB" w:rsidRPr="00562CB0">
        <w:rPr>
          <w:rFonts w:ascii="Trebuchet MS" w:eastAsia="Calibri" w:hAnsi="Trebuchet MS" w:cs="Times New Roman"/>
          <w:spacing w:val="-4"/>
          <w:lang w:val="ro-RO"/>
        </w:rPr>
        <w:t xml:space="preserve">cu sediul/domiciliul în </w:t>
      </w:r>
      <w:r w:rsidR="00486BA0">
        <w:rPr>
          <w:rFonts w:ascii="Trebuchet MS" w:hAnsi="Trebuchet MS"/>
          <w:szCs w:val="25"/>
          <w:lang w:val="ro-RO"/>
        </w:rPr>
        <w:t>comuna Feleacu, nr. 131</w:t>
      </w:r>
      <w:r w:rsidR="005933AB" w:rsidRPr="00562CB0">
        <w:rPr>
          <w:rFonts w:ascii="Trebuchet MS" w:eastAsia="Calibri" w:hAnsi="Trebuchet MS" w:cs="Times New Roman"/>
          <w:spacing w:val="-4"/>
          <w:lang w:val="ro-RO"/>
        </w:rPr>
        <w:t>, județul Cluj</w:t>
      </w:r>
      <w:r w:rsidR="00386BC1" w:rsidRPr="00562CB0">
        <w:rPr>
          <w:rFonts w:ascii="Trebuchet MS" w:hAnsi="Trebuchet MS" w:cs="Times New Roman"/>
          <w:noProof/>
          <w:lang w:val="ro-RO"/>
        </w:rPr>
        <w:t>,</w:t>
      </w:r>
      <w:r w:rsidR="008076E5" w:rsidRPr="00562CB0">
        <w:rPr>
          <w:rFonts w:ascii="Trebuchet MS" w:eastAsia="Calibri" w:hAnsi="Trebuchet MS" w:cs="Times New Roman"/>
          <w:noProof/>
          <w:lang w:val="ro-RO"/>
        </w:rPr>
        <w:t xml:space="preserve"> </w:t>
      </w:r>
      <w:r w:rsidRPr="00562CB0">
        <w:rPr>
          <w:rFonts w:ascii="Trebuchet MS" w:eastAsia="Calibri" w:hAnsi="Trebuchet MS" w:cs="Times New Roman"/>
          <w:noProof/>
          <w:lang w:val="ro-RO"/>
        </w:rPr>
        <w:t xml:space="preserve">înregistrată la APM Cluj </w:t>
      </w:r>
      <w:r w:rsidR="008076E5" w:rsidRPr="00562CB0">
        <w:rPr>
          <w:rFonts w:ascii="Trebuchet MS" w:hAnsi="Trebuchet MS" w:cs="Times New Roman"/>
          <w:noProof/>
          <w:lang w:val="ro-RO"/>
        </w:rPr>
        <w:t>cu nr.</w:t>
      </w:r>
      <w:r w:rsidR="00BF3242">
        <w:rPr>
          <w:rFonts w:ascii="Trebuchet MS" w:hAnsi="Trebuchet MS" w:cs="Times New Roman"/>
          <w:noProof/>
          <w:lang w:val="ro-RO"/>
        </w:rPr>
        <w:t xml:space="preserve"> </w:t>
      </w:r>
      <w:r w:rsidR="00BF3242">
        <w:rPr>
          <w:rFonts w:ascii="Trebuchet MS" w:hAnsi="Trebuchet MS"/>
          <w:szCs w:val="25"/>
          <w:lang w:val="ro-RO"/>
        </w:rPr>
        <w:t>5669/07</w:t>
      </w:r>
      <w:r w:rsidR="00B57543">
        <w:rPr>
          <w:rFonts w:ascii="Trebuchet MS" w:hAnsi="Trebuchet MS"/>
          <w:szCs w:val="25"/>
          <w:lang w:val="ro-RO"/>
        </w:rPr>
        <w:t>.0</w:t>
      </w:r>
      <w:r w:rsidR="00BF3242">
        <w:rPr>
          <w:rFonts w:ascii="Trebuchet MS" w:hAnsi="Trebuchet MS"/>
          <w:szCs w:val="25"/>
          <w:lang w:val="ro-RO"/>
        </w:rPr>
        <w:t>3</w:t>
      </w:r>
      <w:r w:rsidR="00562CB0">
        <w:rPr>
          <w:rFonts w:ascii="Trebuchet MS" w:hAnsi="Trebuchet MS"/>
          <w:szCs w:val="25"/>
          <w:lang w:val="ro-RO"/>
        </w:rPr>
        <w:t>.2024</w:t>
      </w:r>
      <w:r w:rsidR="00DC2CC4" w:rsidRPr="00562CB0">
        <w:rPr>
          <w:rFonts w:ascii="Trebuchet MS" w:eastAsia="Calibri" w:hAnsi="Trebuchet MS" w:cs="Times New Roman"/>
          <w:lang w:val="ro-RO"/>
        </w:rPr>
        <w:t>,</w:t>
      </w:r>
      <w:r w:rsidR="008076E5" w:rsidRPr="00562CB0">
        <w:rPr>
          <w:rFonts w:ascii="Trebuchet MS" w:hAnsi="Trebuchet MS" w:cs="Times New Roman"/>
          <w:noProof/>
          <w:lang w:val="ro-RO"/>
        </w:rPr>
        <w:t xml:space="preserve"> </w:t>
      </w:r>
      <w:r w:rsidRPr="00562CB0">
        <w:rPr>
          <w:rFonts w:ascii="Trebuchet MS" w:eastAsia="Calibri" w:hAnsi="Trebuchet MS" w:cs="Times New Roman"/>
          <w:noProof/>
          <w:lang w:val="ro-RO"/>
        </w:rPr>
        <w:t>în baza:</w:t>
      </w:r>
    </w:p>
    <w:p w:rsidR="00D6795A" w:rsidRPr="00562CB0" w:rsidRDefault="008076E5"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eastAsia="ro-RO"/>
        </w:rPr>
        <w:t>Legii nr. 292/2008</w:t>
      </w:r>
      <w:r w:rsidR="00D6795A" w:rsidRPr="00562CB0">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62CB0" w:rsidRDefault="00D6795A"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Ordonanţei de Urgenţă a Guvernului nr. 57/2007</w:t>
      </w:r>
      <w:r w:rsidRPr="00562CB0">
        <w:rPr>
          <w:rFonts w:ascii="Trebuchet MS" w:eastAsia="Calibri" w:hAnsi="Trebuchet MS" w:cs="Times New Roman"/>
          <w:noProof/>
          <w:lang w:val="ro-RO"/>
        </w:rPr>
        <w:t xml:space="preserve"> privind regimul ariilor naturale protejate, conservarea habitatelor naturale, a florei şi faunei s</w:t>
      </w:r>
      <w:r w:rsidRPr="00562CB0">
        <w:rPr>
          <w:rFonts w:ascii="Calibri" w:eastAsia="Calibri" w:hAnsi="Calibri" w:cs="Calibri"/>
          <w:noProof/>
          <w:lang w:val="ro-RO"/>
        </w:rPr>
        <w:t>ǎ</w:t>
      </w:r>
      <w:r w:rsidRPr="00562CB0">
        <w:rPr>
          <w:rFonts w:ascii="Trebuchet MS" w:eastAsia="Calibri" w:hAnsi="Trebuchet MS" w:cs="Times New Roman"/>
          <w:noProof/>
          <w:lang w:val="ro-RO"/>
        </w:rPr>
        <w:t>lbatice, aprobat</w:t>
      </w:r>
      <w:r w:rsidRPr="00562CB0">
        <w:rPr>
          <w:rFonts w:ascii="Trebuchet MS" w:eastAsia="Calibri" w:hAnsi="Trebuchet MS" w:cs="Trebuchet MS"/>
          <w:noProof/>
          <w:lang w:val="ro-RO"/>
        </w:rPr>
        <w:t>ă</w:t>
      </w:r>
      <w:r w:rsidRPr="00562CB0">
        <w:rPr>
          <w:rFonts w:ascii="Trebuchet MS" w:eastAsia="Calibri" w:hAnsi="Trebuchet MS" w:cs="Times New Roman"/>
          <w:noProof/>
          <w:lang w:val="ro-RO"/>
        </w:rPr>
        <w:t xml:space="preserve"> prin </w:t>
      </w:r>
      <w:r w:rsidRPr="00562CB0">
        <w:rPr>
          <w:rFonts w:ascii="Trebuchet MS" w:eastAsia="Calibri" w:hAnsi="Trebuchet MS" w:cs="Times New Roman"/>
          <w:b/>
          <w:noProof/>
          <w:lang w:val="ro-RO"/>
        </w:rPr>
        <w:t>Legea nr. 49/2011</w:t>
      </w:r>
      <w:r w:rsidRPr="00562CB0">
        <w:rPr>
          <w:rFonts w:ascii="Trebuchet MS" w:eastAsia="Calibri" w:hAnsi="Trebuchet MS" w:cs="Times New Roman"/>
          <w:noProof/>
          <w:lang w:val="ro-RO"/>
        </w:rPr>
        <w:t>,</w:t>
      </w:r>
      <w:r w:rsidR="008076E5" w:rsidRPr="00562CB0">
        <w:rPr>
          <w:rFonts w:ascii="Trebuchet MS" w:eastAsia="Calibri" w:hAnsi="Trebuchet MS" w:cs="Times New Roman"/>
          <w:noProof/>
          <w:lang w:val="ro-RO"/>
        </w:rPr>
        <w:t xml:space="preserve"> cu modific</w:t>
      </w:r>
      <w:r w:rsidR="00B42DD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w:t>
      </w:r>
      <w:r w:rsidR="00B42DD5" w:rsidRPr="00562CB0">
        <w:rPr>
          <w:rFonts w:ascii="Trebuchet MS" w:eastAsia="Calibri" w:hAnsi="Trebuchet MS" w:cs="Times New Roman"/>
          <w:noProof/>
          <w:lang w:val="ro-RO"/>
        </w:rPr>
        <w:t>ș</w:t>
      </w:r>
      <w:r w:rsidR="008076E5" w:rsidRPr="00562CB0">
        <w:rPr>
          <w:rFonts w:ascii="Trebuchet MS" w:eastAsia="Calibri" w:hAnsi="Trebuchet MS" w:cs="Times New Roman"/>
          <w:noProof/>
          <w:lang w:val="ro-RO"/>
        </w:rPr>
        <w:t>i complet</w:t>
      </w:r>
      <w:r w:rsidR="00F1724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ulterioare, </w:t>
      </w:r>
    </w:p>
    <w:p w:rsidR="005D6B61" w:rsidRPr="00562CB0" w:rsidRDefault="00DA03E4"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Prevederilor art.</w:t>
      </w:r>
      <w:r w:rsidR="00F17245" w:rsidRPr="00562CB0">
        <w:rPr>
          <w:rFonts w:ascii="Trebuchet MS" w:eastAsia="Calibri" w:hAnsi="Trebuchet MS" w:cs="Times New Roman"/>
          <w:b/>
          <w:noProof/>
          <w:lang w:val="ro-RO"/>
        </w:rPr>
        <w:t xml:space="preserve"> </w:t>
      </w:r>
      <w:r w:rsidRPr="00562CB0">
        <w:rPr>
          <w:rFonts w:ascii="Trebuchet MS" w:eastAsia="Calibri" w:hAnsi="Trebuchet MS" w:cs="Times New Roman"/>
          <w:b/>
          <w:noProof/>
          <w:lang w:val="ro-RO"/>
        </w:rPr>
        <w:t>48 din Legea apelor nr. 107/1996</w:t>
      </w:r>
      <w:r w:rsidRPr="00562CB0">
        <w:rPr>
          <w:rFonts w:ascii="Trebuchet MS" w:eastAsia="Calibri" w:hAnsi="Trebuchet MS" w:cs="Times New Roman"/>
          <w:noProof/>
          <w:lang w:val="ro-RO"/>
        </w:rPr>
        <w:t xml:space="preserve">, cu modificarile </w:t>
      </w:r>
      <w:r w:rsidR="005D6B61" w:rsidRPr="00562CB0">
        <w:rPr>
          <w:rFonts w:ascii="Trebuchet MS" w:eastAsia="Calibri" w:hAnsi="Trebuchet MS" w:cs="Times New Roman"/>
          <w:noProof/>
          <w:lang w:val="ro-RO"/>
        </w:rPr>
        <w:t>si completarile ulterioare;</w:t>
      </w:r>
    </w:p>
    <w:p w:rsidR="005F0A68" w:rsidRPr="00562CB0" w:rsidRDefault="005F0A68" w:rsidP="003F4BF6">
      <w:pPr>
        <w:autoSpaceDE w:val="0"/>
        <w:spacing w:after="0" w:line="240" w:lineRule="auto"/>
        <w:ind w:left="426" w:right="108"/>
        <w:jc w:val="both"/>
        <w:rPr>
          <w:rFonts w:ascii="Trebuchet MS" w:eastAsia="Calibri" w:hAnsi="Trebuchet MS" w:cs="Times New Roman"/>
          <w:noProof/>
          <w:lang w:val="ro-RO" w:eastAsia="ro-RO"/>
        </w:rPr>
      </w:pPr>
    </w:p>
    <w:p w:rsidR="00D6795A" w:rsidRPr="00562CB0" w:rsidRDefault="008076E5" w:rsidP="00562CB0">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562CB0">
        <w:rPr>
          <w:rFonts w:ascii="Trebuchet MS" w:eastAsia="Calibri" w:hAnsi="Trebuchet MS" w:cs="Times New Roman"/>
          <w:b/>
          <w:noProof/>
          <w:lang w:val="ro-RO"/>
        </w:rPr>
        <w:t>Agentia Pentru Protectia Mediului</w:t>
      </w:r>
      <w:r w:rsidR="00D6795A" w:rsidRPr="00562CB0">
        <w:rPr>
          <w:rFonts w:ascii="Trebuchet MS" w:eastAsia="Calibri" w:hAnsi="Trebuchet MS" w:cs="Times New Roman"/>
          <w:b/>
          <w:noProof/>
          <w:lang w:val="ro-RO"/>
        </w:rPr>
        <w:t xml:space="preserve"> Cluj decide</w:t>
      </w:r>
      <w:r w:rsidR="00D6795A" w:rsidRPr="00562CB0">
        <w:rPr>
          <w:rFonts w:ascii="Trebuchet MS" w:eastAsia="Calibri" w:hAnsi="Trebuchet MS" w:cs="Times New Roman"/>
          <w:noProof/>
          <w:lang w:val="ro-RO"/>
        </w:rPr>
        <w:t>, ca urmare</w:t>
      </w:r>
      <w:r w:rsidR="00DC2CC4" w:rsidRPr="00562CB0">
        <w:rPr>
          <w:rFonts w:ascii="Trebuchet MS" w:eastAsia="Calibri" w:hAnsi="Trebuchet MS" w:cs="Times New Roman"/>
          <w:noProof/>
          <w:lang w:val="ro-RO"/>
        </w:rPr>
        <w:t xml:space="preserve"> a completărilor depuse cu nr.</w:t>
      </w:r>
      <w:r w:rsidR="00562CB0">
        <w:rPr>
          <w:rFonts w:ascii="Trebuchet MS" w:eastAsia="Calibri" w:hAnsi="Trebuchet MS" w:cs="Times New Roman"/>
          <w:noProof/>
          <w:lang w:val="ro-RO"/>
        </w:rPr>
        <w:t xml:space="preserve"> </w:t>
      </w:r>
      <w:r w:rsidR="00BF3242">
        <w:rPr>
          <w:rFonts w:ascii="Trebuchet MS" w:eastAsia="Calibri" w:hAnsi="Trebuchet MS" w:cs="Times New Roman"/>
          <w:noProof/>
          <w:lang w:val="ro-RO"/>
        </w:rPr>
        <w:t xml:space="preserve">11157/14.05.2024, nr. 11086/13.05.2024, nr. 11394/16.05.2024, nr. 11359/16.05.2024, nr. 13087/05.06.2024, nr. 11662/21.05.2024, nr. 12078/27.05.2024, nr. 12063/27.05.2024, nr.12066/27.05.2024, nr. 15494/12.07.2024 și nr. 15773/17.07.2024 </w:t>
      </w:r>
      <w:r w:rsidR="00D65769" w:rsidRPr="00562CB0">
        <w:rPr>
          <w:rFonts w:ascii="Trebuchet MS" w:eastAsia="Calibri" w:hAnsi="Trebuchet MS" w:cs="Times New Roman"/>
          <w:noProof/>
          <w:lang w:val="ro-RO"/>
        </w:rPr>
        <w:t>și</w:t>
      </w:r>
      <w:r w:rsidR="00DC2CC4" w:rsidRPr="00562CB0">
        <w:rPr>
          <w:rFonts w:ascii="Trebuchet MS" w:eastAsia="Calibri" w:hAnsi="Trebuchet MS" w:cs="Times New Roman"/>
          <w:noProof/>
          <w:lang w:val="ro-RO"/>
        </w:rPr>
        <w:t xml:space="preserve"> </w:t>
      </w:r>
      <w:r w:rsidR="00D6795A" w:rsidRPr="00562CB0">
        <w:rPr>
          <w:rFonts w:ascii="Trebuchet MS" w:eastAsia="Calibri" w:hAnsi="Trebuchet MS" w:cs="Times New Roman"/>
          <w:noProof/>
          <w:lang w:val="ro-RO"/>
        </w:rPr>
        <w:t>a consultărilor desfăşurate în cadrul şedinţei Comisiei de Analiză Tehnică din</w:t>
      </w:r>
      <w:r w:rsidR="00DA03E4" w:rsidRPr="00562CB0">
        <w:rPr>
          <w:rFonts w:ascii="Trebuchet MS" w:eastAsia="Calibri" w:hAnsi="Trebuchet MS" w:cs="Times New Roman"/>
          <w:noProof/>
          <w:lang w:val="ro-RO"/>
        </w:rPr>
        <w:t xml:space="preserve"> data de </w:t>
      </w:r>
      <w:r w:rsidR="00BF3242">
        <w:rPr>
          <w:rFonts w:ascii="Trebuchet MS" w:eastAsia="Calibri" w:hAnsi="Trebuchet MS" w:cs="Times New Roman"/>
          <w:noProof/>
          <w:lang w:val="ro-RO"/>
        </w:rPr>
        <w:t>11</w:t>
      </w:r>
      <w:r w:rsidR="00B87420" w:rsidRPr="00562CB0">
        <w:rPr>
          <w:rFonts w:ascii="Trebuchet MS" w:eastAsia="Calibri" w:hAnsi="Trebuchet MS" w:cs="Times New Roman"/>
          <w:noProof/>
          <w:lang w:val="ro-RO"/>
        </w:rPr>
        <w:t>.0</w:t>
      </w:r>
      <w:r w:rsidR="00BF3242">
        <w:rPr>
          <w:rFonts w:ascii="Trebuchet MS" w:eastAsia="Calibri" w:hAnsi="Trebuchet MS" w:cs="Times New Roman"/>
          <w:noProof/>
          <w:lang w:val="ro-RO"/>
        </w:rPr>
        <w:t>6</w:t>
      </w:r>
      <w:r w:rsidR="005933AB" w:rsidRPr="00562CB0">
        <w:rPr>
          <w:rFonts w:ascii="Trebuchet MS" w:eastAsia="Calibri" w:hAnsi="Trebuchet MS" w:cs="Times New Roman"/>
          <w:noProof/>
          <w:lang w:val="ro-RO"/>
        </w:rPr>
        <w:t>.2024</w:t>
      </w:r>
      <w:r w:rsidR="003C5E58" w:rsidRPr="00562CB0">
        <w:rPr>
          <w:rFonts w:ascii="Trebuchet MS" w:eastAsia="Calibri" w:hAnsi="Trebuchet MS" w:cs="Times New Roman"/>
          <w:noProof/>
          <w:lang w:val="ro-RO"/>
        </w:rPr>
        <w:t>, că proiectul</w:t>
      </w:r>
      <w:r w:rsidR="00133568" w:rsidRPr="00562CB0">
        <w:rPr>
          <w:rFonts w:ascii="Trebuchet MS" w:hAnsi="Trebuchet MS" w:cs="Times New Roman"/>
          <w:b/>
          <w:i/>
          <w:noProof/>
          <w:lang w:val="ro-RO"/>
        </w:rPr>
        <w:t xml:space="preserve"> </w:t>
      </w:r>
      <w:r w:rsidR="00B57543">
        <w:rPr>
          <w:rFonts w:ascii="Trebuchet MS" w:hAnsi="Trebuchet MS"/>
          <w:b/>
          <w:i/>
          <w:lang w:val="ro-RO"/>
        </w:rPr>
        <w:t>„</w:t>
      </w:r>
      <w:r w:rsidR="00BF3242">
        <w:rPr>
          <w:rFonts w:ascii="Trebuchet MS" w:hAnsi="Trebuchet MS"/>
          <w:b/>
          <w:i/>
          <w:lang w:val="ro-RO"/>
        </w:rPr>
        <w:t>Extindere rețea de apă în localitatea Vâlcele</w:t>
      </w:r>
      <w:r w:rsidR="00B57543">
        <w:rPr>
          <w:rFonts w:ascii="Trebuchet MS" w:hAnsi="Trebuchet MS"/>
          <w:b/>
          <w:i/>
          <w:lang w:val="ro-RO"/>
        </w:rPr>
        <w:t xml:space="preserve">” </w:t>
      </w:r>
      <w:r w:rsidR="00F7452A" w:rsidRPr="00562CB0">
        <w:rPr>
          <w:rFonts w:ascii="Trebuchet MS" w:hAnsi="Trebuchet MS"/>
          <w:szCs w:val="25"/>
          <w:lang w:val="ro-RO"/>
        </w:rPr>
        <w:t xml:space="preserve">propus a fi amplasat în </w:t>
      </w:r>
      <w:r w:rsidR="00BF3242">
        <w:rPr>
          <w:rFonts w:ascii="Trebuchet MS" w:hAnsi="Trebuchet MS"/>
          <w:szCs w:val="24"/>
          <w:lang w:val="ro-RO"/>
        </w:rPr>
        <w:t>comuna Vâlcele, sat Vâlcele</w:t>
      </w:r>
      <w:r w:rsidR="00F7452A" w:rsidRPr="00562CB0">
        <w:rPr>
          <w:rFonts w:ascii="Trebuchet MS" w:hAnsi="Trebuchet MS"/>
          <w:szCs w:val="24"/>
          <w:lang w:val="ro-RO"/>
        </w:rPr>
        <w:t>, județul Cluj</w:t>
      </w:r>
      <w:r w:rsidRPr="00562CB0">
        <w:rPr>
          <w:rFonts w:ascii="Trebuchet MS" w:hAnsi="Trebuchet MS" w:cs="Times New Roman"/>
          <w:b/>
          <w:i/>
          <w:noProof/>
          <w:lang w:val="ro-RO"/>
        </w:rPr>
        <w:t>,</w:t>
      </w:r>
      <w:r w:rsidR="00DA03E4" w:rsidRPr="00562CB0">
        <w:rPr>
          <w:rFonts w:ascii="Trebuchet MS" w:hAnsi="Trebuchet MS" w:cs="Times New Roman"/>
          <w:noProof/>
          <w:lang w:val="ro-RO"/>
        </w:rPr>
        <w:t xml:space="preserve"> </w:t>
      </w:r>
      <w:r w:rsidR="00D6795A" w:rsidRPr="00562CB0">
        <w:rPr>
          <w:rFonts w:ascii="Trebuchet MS" w:eastAsia="Calibri" w:hAnsi="Trebuchet MS" w:cs="Times New Roman"/>
          <w:b/>
          <w:noProof/>
          <w:lang w:val="ro-RO"/>
        </w:rPr>
        <w:t>nu se supune evaluării impactului asupra mediului</w:t>
      </w:r>
      <w:r w:rsidR="00BF3242">
        <w:rPr>
          <w:rFonts w:ascii="Trebuchet MS" w:eastAsia="Calibri" w:hAnsi="Trebuchet MS" w:cs="Times New Roman"/>
          <w:b/>
          <w:noProof/>
          <w:lang w:val="ro-RO"/>
        </w:rPr>
        <w:t xml:space="preserve"> și nu se supune evaluării SEICA</w:t>
      </w:r>
      <w:r w:rsidR="00AC2E1B" w:rsidRPr="00562CB0">
        <w:rPr>
          <w:rFonts w:ascii="Trebuchet MS" w:eastAsia="Calibri" w:hAnsi="Trebuchet MS" w:cs="Times New Roman"/>
          <w:noProof/>
          <w:lang w:val="ro-RO"/>
        </w:rPr>
        <w:t>.</w:t>
      </w:r>
    </w:p>
    <w:p w:rsidR="000144DA" w:rsidRPr="00562CB0" w:rsidRDefault="000144DA" w:rsidP="003F4BF6">
      <w:pPr>
        <w:autoSpaceDE w:val="0"/>
        <w:autoSpaceDN w:val="0"/>
        <w:adjustRightInd w:val="0"/>
        <w:spacing w:after="0" w:line="240" w:lineRule="auto"/>
        <w:ind w:right="108"/>
        <w:jc w:val="both"/>
        <w:rPr>
          <w:rFonts w:ascii="Trebuchet MS" w:eastAsia="Calibri" w:hAnsi="Trebuchet MS" w:cs="Times New Roman"/>
          <w:noProof/>
          <w:lang w:val="ro-RO"/>
        </w:rPr>
      </w:pPr>
    </w:p>
    <w:p w:rsidR="00E41CEE" w:rsidRPr="00562CB0" w:rsidRDefault="00D6795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    </w:t>
      </w:r>
      <w:r w:rsidRPr="00562CB0">
        <w:rPr>
          <w:rFonts w:ascii="Trebuchet MS" w:eastAsia="Calibri" w:hAnsi="Trebuchet MS" w:cs="Times New Roman"/>
          <w:b/>
          <w:noProof/>
          <w:lang w:val="ro-RO"/>
        </w:rPr>
        <w:t>Justificarea prezentei decizii</w:t>
      </w:r>
      <w:r w:rsidRPr="00562CB0">
        <w:rPr>
          <w:rFonts w:ascii="Trebuchet MS" w:eastAsia="Calibri" w:hAnsi="Trebuchet MS" w:cs="Times New Roman"/>
          <w:noProof/>
          <w:lang w:val="ro-RO"/>
        </w:rPr>
        <w:t>:</w:t>
      </w:r>
    </w:p>
    <w:p w:rsidR="00E41CEE" w:rsidRPr="00562CB0" w:rsidRDefault="00E41CEE"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562CB0">
        <w:rPr>
          <w:rFonts w:ascii="Trebuchet MS" w:eastAsia="Calibri" w:hAnsi="Trebuchet MS" w:cs="Times New Roman"/>
          <w:b/>
          <w:noProof/>
          <w:lang w:val="ro-RO"/>
        </w:rPr>
        <w:t xml:space="preserve">I. Motivele pe baza carora s-a </w:t>
      </w:r>
      <w:r w:rsidR="00DC2C5C" w:rsidRPr="00562CB0">
        <w:rPr>
          <w:rFonts w:ascii="Trebuchet MS" w:eastAsia="Calibri" w:hAnsi="Trebuchet MS" w:cs="Times New Roman"/>
          <w:b/>
          <w:noProof/>
          <w:lang w:val="ro-RO"/>
        </w:rPr>
        <w:t>stabilit</w:t>
      </w:r>
      <w:r w:rsidRPr="00562CB0">
        <w:rPr>
          <w:rFonts w:ascii="Trebuchet MS" w:eastAsia="Calibri" w:hAnsi="Trebuchet MS" w:cs="Times New Roman"/>
          <w:b/>
          <w:noProof/>
          <w:lang w:val="ro-RO"/>
        </w:rPr>
        <w:t xml:space="preserve"> </w:t>
      </w:r>
      <w:r w:rsidR="00DC2C5C" w:rsidRPr="00562CB0">
        <w:rPr>
          <w:rFonts w:ascii="Trebuchet MS" w:eastAsia="Calibri" w:hAnsi="Trebuchet MS" w:cs="Times New Roman"/>
          <w:b/>
          <w:noProof/>
          <w:lang w:val="ro-RO"/>
        </w:rPr>
        <w:t xml:space="preserve">neefectuarea evaluarii impactului </w:t>
      </w:r>
      <w:r w:rsidRPr="00562CB0">
        <w:rPr>
          <w:rFonts w:ascii="Trebuchet MS" w:eastAsia="Calibri" w:hAnsi="Trebuchet MS" w:cs="Times New Roman"/>
          <w:b/>
          <w:noProof/>
          <w:lang w:val="ro-RO"/>
        </w:rPr>
        <w:t>asupra mediului:</w:t>
      </w:r>
    </w:p>
    <w:p w:rsidR="002E0121" w:rsidRPr="00562CB0" w:rsidRDefault="00DC2C5C" w:rsidP="00562CB0">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 xml:space="preserve">a) </w:t>
      </w:r>
      <w:r w:rsidR="00282B44" w:rsidRPr="00562CB0">
        <w:rPr>
          <w:rFonts w:ascii="Trebuchet MS" w:eastAsia="Times New Roman" w:hAnsi="Trebuchet MS" w:cs="Times New Roman"/>
          <w:noProof/>
          <w:lang w:val="ro-RO"/>
        </w:rPr>
        <w:t xml:space="preserve">proiectul </w:t>
      </w:r>
      <w:r w:rsidRPr="00562CB0">
        <w:rPr>
          <w:rFonts w:ascii="Trebuchet MS" w:eastAsia="Times New Roman" w:hAnsi="Trebuchet MS" w:cs="Times New Roman"/>
          <w:b/>
          <w:noProof/>
          <w:lang w:val="ro-RO"/>
        </w:rPr>
        <w:t>se incadreaza in prevederile</w:t>
      </w:r>
      <w:r w:rsidR="00282B44" w:rsidRPr="00562CB0">
        <w:rPr>
          <w:rFonts w:ascii="Trebuchet MS" w:eastAsia="Times New Roman" w:hAnsi="Trebuchet MS" w:cs="Times New Roman"/>
          <w:b/>
          <w:noProof/>
          <w:lang w:val="ro-RO"/>
        </w:rPr>
        <w:t xml:space="preserve"> Legii </w:t>
      </w:r>
      <w:r w:rsidR="00282B44" w:rsidRPr="00562CB0">
        <w:rPr>
          <w:rFonts w:ascii="Trebuchet MS" w:eastAsia="Times New Roman" w:hAnsi="Trebuchet MS" w:cs="Times New Roman"/>
          <w:b/>
          <w:noProof/>
          <w:u w:val="single"/>
          <w:lang w:val="ro-RO"/>
        </w:rPr>
        <w:t>nr. 292/2018</w:t>
      </w:r>
      <w:r w:rsidR="00282B44" w:rsidRPr="00562CB0">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62CB0">
        <w:rPr>
          <w:rFonts w:ascii="Trebuchet MS" w:eastAsia="Calibri" w:hAnsi="Trebuchet MS" w:cs="Times New Roman"/>
          <w:b/>
          <w:noProof/>
          <w:lang w:val="ro-RO"/>
        </w:rPr>
        <w:t xml:space="preserve"> </w:t>
      </w:r>
      <w:r w:rsidR="005436F4" w:rsidRPr="00562CB0">
        <w:rPr>
          <w:rFonts w:ascii="Trebuchet MS" w:hAnsi="Trebuchet MS" w:cs="Times New Roman"/>
          <w:b/>
          <w:lang w:val="ro-RO"/>
        </w:rPr>
        <w:t>1</w:t>
      </w:r>
      <w:r w:rsidR="00BF3242">
        <w:rPr>
          <w:rFonts w:ascii="Trebuchet MS" w:hAnsi="Trebuchet MS" w:cs="Times New Roman"/>
          <w:b/>
          <w:lang w:val="ro-RO"/>
        </w:rPr>
        <w:t>3</w:t>
      </w:r>
      <w:r w:rsidR="005436F4" w:rsidRPr="00562CB0">
        <w:rPr>
          <w:rFonts w:ascii="Trebuchet MS" w:hAnsi="Trebuchet MS" w:cs="Times New Roman"/>
          <w:b/>
          <w:lang w:val="ro-RO"/>
        </w:rPr>
        <w:t>.</w:t>
      </w:r>
      <w:r w:rsidR="00B87420" w:rsidRPr="00562CB0">
        <w:rPr>
          <w:rFonts w:ascii="Trebuchet MS" w:hAnsi="Trebuchet MS" w:cs="Times New Roman"/>
          <w:b/>
          <w:lang w:val="ro-RO"/>
        </w:rPr>
        <w:t xml:space="preserve"> </w:t>
      </w:r>
      <w:r w:rsidR="00BF3242">
        <w:rPr>
          <w:rFonts w:ascii="Trebuchet MS" w:hAnsi="Trebuchet MS" w:cs="Times New Roman"/>
          <w:b/>
          <w:lang w:val="ro-RO"/>
        </w:rPr>
        <w:t>a</w:t>
      </w:r>
      <w:r w:rsidR="00BA3F71" w:rsidRPr="00562CB0">
        <w:rPr>
          <w:rFonts w:ascii="Trebuchet MS" w:hAnsi="Trebuchet MS" w:cs="Times New Roman"/>
          <w:b/>
          <w:lang w:val="ro-RO"/>
        </w:rPr>
        <w:t>) „</w:t>
      </w:r>
      <w:r w:rsidR="00BF3242" w:rsidRPr="00BF3242">
        <w:rPr>
          <w:rFonts w:ascii="Trebuchet MS" w:hAnsi="Trebuchet MS" w:cs="Times New Roman"/>
          <w:b/>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562CB0">
        <w:rPr>
          <w:rFonts w:ascii="Trebuchet MS" w:hAnsi="Trebuchet MS" w:cs="Times New Roman"/>
          <w:b/>
          <w:i/>
          <w:lang w:val="ro-RO"/>
        </w:rPr>
        <w:t xml:space="preserve">”, </w:t>
      </w:r>
      <w:r w:rsidR="00282B44" w:rsidRPr="00562CB0">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562CB0" w:rsidRDefault="00DC2C5C" w:rsidP="00562CB0">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b)</w:t>
      </w:r>
      <w:r w:rsidR="00E44DC6" w:rsidRPr="00562CB0">
        <w:rPr>
          <w:rFonts w:ascii="Trebuchet MS" w:eastAsia="Times New Roman" w:hAnsi="Trebuchet MS" w:cs="Times New Roman"/>
          <w:noProof/>
          <w:lang w:val="ro-RO"/>
        </w:rPr>
        <w:t xml:space="preserve"> </w:t>
      </w:r>
      <w:r w:rsidR="002E0121" w:rsidRPr="00562CB0">
        <w:rPr>
          <w:rFonts w:ascii="Trebuchet MS" w:eastAsia="Times New Roman" w:hAnsi="Trebuchet MS" w:cs="Times New Roman"/>
          <w:noProof/>
          <w:lang w:val="ro-RO"/>
        </w:rPr>
        <w:t>Proiectul se încadrează î</w:t>
      </w:r>
      <w:r w:rsidR="006B402A" w:rsidRPr="00562CB0">
        <w:rPr>
          <w:rFonts w:ascii="Trebuchet MS" w:eastAsia="Times New Roman" w:hAnsi="Trebuchet MS" w:cs="Times New Roman"/>
          <w:noProof/>
          <w:lang w:val="ro-RO"/>
        </w:rPr>
        <w:t>n reglem</w:t>
      </w:r>
      <w:r w:rsidR="00143548" w:rsidRPr="00562CB0">
        <w:rPr>
          <w:rFonts w:ascii="Trebuchet MS" w:eastAsia="Times New Roman" w:hAnsi="Trebuchet MS" w:cs="Times New Roman"/>
          <w:noProof/>
          <w:lang w:val="ro-RO"/>
        </w:rPr>
        <w:t>e</w:t>
      </w:r>
      <w:r w:rsidR="006B402A" w:rsidRPr="00562CB0">
        <w:rPr>
          <w:rFonts w:ascii="Trebuchet MS" w:eastAsia="Times New Roman" w:hAnsi="Trebuchet MS" w:cs="Times New Roman"/>
          <w:noProof/>
          <w:lang w:val="ro-RO"/>
        </w:rPr>
        <w:t>nt</w:t>
      </w:r>
      <w:r w:rsidR="00143548" w:rsidRPr="00562CB0">
        <w:rPr>
          <w:rFonts w:ascii="Trebuchet MS" w:eastAsia="Times New Roman" w:hAnsi="Trebuchet MS" w:cs="Times New Roman"/>
          <w:noProof/>
          <w:lang w:val="ro-RO"/>
        </w:rPr>
        <w:t>ările PU</w:t>
      </w:r>
      <w:r w:rsidR="002E0121" w:rsidRPr="00562CB0">
        <w:rPr>
          <w:rFonts w:ascii="Trebuchet MS" w:eastAsia="Times New Roman" w:hAnsi="Trebuchet MS" w:cs="Times New Roman"/>
          <w:noProof/>
          <w:lang w:val="ro-RO"/>
        </w:rPr>
        <w:t>G</w:t>
      </w:r>
      <w:r w:rsidR="00143548" w:rsidRPr="00562CB0">
        <w:rPr>
          <w:rFonts w:ascii="Trebuchet MS" w:eastAsia="Times New Roman" w:hAnsi="Trebuchet MS" w:cs="Times New Roman"/>
          <w:noProof/>
          <w:lang w:val="ro-RO"/>
        </w:rPr>
        <w:t xml:space="preserve"> aprobat cu HCL nr. </w:t>
      </w:r>
      <w:r w:rsidR="00BF3242">
        <w:rPr>
          <w:rFonts w:ascii="Trebuchet MS" w:eastAsia="Times New Roman" w:hAnsi="Trebuchet MS" w:cs="Times New Roman"/>
          <w:noProof/>
          <w:lang w:val="ro-RO"/>
        </w:rPr>
        <w:t>6/08.02.2007, completat și modificat prin HCL nr. 114/30.09.2019 și HCL nr. 85/30.09.2021</w:t>
      </w:r>
      <w:r w:rsidR="003D150F" w:rsidRPr="00562CB0">
        <w:rPr>
          <w:rFonts w:ascii="Trebuchet MS" w:eastAsia="Times New Roman" w:hAnsi="Trebuchet MS" w:cs="Times New Roman"/>
          <w:noProof/>
          <w:lang w:val="ro-RO"/>
        </w:rPr>
        <w:t>:</w:t>
      </w:r>
    </w:p>
    <w:p w:rsidR="00562CB0" w:rsidRDefault="00DC2CC4" w:rsidP="00B57543">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lastRenderedPageBreak/>
        <w:t xml:space="preserve">Conform Certificatului de Urbanism nr. </w:t>
      </w:r>
      <w:r w:rsidR="00BF3242">
        <w:rPr>
          <w:rFonts w:ascii="Trebuchet MS" w:eastAsia="Times New Roman" w:hAnsi="Trebuchet MS" w:cs="Times New Roman"/>
          <w:noProof/>
          <w:lang w:val="ro-RO"/>
        </w:rPr>
        <w:t>357/08</w:t>
      </w:r>
      <w:r w:rsidR="00B57543">
        <w:rPr>
          <w:rFonts w:ascii="Trebuchet MS" w:eastAsia="Times New Roman" w:hAnsi="Trebuchet MS" w:cs="Times New Roman"/>
          <w:noProof/>
          <w:lang w:val="ro-RO"/>
        </w:rPr>
        <w:t>.</w:t>
      </w:r>
      <w:r w:rsidR="00BF3242">
        <w:rPr>
          <w:rFonts w:ascii="Trebuchet MS" w:eastAsia="Times New Roman" w:hAnsi="Trebuchet MS" w:cs="Times New Roman"/>
          <w:noProof/>
          <w:lang w:val="ro-RO"/>
        </w:rPr>
        <w:t>12</w:t>
      </w:r>
      <w:r w:rsidR="00BA3F71" w:rsidRPr="00562CB0">
        <w:rPr>
          <w:rFonts w:ascii="Trebuchet MS" w:eastAsia="Times New Roman" w:hAnsi="Trebuchet MS" w:cs="Times New Roman"/>
          <w:noProof/>
          <w:lang w:val="ro-RO"/>
        </w:rPr>
        <w:t>.202</w:t>
      </w:r>
      <w:r w:rsidR="00562CB0">
        <w:rPr>
          <w:rFonts w:ascii="Trebuchet MS" w:eastAsia="Times New Roman" w:hAnsi="Trebuchet MS" w:cs="Times New Roman"/>
          <w:noProof/>
          <w:lang w:val="ro-RO"/>
        </w:rPr>
        <w:t>3</w:t>
      </w:r>
      <w:r w:rsidRPr="00562CB0">
        <w:rPr>
          <w:rFonts w:ascii="Trebuchet MS" w:eastAsia="Times New Roman" w:hAnsi="Trebuchet MS" w:cs="Times New Roman"/>
          <w:noProof/>
          <w:lang w:val="ro-RO"/>
        </w:rPr>
        <w:t>, emis de Primăria</w:t>
      </w:r>
      <w:r w:rsidR="003D150F" w:rsidRPr="00562CB0">
        <w:rPr>
          <w:rFonts w:ascii="Trebuchet MS" w:eastAsia="Times New Roman" w:hAnsi="Trebuchet MS" w:cs="Times New Roman"/>
          <w:noProof/>
          <w:lang w:val="ro-RO"/>
        </w:rPr>
        <w:t xml:space="preserve"> </w:t>
      </w:r>
      <w:r w:rsidR="00BF3242">
        <w:rPr>
          <w:rFonts w:ascii="Trebuchet MS" w:eastAsia="Times New Roman" w:hAnsi="Trebuchet MS" w:cs="Times New Roman"/>
          <w:noProof/>
          <w:lang w:val="ro-RO"/>
        </w:rPr>
        <w:t>comunei Feleacu:</w:t>
      </w:r>
    </w:p>
    <w:p w:rsidR="00B57543" w:rsidRPr="005933AB" w:rsidRDefault="00B57543" w:rsidP="00B57543">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Imobil</w:t>
      </w:r>
      <w:r>
        <w:rPr>
          <w:rFonts w:ascii="Trebuchet MS" w:eastAsia="Times New Roman" w:hAnsi="Trebuchet MS" w:cs="Times New Roman"/>
          <w:noProof/>
          <w:lang w:val="ro-RO"/>
        </w:rPr>
        <w:t>ele sunt</w:t>
      </w:r>
      <w:r w:rsidRPr="005933AB">
        <w:rPr>
          <w:rFonts w:ascii="Trebuchet MS" w:eastAsia="Times New Roman" w:hAnsi="Trebuchet MS" w:cs="Times New Roman"/>
          <w:noProof/>
          <w:lang w:val="ro-RO"/>
        </w:rPr>
        <w:t xml:space="preserve"> situat</w:t>
      </w:r>
      <w:r>
        <w:rPr>
          <w:rFonts w:ascii="Trebuchet MS" w:eastAsia="Times New Roman" w:hAnsi="Trebuchet MS" w:cs="Times New Roman"/>
          <w:noProof/>
          <w:lang w:val="ro-RO"/>
        </w:rPr>
        <w:t>e</w:t>
      </w:r>
      <w:r w:rsidRPr="005933AB">
        <w:rPr>
          <w:rFonts w:ascii="Trebuchet MS" w:eastAsia="Times New Roman" w:hAnsi="Trebuchet MS" w:cs="Times New Roman"/>
          <w:noProof/>
          <w:lang w:val="ro-RO"/>
        </w:rPr>
        <w:t xml:space="preserve"> </w:t>
      </w:r>
      <w:r>
        <w:rPr>
          <w:rFonts w:ascii="Trebuchet MS" w:eastAsia="Times New Roman" w:hAnsi="Trebuchet MS" w:cs="Times New Roman"/>
          <w:noProof/>
          <w:lang w:val="ro-RO"/>
        </w:rPr>
        <w:t>î</w:t>
      </w:r>
      <w:r w:rsidRPr="005933AB">
        <w:rPr>
          <w:rFonts w:ascii="Trebuchet MS" w:eastAsia="Times New Roman" w:hAnsi="Trebuchet MS" w:cs="Times New Roman"/>
          <w:noProof/>
          <w:lang w:val="ro-RO"/>
        </w:rPr>
        <w:t xml:space="preserve">n </w:t>
      </w:r>
      <w:r>
        <w:rPr>
          <w:rFonts w:ascii="Trebuchet MS" w:eastAsia="Times New Roman" w:hAnsi="Trebuchet MS" w:cs="Times New Roman"/>
          <w:noProof/>
          <w:lang w:val="ro-RO"/>
        </w:rPr>
        <w:t>intrav</w:t>
      </w:r>
      <w:r w:rsidR="003F4BF6">
        <w:rPr>
          <w:rFonts w:ascii="Trebuchet MS" w:eastAsia="Times New Roman" w:hAnsi="Trebuchet MS" w:cs="Times New Roman"/>
          <w:noProof/>
          <w:lang w:val="ro-RO"/>
        </w:rPr>
        <w:t xml:space="preserve">ilanul </w:t>
      </w:r>
      <w:r w:rsidR="00BF3242">
        <w:rPr>
          <w:rFonts w:ascii="Trebuchet MS" w:eastAsia="Times New Roman" w:hAnsi="Trebuchet MS" w:cs="Times New Roman"/>
          <w:noProof/>
          <w:lang w:val="ro-RO"/>
        </w:rPr>
        <w:t>satului Vâlcele, constituind proprietate publică a comunei Feleacu, DJ 103 M, respectiv domeniul public și privat al comunei</w:t>
      </w:r>
      <w:r w:rsidRPr="005933AB">
        <w:rPr>
          <w:rFonts w:ascii="Trebuchet MS" w:eastAsia="Times New Roman" w:hAnsi="Trebuchet MS" w:cs="Times New Roman"/>
          <w:noProof/>
          <w:lang w:val="ro-RO"/>
        </w:rPr>
        <w:t>;</w:t>
      </w:r>
      <w:r>
        <w:rPr>
          <w:rFonts w:ascii="Trebuchet MS" w:eastAsia="Times New Roman" w:hAnsi="Trebuchet MS" w:cs="Times New Roman"/>
          <w:noProof/>
          <w:lang w:val="ro-RO"/>
        </w:rPr>
        <w:t xml:space="preserve"> </w:t>
      </w:r>
    </w:p>
    <w:p w:rsidR="00B57543" w:rsidRPr="005933AB" w:rsidRDefault="00B57543" w:rsidP="00B57543">
      <w:pPr>
        <w:pStyle w:val="ListParagraph"/>
        <w:numPr>
          <w:ilvl w:val="0"/>
          <w:numId w:val="2"/>
        </w:numPr>
        <w:tabs>
          <w:tab w:val="left" w:pos="-180"/>
        </w:tabs>
        <w:spacing w:after="0" w:line="360" w:lineRule="auto"/>
        <w:ind w:left="851"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u w:val="single"/>
          <w:lang w:val="ro-RO"/>
        </w:rPr>
        <w:t>destinație</w:t>
      </w:r>
      <w:r w:rsidRPr="005933AB">
        <w:rPr>
          <w:rFonts w:ascii="Trebuchet MS" w:eastAsia="Times New Roman" w:hAnsi="Trebuchet MS" w:cs="Times New Roman"/>
          <w:noProof/>
          <w:lang w:val="ro-RO"/>
        </w:rPr>
        <w:t xml:space="preserve">: </w:t>
      </w:r>
      <w:r w:rsidR="00BF3242">
        <w:rPr>
          <w:rFonts w:ascii="Trebuchet MS" w:eastAsia="Times New Roman" w:hAnsi="Trebuchet MS" w:cs="Times New Roman"/>
          <w:noProof/>
          <w:lang w:val="ro-RO"/>
        </w:rPr>
        <w:t>zonă căi de comunicație rutieră</w:t>
      </w:r>
      <w:r w:rsidRPr="005933AB">
        <w:rPr>
          <w:rFonts w:ascii="Trebuchet MS" w:eastAsia="Times New Roman" w:hAnsi="Trebuchet MS" w:cs="Times New Roman"/>
          <w:noProof/>
          <w:lang w:val="ro-RO"/>
        </w:rPr>
        <w:t>;</w:t>
      </w:r>
      <w:r w:rsidRPr="005933AB">
        <w:rPr>
          <w:rFonts w:ascii="Trebuchet MS" w:eastAsia="Times New Roman" w:hAnsi="Trebuchet MS" w:cs="Times New Roman"/>
          <w:b/>
          <w:noProof/>
          <w:lang w:val="ro-RO"/>
        </w:rPr>
        <w:t xml:space="preserve"> </w:t>
      </w:r>
    </w:p>
    <w:p w:rsidR="00B57543" w:rsidRDefault="00B57543" w:rsidP="00B57543">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u w:val="single"/>
          <w:lang w:val="ro-RO"/>
        </w:rPr>
        <w:t>folosința actuală:</w:t>
      </w:r>
      <w:r w:rsidRPr="005933AB">
        <w:rPr>
          <w:rFonts w:ascii="Trebuchet MS" w:eastAsia="Times New Roman" w:hAnsi="Trebuchet MS" w:cs="Times New Roman"/>
          <w:noProof/>
          <w:lang w:val="ro-RO"/>
        </w:rPr>
        <w:t xml:space="preserve"> </w:t>
      </w:r>
      <w:r w:rsidR="00BF3242">
        <w:rPr>
          <w:rFonts w:ascii="Trebuchet MS" w:eastAsia="Times New Roman" w:hAnsi="Trebuchet MS" w:cs="Times New Roman"/>
          <w:noProof/>
          <w:lang w:val="ro-RO"/>
        </w:rPr>
        <w:t>drumuri comunale și locale</w:t>
      </w:r>
      <w:r w:rsidRPr="005933AB">
        <w:rPr>
          <w:rFonts w:ascii="Trebuchet MS" w:eastAsia="Times New Roman" w:hAnsi="Trebuchet MS" w:cs="Times New Roman"/>
          <w:noProof/>
          <w:lang w:val="ro-RO"/>
        </w:rPr>
        <w:t>;</w:t>
      </w:r>
    </w:p>
    <w:p w:rsidR="00DC2C5C" w:rsidRPr="00562CB0" w:rsidRDefault="00DC2C5C" w:rsidP="00B57543">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c) la evaluarea proiectului au fost luate în considerare criteriile prevăzute în Anexa nr.3 din Legea nr. 292/2018 </w:t>
      </w:r>
      <w:r w:rsidRPr="00562CB0">
        <w:rPr>
          <w:rFonts w:ascii="Trebuchet MS" w:eastAsia="Times New Roman" w:hAnsi="Trebuchet MS" w:cs="Times New Roman"/>
          <w:noProof/>
          <w:lang w:val="ro-RO"/>
        </w:rPr>
        <w:t>privind evaluarea impactului anumitor proiecte publice şi private asupra mediului</w:t>
      </w:r>
      <w:r w:rsidRPr="00562CB0">
        <w:rPr>
          <w:rFonts w:ascii="Trebuchet MS" w:eastAsia="Calibri" w:hAnsi="Trebuchet MS" w:cs="Times New Roman"/>
          <w:noProof/>
          <w:lang w:val="ro-RO"/>
        </w:rPr>
        <w:t>;</w:t>
      </w:r>
    </w:p>
    <w:p w:rsidR="00DC2C5C" w:rsidRPr="00562CB0" w:rsidRDefault="00DC2C5C"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62CB0">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62CB0" w:rsidRDefault="00FF6D68" w:rsidP="00562CB0">
      <w:pPr>
        <w:spacing w:after="0" w:line="360" w:lineRule="auto"/>
        <w:ind w:right="108"/>
        <w:jc w:val="both"/>
        <w:rPr>
          <w:rFonts w:ascii="Trebuchet MS" w:eastAsia="Calibri" w:hAnsi="Trebuchet MS" w:cs="Times New Roman"/>
          <w:noProof/>
          <w:lang w:val="ro-RO" w:eastAsia="pl-PL"/>
        </w:rPr>
      </w:pPr>
      <w:r w:rsidRPr="00562CB0">
        <w:rPr>
          <w:rFonts w:ascii="Trebuchet MS" w:eastAsia="Calibri" w:hAnsi="Trebuchet MS" w:cs="Times New Roman"/>
          <w:noProof/>
          <w:lang w:val="ro-RO" w:eastAsia="pl-PL"/>
        </w:rPr>
        <w:t xml:space="preserve">e) </w:t>
      </w:r>
      <w:r w:rsidRPr="00562CB0">
        <w:rPr>
          <w:rFonts w:ascii="Trebuchet MS" w:eastAsia="Calibri" w:hAnsi="Trebuchet MS" w:cs="Times New Roman"/>
          <w:noProof/>
          <w:lang w:val="ro-RO"/>
        </w:rPr>
        <w:t>prin soluţiile constructive adoptate şi prin modul de operare se propun măsuri pentru</w:t>
      </w:r>
      <w:r w:rsidR="00651A3E" w:rsidRPr="00562CB0">
        <w:rPr>
          <w:rFonts w:ascii="Trebuchet MS" w:eastAsia="Calibri" w:hAnsi="Trebuchet MS" w:cs="Times New Roman"/>
          <w:noProof/>
          <w:lang w:val="ro-RO"/>
        </w:rPr>
        <w:t xml:space="preserve"> </w:t>
      </w:r>
      <w:r w:rsidRPr="00562CB0">
        <w:rPr>
          <w:rFonts w:ascii="Trebuchet MS" w:eastAsia="Calibri" w:hAnsi="Trebuchet MS" w:cs="Times New Roman"/>
          <w:noProof/>
          <w:lang w:val="ro-RO"/>
        </w:rPr>
        <w:t>protecţia factorilor de mediu;</w:t>
      </w:r>
    </w:p>
    <w:p w:rsidR="00A755F7" w:rsidRPr="00562CB0" w:rsidRDefault="007B5DEF" w:rsidP="00562CB0">
      <w:pPr>
        <w:spacing w:after="0" w:line="360" w:lineRule="auto"/>
        <w:ind w:right="108"/>
        <w:jc w:val="both"/>
        <w:rPr>
          <w:rFonts w:ascii="Trebuchet MS" w:eastAsia="Times New Roman" w:hAnsi="Trebuchet MS" w:cs="Times New Roman"/>
          <w:b/>
          <w:noProof/>
          <w:lang w:val="ro-RO"/>
        </w:rPr>
      </w:pPr>
      <w:r w:rsidRPr="00562CB0">
        <w:rPr>
          <w:rFonts w:ascii="Trebuchet MS" w:eastAsia="Times New Roman" w:hAnsi="Trebuchet MS" w:cs="Times New Roman"/>
          <w:noProof/>
          <w:lang w:val="ro-RO"/>
        </w:rPr>
        <w:t>f)</w:t>
      </w:r>
      <w:r w:rsidR="00FF6D68" w:rsidRPr="00562CB0">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62CB0">
        <w:rPr>
          <w:rFonts w:ascii="Trebuchet MS" w:eastAsia="Times New Roman" w:hAnsi="Trebuchet MS" w:cs="Times New Roman"/>
          <w:noProof/>
          <w:lang w:val="ro-RO"/>
        </w:rPr>
        <w:t xml:space="preserve"> si se vor elimina cu firma autorizata;</w:t>
      </w:r>
    </w:p>
    <w:p w:rsidR="00687799" w:rsidRPr="00562CB0" w:rsidRDefault="003D150F" w:rsidP="00562CB0">
      <w:pPr>
        <w:spacing w:after="0" w:line="360" w:lineRule="auto"/>
        <w:ind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g</w:t>
      </w:r>
      <w:r w:rsidR="007B5DEF" w:rsidRPr="00562CB0">
        <w:rPr>
          <w:rFonts w:ascii="Trebuchet MS" w:eastAsia="Times New Roman" w:hAnsi="Trebuchet MS" w:cs="Times New Roman"/>
          <w:noProof/>
          <w:lang w:val="ro-RO"/>
        </w:rPr>
        <w:t>)</w:t>
      </w:r>
      <w:r w:rsidR="00FF6D68" w:rsidRPr="00562CB0">
        <w:rPr>
          <w:rFonts w:ascii="Trebuchet MS" w:eastAsia="Times New Roman" w:hAnsi="Trebuchet MS" w:cs="Times New Roman"/>
          <w:noProof/>
          <w:lang w:val="ro-RO"/>
        </w:rPr>
        <w:t xml:space="preserve"> pr</w:t>
      </w:r>
      <w:r w:rsidR="00687799" w:rsidRPr="00562CB0">
        <w:rPr>
          <w:rFonts w:ascii="Trebuchet MS" w:eastAsia="Times New Roman" w:hAnsi="Trebuchet MS" w:cs="Times New Roman"/>
          <w:noProof/>
          <w:lang w:val="ro-RO"/>
        </w:rPr>
        <w:t>oiectul este de amploare redusă;</w:t>
      </w:r>
    </w:p>
    <w:p w:rsidR="00687799" w:rsidRPr="005933AB" w:rsidRDefault="003D150F" w:rsidP="00562CB0">
      <w:pPr>
        <w:spacing w:after="0" w:line="360" w:lineRule="auto"/>
        <w:ind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h</w:t>
      </w:r>
      <w:r w:rsidR="00687799" w:rsidRPr="00562CB0">
        <w:rPr>
          <w:rFonts w:ascii="Trebuchet MS" w:eastAsia="Times New Roman" w:hAnsi="Trebuchet MS" w:cs="Times New Roman"/>
          <w:noProof/>
          <w:lang w:val="ro-RO"/>
        </w:rPr>
        <w:t>) nu sunt afectate zone de pădure sau cu folosință specială</w:t>
      </w:r>
      <w:r w:rsidR="00975D54" w:rsidRPr="00562CB0">
        <w:rPr>
          <w:rFonts w:ascii="Trebuchet MS" w:eastAsia="Times New Roman" w:hAnsi="Trebuchet MS" w:cs="Times New Roman"/>
          <w:noProof/>
          <w:lang w:val="ro-RO"/>
        </w:rPr>
        <w:t xml:space="preserve"> (spațiu</w:t>
      </w:r>
      <w:r w:rsidR="00975D54" w:rsidRPr="005933AB">
        <w:rPr>
          <w:rFonts w:ascii="Trebuchet MS" w:eastAsia="Times New Roman" w:hAnsi="Trebuchet MS" w:cs="Times New Roman"/>
          <w:noProof/>
          <w:lang w:val="ro-RO"/>
        </w:rPr>
        <w:t xml:space="preserve"> verde)</w:t>
      </w:r>
      <w:r w:rsidR="00687799" w:rsidRPr="005933AB">
        <w:rPr>
          <w:rFonts w:ascii="Trebuchet MS" w:eastAsia="Times New Roman" w:hAnsi="Trebuchet MS" w:cs="Times New Roman"/>
          <w:noProof/>
          <w:lang w:val="ro-RO"/>
        </w:rPr>
        <w:t>;</w:t>
      </w:r>
    </w:p>
    <w:p w:rsidR="00687799" w:rsidRPr="005933AB" w:rsidRDefault="003D150F" w:rsidP="00562CB0">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amplasamentul nu este situat în interiorul sau vecinătatea niciunei arii naturale protejate;</w:t>
      </w:r>
    </w:p>
    <w:p w:rsidR="00687799" w:rsidRDefault="003D150F" w:rsidP="00562CB0">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 pe parcursul derulării procedurii nu au fost formulate observații din partea publicului referitoare la realizarea protectului.</w:t>
      </w:r>
    </w:p>
    <w:p w:rsidR="00BF3242" w:rsidRPr="005933AB" w:rsidRDefault="00BF3242" w:rsidP="00BF3242">
      <w:pPr>
        <w:spacing w:after="0" w:line="360" w:lineRule="auto"/>
        <w:ind w:right="108"/>
        <w:jc w:val="both"/>
        <w:rPr>
          <w:rFonts w:ascii="Trebuchet MS" w:eastAsia="Times New Roman" w:hAnsi="Trebuchet MS" w:cs="Times New Roman"/>
          <w:noProof/>
          <w:color w:val="FF0000"/>
          <w:lang w:val="ro-RO"/>
        </w:rPr>
      </w:pPr>
    </w:p>
    <w:p w:rsidR="00E41CEE" w:rsidRPr="005933AB" w:rsidRDefault="00E41CEE"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9758E5" w:rsidRPr="005933AB" w:rsidRDefault="009758E5" w:rsidP="00562CB0">
      <w:pPr>
        <w:spacing w:after="0" w:line="360" w:lineRule="auto"/>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nu 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5933AB" w:rsidRDefault="001F5F71" w:rsidP="003F4BF6">
      <w:pPr>
        <w:pStyle w:val="ListParagraph"/>
        <w:tabs>
          <w:tab w:val="left" w:pos="360"/>
        </w:tabs>
        <w:spacing w:after="0" w:line="24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62CB0">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Default="00687799" w:rsidP="00562CB0">
      <w:pPr>
        <w:spacing w:after="0" w:line="360" w:lineRule="auto"/>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481329">
        <w:rPr>
          <w:rFonts w:ascii="Trebuchet MS" w:eastAsia="Times New Roman" w:hAnsi="Trebuchet MS" w:cs="Times New Roman"/>
          <w:b/>
          <w:lang w:val="ro-RO"/>
        </w:rPr>
        <w:t>i</w:t>
      </w:r>
      <w:r w:rsidR="00B478F5" w:rsidRPr="005933AB">
        <w:rPr>
          <w:rFonts w:ascii="Trebuchet MS" w:eastAsia="Times New Roman" w:hAnsi="Trebuchet MS" w:cs="Times New Roman"/>
          <w:b/>
          <w:lang w:val="ro-RO"/>
        </w:rPr>
        <w:t>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BF3242" w:rsidRPr="005933AB" w:rsidRDefault="00BF3242" w:rsidP="00BF3242">
      <w:pPr>
        <w:spacing w:after="0" w:line="360" w:lineRule="auto"/>
        <w:ind w:right="108"/>
        <w:jc w:val="both"/>
        <w:rPr>
          <w:rFonts w:ascii="Trebuchet MS" w:eastAsia="Calibri" w:hAnsi="Trebuchet MS" w:cs="Times New Roman"/>
          <w:lang w:val="ro-RO"/>
        </w:rPr>
      </w:pPr>
      <w:r>
        <w:rPr>
          <w:rFonts w:ascii="Trebuchet MS" w:eastAsia="Calibri" w:hAnsi="Trebuchet MS" w:cs="Times New Roman"/>
          <w:lang w:val="ro-RO"/>
        </w:rPr>
        <w:t xml:space="preserve">b) </w:t>
      </w:r>
      <w:r w:rsidRPr="005933AB">
        <w:rPr>
          <w:rFonts w:ascii="Trebuchet MS" w:eastAsia="Calibri" w:hAnsi="Trebuchet MS" w:cs="Times New Roman"/>
          <w:lang w:val="ro-RO"/>
        </w:rPr>
        <w:t xml:space="preserve">Conform deciziei nr. </w:t>
      </w:r>
      <w:r>
        <w:rPr>
          <w:rFonts w:ascii="Trebuchet MS" w:eastAsia="Calibri" w:hAnsi="Trebuchet MS" w:cs="Times New Roman"/>
          <w:lang w:val="ro-RO"/>
        </w:rPr>
        <w:t>11233</w:t>
      </w:r>
      <w:r>
        <w:rPr>
          <w:rFonts w:ascii="Trebuchet MS" w:eastAsia="Calibri" w:hAnsi="Trebuchet MS" w:cs="Times New Roman"/>
          <w:lang w:val="ro-RO"/>
        </w:rPr>
        <w:t>/</w:t>
      </w:r>
      <w:r>
        <w:rPr>
          <w:rFonts w:ascii="Trebuchet MS" w:eastAsia="Calibri" w:hAnsi="Trebuchet MS" w:cs="Times New Roman"/>
          <w:lang w:val="ro-RO"/>
        </w:rPr>
        <w:t>ASN/35107/14</w:t>
      </w:r>
      <w:r w:rsidRPr="005933AB">
        <w:rPr>
          <w:rFonts w:ascii="Trebuchet MS" w:eastAsia="Calibri" w:hAnsi="Trebuchet MS" w:cs="Times New Roman"/>
          <w:lang w:val="ro-RO"/>
        </w:rPr>
        <w:t>.</w:t>
      </w:r>
      <w:r>
        <w:rPr>
          <w:rFonts w:ascii="Trebuchet MS" w:eastAsia="Calibri" w:hAnsi="Trebuchet MS" w:cs="Times New Roman"/>
          <w:lang w:val="ro-RO"/>
        </w:rPr>
        <w:t>0</w:t>
      </w:r>
      <w:r>
        <w:rPr>
          <w:rFonts w:ascii="Trebuchet MS" w:eastAsia="Calibri" w:hAnsi="Trebuchet MS" w:cs="Times New Roman"/>
          <w:lang w:val="ro-RO"/>
        </w:rPr>
        <w:t>5</w:t>
      </w:r>
      <w:r w:rsidRPr="005933AB">
        <w:rPr>
          <w:rFonts w:ascii="Trebuchet MS" w:eastAsia="Calibri" w:hAnsi="Trebuchet MS" w:cs="Times New Roman"/>
          <w:lang w:val="ro-RO"/>
        </w:rPr>
        <w:t>.202</w:t>
      </w:r>
      <w:r>
        <w:rPr>
          <w:rFonts w:ascii="Trebuchet MS" w:eastAsia="Calibri" w:hAnsi="Trebuchet MS" w:cs="Times New Roman"/>
          <w:lang w:val="ro-RO"/>
        </w:rPr>
        <w:t>4</w:t>
      </w:r>
      <w:r>
        <w:rPr>
          <w:rFonts w:ascii="Trebuchet MS" w:eastAsia="Calibri" w:hAnsi="Trebuchet MS" w:cs="Times New Roman"/>
          <w:lang w:val="ro-RO"/>
        </w:rPr>
        <w:t xml:space="preserve">, emisă de ANAR, ABA </w:t>
      </w:r>
      <w:r>
        <w:rPr>
          <w:rFonts w:ascii="Trebuchet MS" w:eastAsia="Calibri" w:hAnsi="Trebuchet MS" w:cs="Times New Roman"/>
          <w:lang w:val="ro-RO"/>
        </w:rPr>
        <w:t>Mureș</w:t>
      </w:r>
      <w:r>
        <w:rPr>
          <w:rFonts w:ascii="Trebuchet MS" w:eastAsia="Calibri" w:hAnsi="Trebuchet MS" w:cs="Times New Roman"/>
          <w:lang w:val="ro-RO"/>
        </w:rPr>
        <w:t>,</w:t>
      </w:r>
      <w:r w:rsidRPr="005933AB">
        <w:rPr>
          <w:rFonts w:ascii="Trebuchet MS" w:eastAsia="Calibri" w:hAnsi="Trebuchet MS" w:cs="Times New Roman"/>
          <w:lang w:val="ro-RO"/>
        </w:rPr>
        <w:t xml:space="preserve"> pentru proiectul propus nu este necesară elaborarea SEICA, întrucât </w:t>
      </w:r>
      <w:r>
        <w:rPr>
          <w:rFonts w:ascii="Trebuchet MS" w:eastAsia="Calibri" w:hAnsi="Trebuchet MS" w:cs="Times New Roman"/>
          <w:lang w:val="ro-RO"/>
        </w:rPr>
        <w:t>proiectul propus nu aduce atingere corpurilor de apă de suprafață/subterane</w:t>
      </w:r>
      <w:r>
        <w:rPr>
          <w:rFonts w:ascii="Trebuchet MS" w:eastAsia="Calibri" w:hAnsi="Trebuchet MS" w:cs="Times New Roman"/>
          <w:lang w:val="ro-RO"/>
        </w:rPr>
        <w:t>.</w:t>
      </w:r>
      <w:r w:rsidRPr="005933AB">
        <w:rPr>
          <w:rFonts w:ascii="Trebuchet MS" w:eastAsia="Calibri" w:hAnsi="Trebuchet MS" w:cs="Times New Roman"/>
          <w:lang w:val="ro-RO"/>
        </w:rPr>
        <w:t xml:space="preserve"> </w:t>
      </w:r>
    </w:p>
    <w:p w:rsidR="00BF3242" w:rsidRPr="005933AB" w:rsidRDefault="00BF3242" w:rsidP="00562CB0">
      <w:pPr>
        <w:spacing w:after="0" w:line="360" w:lineRule="auto"/>
        <w:ind w:right="108"/>
        <w:jc w:val="both"/>
        <w:rPr>
          <w:rFonts w:ascii="Trebuchet MS" w:eastAsia="Calibri" w:hAnsi="Trebuchet MS" w:cs="Times New Roman"/>
          <w:b/>
          <w:lang w:val="ro-RO"/>
        </w:rPr>
      </w:pPr>
      <w:r>
        <w:rPr>
          <w:rFonts w:ascii="Trebuchet MS" w:eastAsia="Times New Roman" w:hAnsi="Trebuchet MS" w:cs="Times New Roman"/>
          <w:lang w:val="ro-RO"/>
        </w:rPr>
        <w:t xml:space="preserve"> </w:t>
      </w:r>
    </w:p>
    <w:p w:rsidR="00F26D17" w:rsidRPr="005933AB" w:rsidRDefault="003B392C" w:rsidP="00562CB0">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BF3242" w:rsidRPr="00BF3242" w:rsidRDefault="00BF3242" w:rsidP="00BF3242">
      <w:pPr>
        <w:tabs>
          <w:tab w:val="left" w:pos="426"/>
        </w:tabs>
        <w:spacing w:after="0" w:line="360" w:lineRule="auto"/>
        <w:ind w:right="108"/>
        <w:jc w:val="both"/>
        <w:rPr>
          <w:rFonts w:ascii="Trebuchet MS" w:eastAsia="Calibri" w:hAnsi="Trebuchet MS" w:cs="Times New Roman"/>
          <w:noProof/>
          <w:lang w:val="ro-RO"/>
        </w:rPr>
      </w:pPr>
      <w:r w:rsidRPr="00BF3242">
        <w:rPr>
          <w:rFonts w:ascii="Trebuchet MS" w:eastAsia="Calibri" w:hAnsi="Trebuchet MS" w:cs="Times New Roman"/>
          <w:noProof/>
          <w:lang w:val="ro-RO"/>
        </w:rPr>
        <w:t xml:space="preserve">Se propune extinderea sistemului de alimentare cu apa in localitatea Valcele, extinderile fiind prevazute sa fie alimentate prin cuplarea la reteaua existenta, prin camine de vane nou proiectate sau existente, amplasare a doua statii de pompare pentru ridicarea presiunii in </w:t>
      </w:r>
      <w:r w:rsidRPr="00BF3242">
        <w:rPr>
          <w:rFonts w:ascii="Trebuchet MS" w:eastAsia="Calibri" w:hAnsi="Trebuchet MS" w:cs="Times New Roman"/>
          <w:noProof/>
          <w:lang w:val="ro-RO"/>
        </w:rPr>
        <w:lastRenderedPageBreak/>
        <w:t>zonele joase, amplasarea a 3 reductoare de presiune si bransarea populatiei la conducta de alimentare cu apa din zonele vizate.</w:t>
      </w:r>
    </w:p>
    <w:p w:rsidR="00843851" w:rsidRPr="00BF3242" w:rsidRDefault="00BF3242" w:rsidP="00841414">
      <w:pPr>
        <w:tabs>
          <w:tab w:val="left" w:pos="426"/>
        </w:tabs>
        <w:spacing w:after="0" w:line="360" w:lineRule="auto"/>
        <w:ind w:right="108"/>
        <w:jc w:val="both"/>
        <w:rPr>
          <w:rFonts w:ascii="Trebuchet MS" w:hAnsi="Trebuchet MS"/>
          <w:szCs w:val="24"/>
          <w:lang w:val="ro-RO" w:eastAsia="fr-FR"/>
        </w:rPr>
      </w:pPr>
      <w:r w:rsidRPr="00BF3242">
        <w:rPr>
          <w:rFonts w:ascii="Trebuchet MS" w:eastAsia="Calibri" w:hAnsi="Trebuchet MS" w:cs="Times New Roman"/>
          <w:noProof/>
          <w:lang w:val="ro-RO"/>
        </w:rPr>
        <w:t>Sistemul de alimentare cu apă în localitatea Valcele se prezintă astfel:</w:t>
      </w:r>
      <w:r w:rsidR="00841414">
        <w:rPr>
          <w:rFonts w:ascii="Trebuchet MS" w:eastAsia="Calibri" w:hAnsi="Trebuchet MS" w:cs="Times New Roman"/>
          <w:noProof/>
          <w:lang w:val="ro-RO"/>
        </w:rPr>
        <w:t xml:space="preserve"> </w:t>
      </w:r>
      <w:r w:rsidRPr="00BF3242">
        <w:rPr>
          <w:rFonts w:ascii="Trebuchet MS" w:eastAsia="Calibri" w:hAnsi="Trebuchet MS" w:cs="Times New Roman"/>
          <w:noProof/>
          <w:lang w:val="ro-RO"/>
        </w:rPr>
        <w:t>reţele de distribuţie a apei</w:t>
      </w:r>
      <w:r w:rsidR="00841414">
        <w:rPr>
          <w:rFonts w:ascii="Trebuchet MS" w:eastAsia="Calibri" w:hAnsi="Trebuchet MS" w:cs="Times New Roman"/>
          <w:noProof/>
          <w:lang w:val="ro-RO"/>
        </w:rPr>
        <w:t xml:space="preserve">, </w:t>
      </w:r>
      <w:r w:rsidRPr="00BF3242">
        <w:rPr>
          <w:rFonts w:ascii="Trebuchet MS" w:eastAsia="Calibri" w:hAnsi="Trebuchet MS" w:cs="Times New Roman"/>
          <w:noProof/>
          <w:lang w:val="ro-RO"/>
        </w:rPr>
        <w:t>camine de vane</w:t>
      </w:r>
      <w:r w:rsidR="00841414">
        <w:rPr>
          <w:rFonts w:ascii="Trebuchet MS" w:eastAsia="Calibri" w:hAnsi="Trebuchet MS" w:cs="Times New Roman"/>
          <w:noProof/>
          <w:lang w:val="ro-RO"/>
        </w:rPr>
        <w:t xml:space="preserve">, </w:t>
      </w:r>
      <w:r w:rsidRPr="00BF3242">
        <w:rPr>
          <w:rFonts w:ascii="Trebuchet MS" w:eastAsia="Calibri" w:hAnsi="Trebuchet MS" w:cs="Times New Roman"/>
          <w:noProof/>
          <w:lang w:val="ro-RO"/>
        </w:rPr>
        <w:t>bransamente</w:t>
      </w:r>
      <w:r w:rsidR="00841414">
        <w:rPr>
          <w:rFonts w:ascii="Trebuchet MS" w:eastAsia="Calibri" w:hAnsi="Trebuchet MS" w:cs="Times New Roman"/>
          <w:noProof/>
          <w:lang w:val="ro-RO"/>
        </w:rPr>
        <w:t xml:space="preserve"> și </w:t>
      </w:r>
      <w:r w:rsidRPr="00BF3242">
        <w:rPr>
          <w:rFonts w:ascii="Trebuchet MS" w:eastAsia="Calibri" w:hAnsi="Trebuchet MS" w:cs="Times New Roman"/>
          <w:noProof/>
          <w:lang w:val="ro-RO"/>
        </w:rPr>
        <w:t>hidranti supraterani</w:t>
      </w:r>
      <w:r w:rsidR="00843851" w:rsidRPr="00BF3242">
        <w:rPr>
          <w:rFonts w:ascii="Trebuchet MS" w:eastAsia="Calibri" w:hAnsi="Trebuchet MS" w:cs="Times New Roman"/>
          <w:noProof/>
          <w:lang w:val="ro-RO"/>
        </w:rPr>
        <w:t>.</w:t>
      </w:r>
    </w:p>
    <w:p w:rsidR="00BF24B9" w:rsidRDefault="00AA5F5F" w:rsidP="00841414">
      <w:pPr>
        <w:tabs>
          <w:tab w:val="left" w:pos="0"/>
        </w:tabs>
        <w:spacing w:after="0" w:line="360" w:lineRule="auto"/>
        <w:ind w:right="108"/>
        <w:jc w:val="both"/>
        <w:rPr>
          <w:rFonts w:ascii="Trebuchet MS" w:hAnsi="Trebuchet MS"/>
          <w:szCs w:val="24"/>
          <w:lang w:val="ro-RO" w:eastAsia="fr-FR"/>
        </w:rPr>
      </w:pPr>
      <w:r w:rsidRPr="00AA5F5F">
        <w:rPr>
          <w:rFonts w:ascii="Trebuchet MS" w:hAnsi="Trebuchet MS"/>
          <w:szCs w:val="24"/>
          <w:lang w:val="ro-RO" w:eastAsia="fr-FR"/>
        </w:rPr>
        <w:t>Conductele de racordare vor fi din polietilena de înaltă densitate cu diametrul de 63mm, 90mm si 110 mm, avand lungimea de 4.552 m.</w:t>
      </w:r>
      <w:r>
        <w:rPr>
          <w:rFonts w:ascii="Trebuchet MS" w:hAnsi="Trebuchet MS"/>
          <w:szCs w:val="24"/>
          <w:lang w:val="ro-RO" w:eastAsia="fr-FR"/>
        </w:rPr>
        <w:t xml:space="preserve"> La rețeaua proiectată vor fi executate branșamente de lungime variabilă, în lungime totală de 780 m, fiecare branșament fiind prevăzut cu apometru.</w:t>
      </w:r>
      <w:r w:rsidR="00841414">
        <w:rPr>
          <w:rFonts w:ascii="Trebuchet MS" w:hAnsi="Trebuchet MS"/>
          <w:szCs w:val="24"/>
          <w:lang w:val="ro-RO" w:eastAsia="fr-FR"/>
        </w:rPr>
        <w:t xml:space="preserve"> </w:t>
      </w:r>
      <w:r w:rsidRPr="00AA5F5F">
        <w:rPr>
          <w:rFonts w:ascii="Trebuchet MS" w:hAnsi="Trebuchet MS"/>
          <w:szCs w:val="24"/>
          <w:lang w:val="ro-RO" w:eastAsia="fr-FR"/>
        </w:rPr>
        <w:t>Racordurile la conducta de apă a comunei Valcele, se vor realiza prin cămine dotate cu vane de sectionare, vane cu instalatii de aerisire sau golire, precum si reductoare de presiune.</w:t>
      </w:r>
      <w:r w:rsidR="00841414">
        <w:rPr>
          <w:rFonts w:ascii="Trebuchet MS" w:hAnsi="Trebuchet MS"/>
          <w:szCs w:val="24"/>
          <w:lang w:val="ro-RO" w:eastAsia="fr-FR"/>
        </w:rPr>
        <w:t xml:space="preserve"> </w:t>
      </w:r>
      <w:r w:rsidRPr="00AA5F5F">
        <w:rPr>
          <w:rFonts w:ascii="Trebuchet MS" w:hAnsi="Trebuchet MS"/>
          <w:szCs w:val="24"/>
          <w:lang w:val="ro-RO" w:eastAsia="fr-FR"/>
        </w:rPr>
        <w:t>Reteaua de distributie apa potabila se va realiza din conducte PEID, astfel:</w:t>
      </w:r>
    </w:p>
    <w:tbl>
      <w:tblPr>
        <w:tblStyle w:val="TableGrid"/>
        <w:tblW w:w="0" w:type="auto"/>
        <w:tblLook w:val="04A0" w:firstRow="1" w:lastRow="0" w:firstColumn="1" w:lastColumn="0" w:noHBand="0" w:noVBand="1"/>
      </w:tblPr>
      <w:tblGrid>
        <w:gridCol w:w="4531"/>
        <w:gridCol w:w="1684"/>
        <w:gridCol w:w="3108"/>
      </w:tblGrid>
      <w:tr w:rsidR="00AA5F5F" w:rsidRPr="00AA5F5F" w:rsidTr="00AA5F5F">
        <w:tc>
          <w:tcPr>
            <w:tcW w:w="4531" w:type="dxa"/>
            <w:shd w:val="clear" w:color="auto" w:fill="D9D9D9" w:themeFill="background1" w:themeFillShade="D9"/>
          </w:tcPr>
          <w:p w:rsidR="00AA5F5F" w:rsidRPr="00AA5F5F" w:rsidRDefault="00AA5F5F" w:rsidP="00AA5F5F">
            <w:pPr>
              <w:pStyle w:val="ListParagraph"/>
              <w:tabs>
                <w:tab w:val="left" w:pos="0"/>
              </w:tabs>
              <w:ind w:left="0" w:right="108"/>
              <w:jc w:val="center"/>
              <w:rPr>
                <w:rFonts w:ascii="Trebuchet MS" w:hAnsi="Trebuchet MS"/>
                <w:b/>
                <w:sz w:val="20"/>
                <w:szCs w:val="24"/>
                <w:lang w:val="ro-RO" w:eastAsia="fr-FR"/>
              </w:rPr>
            </w:pPr>
            <w:r w:rsidRPr="00AA5F5F">
              <w:rPr>
                <w:rFonts w:ascii="Trebuchet MS" w:hAnsi="Trebuchet MS"/>
                <w:b/>
                <w:sz w:val="20"/>
                <w:szCs w:val="24"/>
                <w:lang w:val="ro-RO" w:eastAsia="fr-FR"/>
              </w:rPr>
              <w:t>Tronson</w:t>
            </w:r>
          </w:p>
        </w:tc>
        <w:tc>
          <w:tcPr>
            <w:tcW w:w="1684" w:type="dxa"/>
            <w:shd w:val="clear" w:color="auto" w:fill="D9D9D9" w:themeFill="background1" w:themeFillShade="D9"/>
          </w:tcPr>
          <w:p w:rsidR="00AA5F5F" w:rsidRPr="00AA5F5F" w:rsidRDefault="00AA5F5F" w:rsidP="00AA5F5F">
            <w:pPr>
              <w:pStyle w:val="ListParagraph"/>
              <w:tabs>
                <w:tab w:val="left" w:pos="0"/>
              </w:tabs>
              <w:ind w:left="0" w:right="108"/>
              <w:jc w:val="center"/>
              <w:rPr>
                <w:rFonts w:ascii="Trebuchet MS" w:hAnsi="Trebuchet MS"/>
                <w:b/>
                <w:sz w:val="20"/>
                <w:szCs w:val="24"/>
                <w:lang w:val="ro-RO" w:eastAsia="fr-FR"/>
              </w:rPr>
            </w:pPr>
            <w:r w:rsidRPr="00AA5F5F">
              <w:rPr>
                <w:rFonts w:ascii="Trebuchet MS" w:hAnsi="Trebuchet MS"/>
                <w:b/>
                <w:sz w:val="20"/>
                <w:szCs w:val="24"/>
                <w:lang w:val="ro-RO" w:eastAsia="fr-FR"/>
              </w:rPr>
              <w:t>Lungime (m)</w:t>
            </w:r>
          </w:p>
        </w:tc>
        <w:tc>
          <w:tcPr>
            <w:tcW w:w="3108" w:type="dxa"/>
            <w:shd w:val="clear" w:color="auto" w:fill="D9D9D9" w:themeFill="background1" w:themeFillShade="D9"/>
          </w:tcPr>
          <w:p w:rsidR="00AA5F5F" w:rsidRPr="00AA5F5F" w:rsidRDefault="00AA5F5F" w:rsidP="00AA5F5F">
            <w:pPr>
              <w:pStyle w:val="ListParagraph"/>
              <w:tabs>
                <w:tab w:val="left" w:pos="0"/>
              </w:tabs>
              <w:ind w:left="0" w:right="108"/>
              <w:jc w:val="center"/>
              <w:rPr>
                <w:rFonts w:ascii="Trebuchet MS" w:hAnsi="Trebuchet MS"/>
                <w:b/>
                <w:sz w:val="20"/>
                <w:szCs w:val="24"/>
                <w:lang w:val="ro-RO" w:eastAsia="fr-FR"/>
              </w:rPr>
            </w:pPr>
            <w:r w:rsidRPr="00AA5F5F">
              <w:rPr>
                <w:rFonts w:ascii="Trebuchet MS" w:hAnsi="Trebuchet MS"/>
                <w:b/>
                <w:sz w:val="20"/>
                <w:szCs w:val="24"/>
                <w:lang w:val="ro-RO" w:eastAsia="fr-FR"/>
              </w:rPr>
              <w:t>Caracteristici</w:t>
            </w:r>
          </w:p>
        </w:tc>
      </w:tr>
      <w:tr w:rsidR="00AA5F5F" w:rsidRPr="00AA5F5F" w:rsidTr="00AA5F5F">
        <w:tc>
          <w:tcPr>
            <w:tcW w:w="4531" w:type="dxa"/>
            <w:vMerge w:val="restart"/>
          </w:tcPr>
          <w:p w:rsidR="00AA5F5F" w:rsidRPr="00AA5F5F" w:rsidRDefault="00AA5F5F" w:rsidP="00AA5F5F">
            <w:pPr>
              <w:pStyle w:val="ListParagraph"/>
              <w:tabs>
                <w:tab w:val="left" w:pos="0"/>
              </w:tabs>
              <w:ind w:left="0" w:right="108"/>
              <w:jc w:val="both"/>
              <w:rPr>
                <w:rFonts w:ascii="Trebuchet MS" w:hAnsi="Trebuchet MS"/>
                <w:sz w:val="20"/>
                <w:szCs w:val="24"/>
                <w:lang w:val="ro-RO" w:eastAsia="fr-FR"/>
              </w:rPr>
            </w:pPr>
            <w:r>
              <w:rPr>
                <w:rFonts w:ascii="Trebuchet MS" w:hAnsi="Trebuchet MS"/>
                <w:sz w:val="20"/>
                <w:szCs w:val="24"/>
                <w:lang w:val="ro-RO" w:eastAsia="fr-FR"/>
              </w:rPr>
              <w:t>Extindere conductă de distribuție în localitatea Vâlcele</w:t>
            </w:r>
          </w:p>
        </w:tc>
        <w:tc>
          <w:tcPr>
            <w:tcW w:w="1684" w:type="dxa"/>
          </w:tcPr>
          <w:p w:rsidR="00AA5F5F" w:rsidRPr="00AA5F5F" w:rsidRDefault="00AA5F5F" w:rsidP="00AA5F5F">
            <w:pPr>
              <w:pStyle w:val="ListParagraph"/>
              <w:tabs>
                <w:tab w:val="left" w:pos="0"/>
              </w:tabs>
              <w:ind w:left="0" w:right="108"/>
              <w:jc w:val="center"/>
              <w:rPr>
                <w:rFonts w:ascii="Trebuchet MS" w:hAnsi="Trebuchet MS"/>
                <w:sz w:val="20"/>
                <w:szCs w:val="24"/>
                <w:lang w:val="ro-RO" w:eastAsia="fr-FR"/>
              </w:rPr>
            </w:pPr>
            <w:r>
              <w:rPr>
                <w:rFonts w:ascii="Trebuchet MS" w:hAnsi="Trebuchet MS"/>
                <w:sz w:val="20"/>
                <w:szCs w:val="24"/>
                <w:lang w:val="ro-RO" w:eastAsia="fr-FR"/>
              </w:rPr>
              <w:t>2,147</w:t>
            </w:r>
          </w:p>
        </w:tc>
        <w:tc>
          <w:tcPr>
            <w:tcW w:w="3108" w:type="dxa"/>
          </w:tcPr>
          <w:p w:rsidR="00AA5F5F" w:rsidRPr="00AA5F5F" w:rsidRDefault="00AA5F5F" w:rsidP="00AA5F5F">
            <w:pPr>
              <w:pStyle w:val="ListParagraph"/>
              <w:tabs>
                <w:tab w:val="left" w:pos="0"/>
              </w:tabs>
              <w:ind w:left="0" w:right="108"/>
              <w:jc w:val="both"/>
              <w:rPr>
                <w:rFonts w:ascii="Trebuchet MS" w:hAnsi="Trebuchet MS"/>
                <w:sz w:val="20"/>
                <w:szCs w:val="24"/>
                <w:lang w:val="ro-RO" w:eastAsia="fr-FR"/>
              </w:rPr>
            </w:pPr>
            <w:r>
              <w:rPr>
                <w:rFonts w:ascii="Trebuchet MS" w:hAnsi="Trebuchet MS"/>
                <w:sz w:val="20"/>
                <w:szCs w:val="24"/>
                <w:lang w:val="ro-RO" w:eastAsia="fr-FR"/>
              </w:rPr>
              <w:t>PEHD PE100 Dn63 mm, PN10</w:t>
            </w:r>
          </w:p>
        </w:tc>
      </w:tr>
      <w:tr w:rsidR="00AA5F5F" w:rsidRPr="00AA5F5F" w:rsidTr="00AA5F5F">
        <w:tc>
          <w:tcPr>
            <w:tcW w:w="4531" w:type="dxa"/>
            <w:vMerge/>
          </w:tcPr>
          <w:p w:rsidR="00AA5F5F" w:rsidRPr="00AA5F5F" w:rsidRDefault="00AA5F5F" w:rsidP="00AA5F5F">
            <w:pPr>
              <w:pStyle w:val="ListParagraph"/>
              <w:tabs>
                <w:tab w:val="left" w:pos="0"/>
              </w:tabs>
              <w:ind w:left="0" w:right="108"/>
              <w:jc w:val="both"/>
              <w:rPr>
                <w:rFonts w:ascii="Trebuchet MS" w:hAnsi="Trebuchet MS"/>
                <w:sz w:val="20"/>
                <w:szCs w:val="24"/>
                <w:lang w:val="ro-RO" w:eastAsia="fr-FR"/>
              </w:rPr>
            </w:pPr>
          </w:p>
        </w:tc>
        <w:tc>
          <w:tcPr>
            <w:tcW w:w="1684" w:type="dxa"/>
          </w:tcPr>
          <w:p w:rsidR="00AA5F5F" w:rsidRPr="00AA5F5F" w:rsidRDefault="00AA5F5F" w:rsidP="00AA5F5F">
            <w:pPr>
              <w:pStyle w:val="ListParagraph"/>
              <w:tabs>
                <w:tab w:val="left" w:pos="0"/>
              </w:tabs>
              <w:ind w:left="0" w:right="108"/>
              <w:jc w:val="center"/>
              <w:rPr>
                <w:rFonts w:ascii="Trebuchet MS" w:hAnsi="Trebuchet MS"/>
                <w:sz w:val="20"/>
                <w:szCs w:val="24"/>
                <w:lang w:val="ro-RO" w:eastAsia="fr-FR"/>
              </w:rPr>
            </w:pPr>
            <w:r>
              <w:rPr>
                <w:rFonts w:ascii="Trebuchet MS" w:hAnsi="Trebuchet MS"/>
                <w:sz w:val="20"/>
                <w:szCs w:val="24"/>
                <w:lang w:val="ro-RO" w:eastAsia="fr-FR"/>
              </w:rPr>
              <w:t>19</w:t>
            </w:r>
          </w:p>
        </w:tc>
        <w:tc>
          <w:tcPr>
            <w:tcW w:w="3108" w:type="dxa"/>
          </w:tcPr>
          <w:p w:rsidR="00AA5F5F" w:rsidRDefault="00AA5F5F" w:rsidP="00AA5F5F">
            <w:r w:rsidRPr="006A24FB">
              <w:rPr>
                <w:rFonts w:ascii="Trebuchet MS" w:hAnsi="Trebuchet MS"/>
                <w:sz w:val="20"/>
                <w:szCs w:val="24"/>
                <w:lang w:val="ro-RO" w:eastAsia="fr-FR"/>
              </w:rPr>
              <w:t>PEHD PE100 Dn</w:t>
            </w:r>
            <w:r>
              <w:rPr>
                <w:rFonts w:ascii="Trebuchet MS" w:hAnsi="Trebuchet MS"/>
                <w:sz w:val="20"/>
                <w:szCs w:val="24"/>
                <w:lang w:val="ro-RO" w:eastAsia="fr-FR"/>
              </w:rPr>
              <w:t>90</w:t>
            </w:r>
            <w:r w:rsidRPr="006A24FB">
              <w:rPr>
                <w:rFonts w:ascii="Trebuchet MS" w:hAnsi="Trebuchet MS"/>
                <w:sz w:val="20"/>
                <w:szCs w:val="24"/>
                <w:lang w:val="ro-RO" w:eastAsia="fr-FR"/>
              </w:rPr>
              <w:t xml:space="preserve"> mm, PN10</w:t>
            </w:r>
          </w:p>
        </w:tc>
      </w:tr>
      <w:tr w:rsidR="00AA5F5F" w:rsidRPr="00AA5F5F" w:rsidTr="00AA5F5F">
        <w:tc>
          <w:tcPr>
            <w:tcW w:w="4531" w:type="dxa"/>
            <w:vMerge/>
          </w:tcPr>
          <w:p w:rsidR="00AA5F5F" w:rsidRPr="00AA5F5F" w:rsidRDefault="00AA5F5F" w:rsidP="00AA5F5F">
            <w:pPr>
              <w:pStyle w:val="ListParagraph"/>
              <w:tabs>
                <w:tab w:val="left" w:pos="0"/>
              </w:tabs>
              <w:ind w:left="0" w:right="108"/>
              <w:jc w:val="both"/>
              <w:rPr>
                <w:rFonts w:ascii="Trebuchet MS" w:hAnsi="Trebuchet MS"/>
                <w:sz w:val="20"/>
                <w:szCs w:val="24"/>
                <w:lang w:val="ro-RO" w:eastAsia="fr-FR"/>
              </w:rPr>
            </w:pPr>
          </w:p>
        </w:tc>
        <w:tc>
          <w:tcPr>
            <w:tcW w:w="1684" w:type="dxa"/>
          </w:tcPr>
          <w:p w:rsidR="00AA5F5F" w:rsidRPr="00AA5F5F" w:rsidRDefault="00AA5F5F" w:rsidP="00AA5F5F">
            <w:pPr>
              <w:pStyle w:val="ListParagraph"/>
              <w:tabs>
                <w:tab w:val="left" w:pos="0"/>
              </w:tabs>
              <w:ind w:left="0" w:right="108"/>
              <w:jc w:val="center"/>
              <w:rPr>
                <w:rFonts w:ascii="Trebuchet MS" w:hAnsi="Trebuchet MS"/>
                <w:sz w:val="20"/>
                <w:szCs w:val="24"/>
                <w:lang w:val="ro-RO" w:eastAsia="fr-FR"/>
              </w:rPr>
            </w:pPr>
            <w:r>
              <w:rPr>
                <w:rFonts w:ascii="Trebuchet MS" w:hAnsi="Trebuchet MS"/>
                <w:sz w:val="20"/>
                <w:szCs w:val="24"/>
                <w:lang w:val="ro-RO" w:eastAsia="fr-FR"/>
              </w:rPr>
              <w:t>2,386</w:t>
            </w:r>
          </w:p>
        </w:tc>
        <w:tc>
          <w:tcPr>
            <w:tcW w:w="3108" w:type="dxa"/>
          </w:tcPr>
          <w:p w:rsidR="00AA5F5F" w:rsidRDefault="00AA5F5F" w:rsidP="00AA5F5F">
            <w:r w:rsidRPr="006A24FB">
              <w:rPr>
                <w:rFonts w:ascii="Trebuchet MS" w:hAnsi="Trebuchet MS"/>
                <w:sz w:val="20"/>
                <w:szCs w:val="24"/>
                <w:lang w:val="ro-RO" w:eastAsia="fr-FR"/>
              </w:rPr>
              <w:t>PEHD PE100 Dn</w:t>
            </w:r>
            <w:r>
              <w:rPr>
                <w:rFonts w:ascii="Trebuchet MS" w:hAnsi="Trebuchet MS"/>
                <w:sz w:val="20"/>
                <w:szCs w:val="24"/>
                <w:lang w:val="ro-RO" w:eastAsia="fr-FR"/>
              </w:rPr>
              <w:t>110</w:t>
            </w:r>
            <w:r w:rsidRPr="006A24FB">
              <w:rPr>
                <w:rFonts w:ascii="Trebuchet MS" w:hAnsi="Trebuchet MS"/>
                <w:sz w:val="20"/>
                <w:szCs w:val="24"/>
                <w:lang w:val="ro-RO" w:eastAsia="fr-FR"/>
              </w:rPr>
              <w:t xml:space="preserve"> mm, PN10</w:t>
            </w:r>
          </w:p>
        </w:tc>
      </w:tr>
      <w:tr w:rsidR="00AA5F5F" w:rsidRPr="00AA5F5F" w:rsidTr="00AA5F5F">
        <w:tc>
          <w:tcPr>
            <w:tcW w:w="4531" w:type="dxa"/>
          </w:tcPr>
          <w:p w:rsidR="00AA5F5F" w:rsidRPr="00AA5F5F" w:rsidRDefault="00AA5F5F" w:rsidP="00AA5F5F">
            <w:pPr>
              <w:pStyle w:val="ListParagraph"/>
              <w:tabs>
                <w:tab w:val="left" w:pos="0"/>
              </w:tabs>
              <w:ind w:left="0" w:right="108"/>
              <w:jc w:val="both"/>
              <w:rPr>
                <w:rFonts w:ascii="Trebuchet MS" w:hAnsi="Trebuchet MS"/>
                <w:sz w:val="20"/>
                <w:szCs w:val="24"/>
                <w:lang w:val="ro-RO" w:eastAsia="fr-FR"/>
              </w:rPr>
            </w:pPr>
            <w:r>
              <w:rPr>
                <w:rFonts w:ascii="Trebuchet MS" w:hAnsi="Trebuchet MS"/>
                <w:sz w:val="20"/>
                <w:szCs w:val="24"/>
                <w:lang w:val="ro-RO" w:eastAsia="fr-FR"/>
              </w:rPr>
              <w:t>Total</w:t>
            </w:r>
          </w:p>
        </w:tc>
        <w:tc>
          <w:tcPr>
            <w:tcW w:w="4792" w:type="dxa"/>
            <w:gridSpan w:val="2"/>
          </w:tcPr>
          <w:p w:rsidR="00AA5F5F" w:rsidRPr="00AA5F5F" w:rsidRDefault="00AA5F5F" w:rsidP="00AA5F5F">
            <w:pPr>
              <w:pStyle w:val="ListParagraph"/>
              <w:tabs>
                <w:tab w:val="left" w:pos="0"/>
              </w:tabs>
              <w:ind w:left="0" w:right="108"/>
              <w:jc w:val="both"/>
              <w:rPr>
                <w:rFonts w:ascii="Trebuchet MS" w:hAnsi="Trebuchet MS"/>
                <w:b/>
                <w:sz w:val="20"/>
                <w:szCs w:val="24"/>
                <w:lang w:val="ro-RO" w:eastAsia="fr-FR"/>
              </w:rPr>
            </w:pPr>
            <w:r w:rsidRPr="00AA5F5F">
              <w:rPr>
                <w:rFonts w:ascii="Trebuchet MS" w:hAnsi="Trebuchet MS"/>
                <w:b/>
                <w:sz w:val="20"/>
                <w:szCs w:val="24"/>
                <w:lang w:val="ro-RO" w:eastAsia="fr-FR"/>
              </w:rPr>
              <w:t>4,552 m</w:t>
            </w:r>
          </w:p>
        </w:tc>
      </w:tr>
    </w:tbl>
    <w:p w:rsidR="00843851" w:rsidRDefault="00843851" w:rsidP="00426A93">
      <w:pPr>
        <w:pStyle w:val="ListParagraph"/>
        <w:tabs>
          <w:tab w:val="left" w:pos="0"/>
        </w:tabs>
        <w:spacing w:after="0" w:line="240" w:lineRule="auto"/>
        <w:ind w:left="0" w:right="108"/>
        <w:jc w:val="both"/>
        <w:rPr>
          <w:rFonts w:ascii="Trebuchet MS" w:hAnsi="Trebuchet MS"/>
          <w:szCs w:val="24"/>
          <w:lang w:val="ro-RO" w:eastAsia="fr-FR"/>
        </w:rPr>
      </w:pPr>
    </w:p>
    <w:p w:rsidR="00BF24B9" w:rsidRDefault="00AA5F5F" w:rsidP="00BF24B9">
      <w:pPr>
        <w:pStyle w:val="ListParagraph"/>
        <w:tabs>
          <w:tab w:val="left" w:pos="0"/>
        </w:tabs>
        <w:spacing w:after="0" w:line="360" w:lineRule="auto"/>
        <w:ind w:left="0" w:right="108"/>
        <w:jc w:val="both"/>
        <w:rPr>
          <w:rFonts w:ascii="Trebuchet MS" w:hAnsi="Trebuchet MS" w:cs="Times New Roman"/>
        </w:rPr>
      </w:pPr>
      <w:proofErr w:type="gramStart"/>
      <w:r>
        <w:rPr>
          <w:rFonts w:ascii="Trebuchet MS" w:hAnsi="Trebuchet MS" w:cs="Times New Roman"/>
        </w:rPr>
        <w:t>Un</w:t>
      </w:r>
      <w:proofErr w:type="gramEnd"/>
      <w:r>
        <w:rPr>
          <w:rFonts w:ascii="Trebuchet MS" w:hAnsi="Trebuchet MS" w:cs="Times New Roman"/>
        </w:rPr>
        <w:t xml:space="preserve"> </w:t>
      </w:r>
      <w:proofErr w:type="spellStart"/>
      <w:r>
        <w:rPr>
          <w:rFonts w:ascii="Trebuchet MS" w:hAnsi="Trebuchet MS" w:cs="Times New Roman"/>
        </w:rPr>
        <w:t>centralizator</w:t>
      </w:r>
      <w:proofErr w:type="spellEnd"/>
      <w:r>
        <w:rPr>
          <w:rFonts w:ascii="Trebuchet MS" w:hAnsi="Trebuchet MS" w:cs="Times New Roman"/>
        </w:rPr>
        <w:t xml:space="preserve"> al </w:t>
      </w:r>
      <w:proofErr w:type="spellStart"/>
      <w:r>
        <w:rPr>
          <w:rFonts w:ascii="Trebuchet MS" w:hAnsi="Trebuchet MS" w:cs="Times New Roman"/>
        </w:rPr>
        <w:t>elementelor</w:t>
      </w:r>
      <w:proofErr w:type="spellEnd"/>
      <w:r>
        <w:rPr>
          <w:rFonts w:ascii="Trebuchet MS" w:hAnsi="Trebuchet MS" w:cs="Times New Roman"/>
        </w:rPr>
        <w:t xml:space="preserve"> </w:t>
      </w:r>
      <w:proofErr w:type="spellStart"/>
      <w:r>
        <w:rPr>
          <w:rFonts w:ascii="Trebuchet MS" w:hAnsi="Trebuchet MS" w:cs="Times New Roman"/>
        </w:rPr>
        <w:t>necesare</w:t>
      </w:r>
      <w:proofErr w:type="spellEnd"/>
      <w:r>
        <w:rPr>
          <w:rFonts w:ascii="Trebuchet MS" w:hAnsi="Trebuchet MS" w:cs="Times New Roman"/>
        </w:rPr>
        <w:t xml:space="preserve"> </w:t>
      </w:r>
      <w:proofErr w:type="spellStart"/>
      <w:r>
        <w:rPr>
          <w:rFonts w:ascii="Trebuchet MS" w:hAnsi="Trebuchet MS" w:cs="Times New Roman"/>
        </w:rPr>
        <w:t>extinderii</w:t>
      </w:r>
      <w:proofErr w:type="spellEnd"/>
      <w:r>
        <w:rPr>
          <w:rFonts w:ascii="Trebuchet MS" w:hAnsi="Trebuchet MS" w:cs="Times New Roman"/>
        </w:rPr>
        <w:t xml:space="preserve"> de </w:t>
      </w:r>
      <w:proofErr w:type="spellStart"/>
      <w:r>
        <w:rPr>
          <w:rFonts w:ascii="Trebuchet MS" w:hAnsi="Trebuchet MS" w:cs="Times New Roman"/>
        </w:rPr>
        <w:t>alimentare</w:t>
      </w:r>
      <w:proofErr w:type="spellEnd"/>
      <w:r>
        <w:rPr>
          <w:rFonts w:ascii="Trebuchet MS" w:hAnsi="Trebuchet MS" w:cs="Times New Roman"/>
        </w:rPr>
        <w:t xml:space="preserve"> cu </w:t>
      </w:r>
      <w:proofErr w:type="spellStart"/>
      <w:r>
        <w:rPr>
          <w:rFonts w:ascii="Trebuchet MS" w:hAnsi="Trebuchet MS" w:cs="Times New Roman"/>
        </w:rPr>
        <w:t>apă</w:t>
      </w:r>
      <w:proofErr w:type="spellEnd"/>
      <w:r>
        <w:rPr>
          <w:rFonts w:ascii="Trebuchet MS" w:hAnsi="Trebuchet MS" w:cs="Times New Roman"/>
        </w:rPr>
        <w:t xml:space="preserve"> </w:t>
      </w:r>
      <w:proofErr w:type="spellStart"/>
      <w:r>
        <w:rPr>
          <w:rFonts w:ascii="Trebuchet MS" w:hAnsi="Trebuchet MS" w:cs="Times New Roman"/>
        </w:rPr>
        <w:t>este</w:t>
      </w:r>
      <w:proofErr w:type="spellEnd"/>
      <w:r>
        <w:rPr>
          <w:rFonts w:ascii="Trebuchet MS" w:hAnsi="Trebuchet MS" w:cs="Times New Roman"/>
        </w:rPr>
        <w:t xml:space="preserve"> </w:t>
      </w:r>
      <w:proofErr w:type="spellStart"/>
      <w:r>
        <w:rPr>
          <w:rFonts w:ascii="Trebuchet MS" w:hAnsi="Trebuchet MS" w:cs="Times New Roman"/>
        </w:rPr>
        <w:t>prezentat</w:t>
      </w:r>
      <w:proofErr w:type="spellEnd"/>
      <w:r>
        <w:rPr>
          <w:rFonts w:ascii="Trebuchet MS" w:hAnsi="Trebuchet MS" w:cs="Times New Roman"/>
        </w:rPr>
        <w:t xml:space="preserve"> </w:t>
      </w:r>
      <w:proofErr w:type="spellStart"/>
      <w:r>
        <w:rPr>
          <w:rFonts w:ascii="Trebuchet MS" w:hAnsi="Trebuchet MS" w:cs="Times New Roman"/>
        </w:rPr>
        <w:t>în</w:t>
      </w:r>
      <w:proofErr w:type="spellEnd"/>
      <w:r>
        <w:rPr>
          <w:rFonts w:ascii="Trebuchet MS" w:hAnsi="Trebuchet MS" w:cs="Times New Roman"/>
        </w:rPr>
        <w:t xml:space="preserve"> </w:t>
      </w:r>
      <w:proofErr w:type="spellStart"/>
      <w:r>
        <w:rPr>
          <w:rFonts w:ascii="Trebuchet MS" w:hAnsi="Trebuchet MS" w:cs="Times New Roman"/>
        </w:rPr>
        <w:t>tabelul</w:t>
      </w:r>
      <w:proofErr w:type="spellEnd"/>
      <w:r>
        <w:rPr>
          <w:rFonts w:ascii="Trebuchet MS" w:hAnsi="Trebuchet MS" w:cs="Times New Roman"/>
        </w:rPr>
        <w:t xml:space="preserve"> de </w:t>
      </w:r>
      <w:proofErr w:type="spellStart"/>
      <w:r>
        <w:rPr>
          <w:rFonts w:ascii="Trebuchet MS" w:hAnsi="Trebuchet MS" w:cs="Times New Roman"/>
        </w:rPr>
        <w:t>mai</w:t>
      </w:r>
      <w:proofErr w:type="spellEnd"/>
      <w:r>
        <w:rPr>
          <w:rFonts w:ascii="Trebuchet MS" w:hAnsi="Trebuchet MS" w:cs="Times New Roman"/>
        </w:rPr>
        <w:t xml:space="preserve"> </w:t>
      </w:r>
      <w:proofErr w:type="spellStart"/>
      <w:r>
        <w:rPr>
          <w:rFonts w:ascii="Trebuchet MS" w:hAnsi="Trebuchet MS" w:cs="Times New Roman"/>
        </w:rPr>
        <w:t>jos</w:t>
      </w:r>
      <w:proofErr w:type="spellEnd"/>
      <w:r>
        <w:rPr>
          <w:rFonts w:ascii="Trebuchet MS" w:hAnsi="Trebuchet MS" w:cs="Times New Roman"/>
        </w:rPr>
        <w:t>:</w:t>
      </w:r>
    </w:p>
    <w:tbl>
      <w:tblPr>
        <w:tblStyle w:val="TableGrid"/>
        <w:tblW w:w="0" w:type="auto"/>
        <w:tblLook w:val="04A0" w:firstRow="1" w:lastRow="0" w:firstColumn="1" w:lastColumn="0" w:noHBand="0" w:noVBand="1"/>
      </w:tblPr>
      <w:tblGrid>
        <w:gridCol w:w="562"/>
        <w:gridCol w:w="3119"/>
        <w:gridCol w:w="3827"/>
        <w:gridCol w:w="709"/>
        <w:gridCol w:w="1106"/>
      </w:tblGrid>
      <w:tr w:rsidR="00AA5F5F" w:rsidRPr="00AA5F5F" w:rsidTr="00AA5F5F">
        <w:tc>
          <w:tcPr>
            <w:tcW w:w="562" w:type="dxa"/>
            <w:shd w:val="clear" w:color="auto" w:fill="D9D9D9" w:themeFill="background1" w:themeFillShade="D9"/>
          </w:tcPr>
          <w:p w:rsidR="00AA5F5F" w:rsidRPr="00AA5F5F" w:rsidRDefault="00AA5F5F" w:rsidP="00AA5F5F">
            <w:pPr>
              <w:pStyle w:val="Default"/>
              <w:jc w:val="center"/>
              <w:rPr>
                <w:rFonts w:ascii="Trebuchet MS" w:hAnsi="Trebuchet MS"/>
                <w:b/>
                <w:sz w:val="20"/>
                <w:szCs w:val="20"/>
              </w:rPr>
            </w:pPr>
            <w:r w:rsidRPr="00AA5F5F">
              <w:rPr>
                <w:rFonts w:ascii="Trebuchet MS" w:hAnsi="Trebuchet MS"/>
                <w:b/>
                <w:sz w:val="20"/>
                <w:szCs w:val="20"/>
              </w:rPr>
              <w:t>Nr. crt.</w:t>
            </w:r>
          </w:p>
        </w:tc>
        <w:tc>
          <w:tcPr>
            <w:tcW w:w="6946" w:type="dxa"/>
            <w:gridSpan w:val="2"/>
            <w:shd w:val="clear" w:color="auto" w:fill="D9D9D9" w:themeFill="background1" w:themeFillShade="D9"/>
          </w:tcPr>
          <w:p w:rsidR="00AA5F5F" w:rsidRPr="00AA5F5F" w:rsidRDefault="00AA5F5F" w:rsidP="00AA5F5F">
            <w:pPr>
              <w:pStyle w:val="Default"/>
              <w:jc w:val="center"/>
              <w:rPr>
                <w:rFonts w:ascii="Trebuchet MS" w:hAnsi="Trebuchet MS"/>
                <w:b/>
                <w:sz w:val="20"/>
                <w:szCs w:val="20"/>
              </w:rPr>
            </w:pPr>
            <w:r w:rsidRPr="00AA5F5F">
              <w:rPr>
                <w:rFonts w:ascii="Trebuchet MS" w:hAnsi="Trebuchet MS"/>
                <w:b/>
                <w:sz w:val="20"/>
                <w:szCs w:val="20"/>
              </w:rPr>
              <w:t>Material</w:t>
            </w:r>
          </w:p>
        </w:tc>
        <w:tc>
          <w:tcPr>
            <w:tcW w:w="709" w:type="dxa"/>
            <w:shd w:val="clear" w:color="auto" w:fill="D9D9D9" w:themeFill="background1" w:themeFillShade="D9"/>
          </w:tcPr>
          <w:p w:rsidR="00AA5F5F" w:rsidRPr="00AA5F5F" w:rsidRDefault="00AA5F5F" w:rsidP="00AA5F5F">
            <w:pPr>
              <w:pStyle w:val="Default"/>
              <w:jc w:val="center"/>
              <w:rPr>
                <w:rFonts w:ascii="Trebuchet MS" w:hAnsi="Trebuchet MS"/>
                <w:b/>
                <w:sz w:val="20"/>
                <w:szCs w:val="20"/>
              </w:rPr>
            </w:pPr>
            <w:r w:rsidRPr="00AA5F5F">
              <w:rPr>
                <w:rFonts w:ascii="Trebuchet MS" w:hAnsi="Trebuchet MS"/>
                <w:b/>
                <w:sz w:val="20"/>
                <w:szCs w:val="20"/>
              </w:rPr>
              <w:t>U.M.</w:t>
            </w:r>
          </w:p>
        </w:tc>
        <w:tc>
          <w:tcPr>
            <w:tcW w:w="1106" w:type="dxa"/>
            <w:shd w:val="clear" w:color="auto" w:fill="D9D9D9" w:themeFill="background1" w:themeFillShade="D9"/>
          </w:tcPr>
          <w:p w:rsidR="00AA5F5F" w:rsidRPr="00AA5F5F" w:rsidRDefault="00AA5F5F" w:rsidP="00AA5F5F">
            <w:pPr>
              <w:pStyle w:val="Default"/>
              <w:jc w:val="center"/>
              <w:rPr>
                <w:rFonts w:ascii="Trebuchet MS" w:hAnsi="Trebuchet MS"/>
                <w:b/>
                <w:sz w:val="20"/>
                <w:szCs w:val="20"/>
              </w:rPr>
            </w:pPr>
            <w:r w:rsidRPr="00AA5F5F">
              <w:rPr>
                <w:rFonts w:ascii="Trebuchet MS" w:hAnsi="Trebuchet MS"/>
                <w:b/>
                <w:sz w:val="20"/>
                <w:szCs w:val="20"/>
              </w:rPr>
              <w:t>Cantitate</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1.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Cămine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Tip. 1 _ 1.50 m x 1.50m.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20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2.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Vane sertar pana corp scurt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Dn 50 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20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3.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Vane aerisire-golire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VpA1, Dn 50 mm, P=0.8 bar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13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4.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Reductor de presiune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DN 50 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3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5.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Reductor de presiune in camin de bransament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DN 25 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3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6.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Bransamente gospodarii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De 25 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130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7.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Cămine de branșament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1.00 m x 1.00 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130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8.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Hidrant suprateran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DN 80 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7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9.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Stații de pompare apă potabilă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Amplasată în container 2,5x3x2,5 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buc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2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10.</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Subtraversări cursuri de apă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Conducta De63mm,110mm, tub protectie OL245x8mm/OL178x6mm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m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70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11.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Subtraversare Drum asfaltat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Conducta De110mm, tub protectie OL245x8mm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m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8 </w:t>
            </w:r>
          </w:p>
        </w:tc>
      </w:tr>
      <w:tr w:rsidR="00AA5F5F" w:rsidRPr="00AA5F5F" w:rsidTr="00AA5F5F">
        <w:tc>
          <w:tcPr>
            <w:tcW w:w="562" w:type="dxa"/>
          </w:tcPr>
          <w:p w:rsidR="00AA5F5F" w:rsidRPr="00AA5F5F" w:rsidRDefault="00AA5F5F" w:rsidP="00AA5F5F">
            <w:pPr>
              <w:pStyle w:val="Default"/>
              <w:rPr>
                <w:rFonts w:ascii="Trebuchet MS" w:hAnsi="Trebuchet MS"/>
                <w:sz w:val="20"/>
                <w:szCs w:val="20"/>
              </w:rPr>
            </w:pPr>
            <w:r>
              <w:rPr>
                <w:rFonts w:ascii="Trebuchet MS" w:hAnsi="Trebuchet MS"/>
                <w:sz w:val="20"/>
                <w:szCs w:val="20"/>
              </w:rPr>
              <w:t xml:space="preserve">12. </w:t>
            </w:r>
          </w:p>
        </w:tc>
        <w:tc>
          <w:tcPr>
            <w:tcW w:w="311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Subtraversare conductă gaz </w:t>
            </w:r>
          </w:p>
        </w:tc>
        <w:tc>
          <w:tcPr>
            <w:tcW w:w="3827"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Conducta De 63mm, 110mm, tub protectie OL245x8mm/OL178x6mm </w:t>
            </w:r>
          </w:p>
        </w:tc>
        <w:tc>
          <w:tcPr>
            <w:tcW w:w="709"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m </w:t>
            </w:r>
          </w:p>
        </w:tc>
        <w:tc>
          <w:tcPr>
            <w:tcW w:w="1106" w:type="dxa"/>
          </w:tcPr>
          <w:p w:rsidR="00AA5F5F" w:rsidRPr="00AA5F5F" w:rsidRDefault="00AA5F5F" w:rsidP="00AA5F5F">
            <w:pPr>
              <w:pStyle w:val="Default"/>
              <w:rPr>
                <w:rFonts w:ascii="Trebuchet MS" w:hAnsi="Trebuchet MS"/>
                <w:sz w:val="20"/>
                <w:szCs w:val="20"/>
              </w:rPr>
            </w:pPr>
            <w:r w:rsidRPr="00AA5F5F">
              <w:rPr>
                <w:rFonts w:ascii="Trebuchet MS" w:hAnsi="Trebuchet MS"/>
                <w:sz w:val="20"/>
                <w:szCs w:val="20"/>
              </w:rPr>
              <w:t xml:space="preserve">48 </w:t>
            </w:r>
          </w:p>
        </w:tc>
      </w:tr>
    </w:tbl>
    <w:p w:rsidR="00AA5F5F" w:rsidRPr="00AA5F5F" w:rsidRDefault="00AA5F5F" w:rsidP="00BF24B9">
      <w:pPr>
        <w:pStyle w:val="ListParagraph"/>
        <w:tabs>
          <w:tab w:val="left" w:pos="0"/>
        </w:tabs>
        <w:spacing w:after="0" w:line="360" w:lineRule="auto"/>
        <w:ind w:left="0" w:right="108"/>
        <w:jc w:val="both"/>
        <w:rPr>
          <w:rFonts w:ascii="Trebuchet MS" w:hAnsi="Trebuchet MS" w:cs="Times New Roman"/>
        </w:rPr>
      </w:pPr>
    </w:p>
    <w:p w:rsidR="00A22F0A" w:rsidRPr="005933AB" w:rsidRDefault="00A368DF" w:rsidP="00562CB0">
      <w:pPr>
        <w:pStyle w:val="ListParagraph"/>
        <w:tabs>
          <w:tab w:val="left" w:pos="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62CB0">
      <w:pPr>
        <w:spacing w:after="0" w:line="360" w:lineRule="auto"/>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w:t>
      </w:r>
      <w:r w:rsidRPr="005933AB">
        <w:rPr>
          <w:rFonts w:ascii="Trebuchet MS" w:eastAsia="Calibri" w:hAnsi="Trebuchet MS" w:cs="Times New Roman"/>
          <w:noProof/>
          <w:lang w:val="ro-RO"/>
        </w:rPr>
        <w:lastRenderedPageBreak/>
        <w:t>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62CB0">
      <w:pPr>
        <w:spacing w:after="0" w:line="360" w:lineRule="auto"/>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5933AB" w:rsidRDefault="00A22F0A" w:rsidP="00562CB0">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62CB0">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Marcarea corespunzătoare a lucărărilor periculoase;</w:t>
      </w:r>
    </w:p>
    <w:p w:rsidR="00F2659F" w:rsidRPr="005933AB"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lastRenderedPageBreak/>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404F4A" w:rsidRDefault="008341FC"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841414">
        <w:rPr>
          <w:rFonts w:ascii="Trebuchet MS" w:eastAsia="Calibri" w:hAnsi="Trebuchet MS" w:cs="Times New Roman"/>
          <w:b/>
          <w:noProof/>
          <w:lang w:val="ro-RO"/>
        </w:rPr>
        <w:t xml:space="preserve">, inclusiv ale </w:t>
      </w:r>
      <w:r w:rsidR="00404F4A">
        <w:rPr>
          <w:rFonts w:ascii="Trebuchet MS" w:eastAsia="Calibri" w:hAnsi="Trebuchet MS" w:cs="Times New Roman"/>
          <w:b/>
          <w:noProof/>
          <w:lang w:val="ro-RO"/>
        </w:rPr>
        <w:t>Avizului de gospodărire a apelor nr. 158/22.05.2024, emis de ABA Mureș:</w:t>
      </w:r>
    </w:p>
    <w:p w:rsidR="00404F4A" w:rsidRDefault="00404F4A" w:rsidP="00404F4A">
      <w:pPr>
        <w:pStyle w:val="ListParagraph"/>
        <w:numPr>
          <w:ilvl w:val="0"/>
          <w:numId w:val="9"/>
        </w:numPr>
        <w:autoSpaceDE w:val="0"/>
        <w:autoSpaceDN w:val="0"/>
        <w:adjustRightInd w:val="0"/>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Beneficiarul are obligația să anunțe Administrației Bazinale de Apă Mureș și S.G.A. Alba începerea lucrărilor, iar la finalizarea lor să solicite autorizarea obiectivului din punct de vedere al gospodăririi apelor.</w:t>
      </w:r>
    </w:p>
    <w:p w:rsidR="00404F4A" w:rsidRDefault="00404F4A" w:rsidP="00404F4A">
      <w:pPr>
        <w:pStyle w:val="ListParagraph"/>
        <w:numPr>
          <w:ilvl w:val="0"/>
          <w:numId w:val="9"/>
        </w:numPr>
        <w:autoSpaceDE w:val="0"/>
        <w:autoSpaceDN w:val="0"/>
        <w:adjustRightInd w:val="0"/>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Pe perioada execuției lucrprilor se interzice depozitare materialelor de construcții, a deșeurilor în albiile și pe malurile corpurilor de apă</w:t>
      </w:r>
    </w:p>
    <w:p w:rsidR="00404F4A" w:rsidRDefault="00404F4A" w:rsidP="00404F4A">
      <w:pPr>
        <w:pStyle w:val="ListParagraph"/>
        <w:numPr>
          <w:ilvl w:val="0"/>
          <w:numId w:val="9"/>
        </w:numPr>
        <w:autoSpaceDE w:val="0"/>
        <w:autoSpaceDN w:val="0"/>
        <w:adjustRightInd w:val="0"/>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La stabilirea traseului rețelelor proiectate, în cazul în care traseul se desfășoară paralel cu cursuri de apă, proiectantul are obligația de a identifica tronsoanele de traseu expuse deteriorării datorită acestei poziționări și de a stabili prin proiect toate lucrările de punere în siguranță a rețelei proiectate (prin apărări/consolidări de maluri sau alte soluții tehnice adaptate situației din teren). Lucrările de alimentare cu apă și de canalizare se vor executa astfel încât să nu se producă degradări ale malurilor cursurilor de apă sau degradări ale conductelor. În cazul în care se produc degradări ale malurilor cursurilor de apă beneficiarul are obligația refacerii acestora la starea inițială pe cheltuială proprie.</w:t>
      </w:r>
    </w:p>
    <w:p w:rsidR="00404F4A" w:rsidRDefault="00404F4A" w:rsidP="00404F4A">
      <w:pPr>
        <w:pStyle w:val="ListParagraph"/>
        <w:numPr>
          <w:ilvl w:val="0"/>
          <w:numId w:val="9"/>
        </w:numPr>
        <w:autoSpaceDE w:val="0"/>
        <w:autoSpaceDN w:val="0"/>
        <w:adjustRightInd w:val="0"/>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În cazul în care vor interveni schimbări de soluție față de studiul de fezabilitare în baza căruia s-a emis prezentul aviz, este necesară notificarea acestui fapt către Administrația Bazinală de Apă Mureș și modificarea avizului sau emiterea unui nou aviz, după caz, în conformitate cu prevederile Ordinului M.A.P. nr. 828/2019.</w:t>
      </w:r>
    </w:p>
    <w:p w:rsidR="00404F4A" w:rsidRPr="00404F4A" w:rsidRDefault="00404F4A" w:rsidP="00404F4A">
      <w:pPr>
        <w:pStyle w:val="ListParagraph"/>
        <w:numPr>
          <w:ilvl w:val="0"/>
          <w:numId w:val="9"/>
        </w:numPr>
        <w:autoSpaceDE w:val="0"/>
        <w:autoSpaceDN w:val="0"/>
        <w:adjustRightInd w:val="0"/>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 xml:space="preserve">Racordarea la sistemul hidroedilitar (alimentare cu apă) se va face în conformitate cu avizele/acceptele debranșare ce vor fi emise de administratoul/operatorul acestora, respectiv Compania de Apă Someș SA. </w:t>
      </w:r>
    </w:p>
    <w:p w:rsidR="00A22F0A" w:rsidRPr="005933AB" w:rsidRDefault="00404F4A" w:rsidP="00562CB0">
      <w:pPr>
        <w:autoSpaceDE w:val="0"/>
        <w:autoSpaceDN w:val="0"/>
        <w:adjustRightInd w:val="0"/>
        <w:spacing w:after="0" w:line="360" w:lineRule="auto"/>
        <w:ind w:right="108"/>
        <w:jc w:val="both"/>
        <w:rPr>
          <w:rFonts w:ascii="Trebuchet MS" w:eastAsia="Times New Roman" w:hAnsi="Trebuchet MS" w:cs="Times New Roman"/>
          <w:noProof/>
          <w:lang w:val="ro-RO"/>
        </w:rPr>
      </w:pPr>
      <w:r>
        <w:rPr>
          <w:rFonts w:ascii="Trebuchet MS" w:eastAsia="Calibri" w:hAnsi="Trebuchet MS" w:cs="Times New Roman"/>
          <w:noProof/>
          <w:lang w:val="ro-RO"/>
        </w:rPr>
        <w:t xml:space="preserve">m)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r w:rsidR="00841414">
        <w:rPr>
          <w:rFonts w:ascii="Trebuchet MS" w:eastAsia="Times New Roman" w:hAnsi="Trebuchet MS" w:cs="Times New Roman"/>
          <w:noProof/>
          <w:lang w:val="ro-RO"/>
        </w:rPr>
        <w:t>.</w:t>
      </w:r>
    </w:p>
    <w:p w:rsidR="00A22F0A" w:rsidRPr="005933AB"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404F4A">
        <w:rPr>
          <w:rFonts w:ascii="Trebuchet MS" w:eastAsia="Calibri" w:hAnsi="Trebuchet MS" w:cs="Times New Roman"/>
          <w:noProof/>
          <w:lang w:val="ro-RO"/>
        </w:rPr>
        <w:t>n</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62CB0">
      <w:pPr>
        <w:pStyle w:val="ListParagraph"/>
        <w:tabs>
          <w:tab w:val="left" w:pos="360"/>
        </w:tabs>
        <w:spacing w:after="0" w:line="360" w:lineRule="auto"/>
        <w:ind w:left="810" w:right="108"/>
        <w:jc w:val="both"/>
        <w:rPr>
          <w:rFonts w:ascii="Trebuchet MS" w:eastAsia="Calibri" w:hAnsi="Trebuchet MS" w:cs="Times New Roman"/>
          <w:noProof/>
          <w:lang w:val="ro-RO"/>
        </w:rPr>
      </w:pP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w:t>
      </w:r>
      <w:r w:rsidRPr="005933AB">
        <w:rPr>
          <w:rFonts w:ascii="Trebuchet MS" w:eastAsia="Times New Roman" w:hAnsi="Trebuchet MS" w:cs="Times New Roman"/>
          <w:noProof/>
          <w:lang w:val="ro-RO"/>
        </w:rPr>
        <w:lastRenderedPageBreak/>
        <w:t xml:space="preserve">ori omisiunile autorității publice competente care fac obiectul participării publicului, inclusiv aprobarea de dezvoltare, potrivit prevederilor Legii contenciosului administrativ </w:t>
      </w:r>
      <w:hyperlink r:id="rId10"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5933AB" w:rsidRDefault="00A22F0A" w:rsidP="00562CB0">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841414" w:rsidRDefault="00841414"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AA544C" w:rsidRDefault="00AA544C"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SOCAC</w:t>
      </w:r>
      <w:r w:rsidR="00595B89">
        <w:rPr>
          <w:rFonts w:ascii="Trebuchet MS" w:eastAsia="Calibri" w:hAnsi="Trebuchet MS" w:cs="Times New Roman"/>
          <w:noProof/>
          <w:lang w:val="ro-RO"/>
        </w:rPr>
        <w:t>I</w:t>
      </w:r>
      <w:r w:rsidR="00A56712">
        <w:rPr>
          <w:rFonts w:ascii="Trebuchet MS" w:eastAsia="Calibri" w:hAnsi="Trebuchet MS" w:cs="Times New Roman"/>
          <w:noProof/>
          <w:lang w:val="ro-RO"/>
        </w:rPr>
        <w:t>U</w:t>
      </w:r>
      <w:r w:rsidR="00D52786" w:rsidRPr="005933AB">
        <w:rPr>
          <w:rFonts w:ascii="Trebuchet MS" w:eastAsia="Calibri" w:hAnsi="Trebuchet MS" w:cs="Times New Roman"/>
          <w:b/>
          <w:noProof/>
          <w:lang w:val="ro-RO"/>
        </w:rPr>
        <w:t xml:space="preserve">    </w:t>
      </w:r>
    </w:p>
    <w:p w:rsidR="0099796A"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595B89" w:rsidRPr="005933AB" w:rsidRDefault="00595B89" w:rsidP="005933AB">
      <w:pPr>
        <w:spacing w:after="0" w:line="360" w:lineRule="auto"/>
        <w:ind w:right="108"/>
        <w:jc w:val="both"/>
        <w:outlineLvl w:val="0"/>
        <w:rPr>
          <w:rFonts w:ascii="Trebuchet MS" w:eastAsia="Calibri" w:hAnsi="Trebuchet MS" w:cs="Times New Roman"/>
          <w:b/>
          <w:noProof/>
          <w:lang w:val="ro-RO"/>
        </w:rPr>
      </w:pPr>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AA544C" w:rsidRDefault="0099796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00841414">
        <w:rPr>
          <w:rFonts w:ascii="Trebuchet MS" w:eastAsia="Calibri" w:hAnsi="Trebuchet MS" w:cs="Times New Roman"/>
          <w:noProof/>
          <w:lang w:val="ro-RO"/>
        </w:rPr>
        <w:t>dr. biol. Paul BELDEAN</w:t>
      </w:r>
      <w:bookmarkStart w:id="0" w:name="_GoBack"/>
      <w:bookmarkEnd w:id="0"/>
    </w:p>
    <w:sectPr w:rsidR="00AA544C" w:rsidSect="00404F4A">
      <w:headerReference w:type="default" r:id="rId12"/>
      <w:footerReference w:type="default" r:id="rId13"/>
      <w:pgSz w:w="11907" w:h="16840" w:code="9"/>
      <w:pgMar w:top="567" w:right="1134" w:bottom="567" w:left="1440"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27" w:rsidRDefault="003F6827" w:rsidP="00D6795A">
      <w:pPr>
        <w:spacing w:after="0" w:line="240" w:lineRule="auto"/>
      </w:pPr>
      <w:r>
        <w:separator/>
      </w:r>
    </w:p>
  </w:endnote>
  <w:endnote w:type="continuationSeparator" w:id="0">
    <w:p w:rsidR="003F6827" w:rsidRDefault="003F6827"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841414">
      <w:rPr>
        <w:rFonts w:ascii="Trebuchet MS" w:hAnsi="Trebuchet MS"/>
        <w:b/>
        <w:bCs/>
        <w:noProof/>
        <w:sz w:val="16"/>
        <w:szCs w:val="16"/>
      </w:rPr>
      <w:t>6</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841414">
      <w:rPr>
        <w:rFonts w:ascii="Trebuchet MS" w:hAnsi="Trebuchet MS"/>
        <w:b/>
        <w:bCs/>
        <w:noProof/>
        <w:sz w:val="16"/>
        <w:szCs w:val="16"/>
      </w:rPr>
      <w:t>6</w:t>
    </w:r>
    <w:r w:rsidRPr="00BA7EEF">
      <w:rPr>
        <w:rFonts w:ascii="Trebuchet MS" w:hAnsi="Trebuchet MS"/>
        <w:b/>
        <w:bCs/>
        <w:sz w:val="16"/>
        <w:szCs w:val="16"/>
      </w:rPr>
      <w:fldChar w:fldCharType="end"/>
    </w:r>
  </w:p>
  <w:p w:rsidR="005933AB" w:rsidRPr="00BA7EEF" w:rsidRDefault="003F6827" w:rsidP="005933AB">
    <w:pPr>
      <w:pStyle w:val="Footer"/>
      <w:rPr>
        <w:rFonts w:ascii="Trebuchet MS" w:hAnsi="Trebuchet MS"/>
        <w:b/>
        <w:bCs/>
        <w:sz w:val="16"/>
        <w:szCs w:val="16"/>
      </w:rPr>
    </w:pPr>
    <w:hyperlink r:id="rId1" w:history="1"/>
    <w:proofErr w:type="spellStart"/>
    <w:r w:rsidR="005933AB">
      <w:rPr>
        <w:rFonts w:ascii="Trebuchet MS" w:hAnsi="Trebuchet MS"/>
        <w:bCs/>
        <w:sz w:val="16"/>
        <w:szCs w:val="16"/>
      </w:rPr>
      <w:t>S</w:t>
    </w:r>
    <w:r w:rsidR="005933AB" w:rsidRPr="00133A40">
      <w:rPr>
        <w:rFonts w:ascii="Trebuchet MS" w:hAnsi="Trebuchet MS"/>
        <w:bCs/>
        <w:sz w:val="16"/>
        <w:szCs w:val="16"/>
      </w:rPr>
      <w:t>trada</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Dorobanţilor</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nr</w:t>
    </w:r>
    <w:proofErr w:type="spellEnd"/>
    <w:r w:rsidR="005933AB" w:rsidRPr="00133A40">
      <w:rPr>
        <w:rFonts w:ascii="Trebuchet MS" w:hAnsi="Trebuchet MS"/>
        <w:bCs/>
        <w:sz w:val="16"/>
        <w:szCs w:val="16"/>
      </w:rPr>
      <w:t>.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27" w:rsidRDefault="003F6827" w:rsidP="00D6795A">
      <w:pPr>
        <w:spacing w:after="0" w:line="240" w:lineRule="auto"/>
      </w:pPr>
      <w:r>
        <w:separator/>
      </w:r>
    </w:p>
  </w:footnote>
  <w:footnote w:type="continuationSeparator" w:id="0">
    <w:p w:rsidR="003F6827" w:rsidRDefault="003F6827"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5273"/>
    <w:multiLevelType w:val="hybridMultilevel"/>
    <w:tmpl w:val="06228F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BC63CB"/>
    <w:multiLevelType w:val="multilevel"/>
    <w:tmpl w:val="6234D9E6"/>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360521F9"/>
    <w:multiLevelType w:val="hybridMultilevel"/>
    <w:tmpl w:val="EE0023F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7622DC5"/>
    <w:multiLevelType w:val="hybridMultilevel"/>
    <w:tmpl w:val="3ADED6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8C447F08"/>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25B7035"/>
    <w:multiLevelType w:val="multilevel"/>
    <w:tmpl w:val="DF404224"/>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1"/>
  </w:num>
  <w:num w:numId="2">
    <w:abstractNumId w:val="2"/>
  </w:num>
  <w:num w:numId="3">
    <w:abstractNumId w:val="8"/>
  </w:num>
  <w:num w:numId="4">
    <w:abstractNumId w:val="6"/>
  </w:num>
  <w:num w:numId="5">
    <w:abstractNumId w:val="7"/>
  </w:num>
  <w:num w:numId="6">
    <w:abstractNumId w:val="9"/>
  </w:num>
  <w:num w:numId="7">
    <w:abstractNumId w:val="3"/>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4499"/>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171C"/>
    <w:rsid w:val="000B32DA"/>
    <w:rsid w:val="000B6128"/>
    <w:rsid w:val="000C1F32"/>
    <w:rsid w:val="000C1F4C"/>
    <w:rsid w:val="000C459F"/>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222A"/>
    <w:rsid w:val="001532A5"/>
    <w:rsid w:val="0015437D"/>
    <w:rsid w:val="001546B8"/>
    <w:rsid w:val="00162070"/>
    <w:rsid w:val="00162ED7"/>
    <w:rsid w:val="00163A33"/>
    <w:rsid w:val="00163F31"/>
    <w:rsid w:val="00167476"/>
    <w:rsid w:val="00167E78"/>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146F"/>
    <w:rsid w:val="00303A98"/>
    <w:rsid w:val="00306CD0"/>
    <w:rsid w:val="003104CF"/>
    <w:rsid w:val="0031111F"/>
    <w:rsid w:val="00313106"/>
    <w:rsid w:val="00313280"/>
    <w:rsid w:val="00313933"/>
    <w:rsid w:val="003164A9"/>
    <w:rsid w:val="00316FF9"/>
    <w:rsid w:val="00317A68"/>
    <w:rsid w:val="00323A6A"/>
    <w:rsid w:val="003249E0"/>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D150F"/>
    <w:rsid w:val="003E0E87"/>
    <w:rsid w:val="003E10B7"/>
    <w:rsid w:val="003E206F"/>
    <w:rsid w:val="003E242B"/>
    <w:rsid w:val="003E3514"/>
    <w:rsid w:val="003E5887"/>
    <w:rsid w:val="003F0699"/>
    <w:rsid w:val="003F2627"/>
    <w:rsid w:val="003F2979"/>
    <w:rsid w:val="003F3865"/>
    <w:rsid w:val="003F3BCA"/>
    <w:rsid w:val="003F4BF6"/>
    <w:rsid w:val="003F6827"/>
    <w:rsid w:val="003F7D56"/>
    <w:rsid w:val="004017C8"/>
    <w:rsid w:val="004021C6"/>
    <w:rsid w:val="00404F4A"/>
    <w:rsid w:val="00406B58"/>
    <w:rsid w:val="004123BE"/>
    <w:rsid w:val="004131A3"/>
    <w:rsid w:val="004223B3"/>
    <w:rsid w:val="00422BFA"/>
    <w:rsid w:val="00422CE2"/>
    <w:rsid w:val="0042454B"/>
    <w:rsid w:val="00425A5A"/>
    <w:rsid w:val="00426A93"/>
    <w:rsid w:val="00430C8D"/>
    <w:rsid w:val="00434F59"/>
    <w:rsid w:val="004355F2"/>
    <w:rsid w:val="00435992"/>
    <w:rsid w:val="00435A50"/>
    <w:rsid w:val="004375F7"/>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329"/>
    <w:rsid w:val="00481A3D"/>
    <w:rsid w:val="00483714"/>
    <w:rsid w:val="0048551F"/>
    <w:rsid w:val="00486BA0"/>
    <w:rsid w:val="00494826"/>
    <w:rsid w:val="004A59D5"/>
    <w:rsid w:val="004A66E9"/>
    <w:rsid w:val="004B3C24"/>
    <w:rsid w:val="004C190A"/>
    <w:rsid w:val="004C5197"/>
    <w:rsid w:val="004C6E24"/>
    <w:rsid w:val="004C776E"/>
    <w:rsid w:val="004D1AC1"/>
    <w:rsid w:val="004D3E79"/>
    <w:rsid w:val="004D4251"/>
    <w:rsid w:val="004D44F4"/>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26105"/>
    <w:rsid w:val="0053107A"/>
    <w:rsid w:val="00531172"/>
    <w:rsid w:val="00532346"/>
    <w:rsid w:val="005335E7"/>
    <w:rsid w:val="0053611D"/>
    <w:rsid w:val="00537525"/>
    <w:rsid w:val="005436F4"/>
    <w:rsid w:val="00543AAA"/>
    <w:rsid w:val="005457B8"/>
    <w:rsid w:val="00555E81"/>
    <w:rsid w:val="0056172A"/>
    <w:rsid w:val="00562CB0"/>
    <w:rsid w:val="00565BF5"/>
    <w:rsid w:val="00572B15"/>
    <w:rsid w:val="005749BA"/>
    <w:rsid w:val="005768B3"/>
    <w:rsid w:val="00576D5F"/>
    <w:rsid w:val="00581531"/>
    <w:rsid w:val="00582A57"/>
    <w:rsid w:val="005843FE"/>
    <w:rsid w:val="005858CC"/>
    <w:rsid w:val="00586ECE"/>
    <w:rsid w:val="0059136F"/>
    <w:rsid w:val="005928F6"/>
    <w:rsid w:val="005933AB"/>
    <w:rsid w:val="00594BE6"/>
    <w:rsid w:val="00595B89"/>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242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5CE6"/>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2FB8"/>
    <w:rsid w:val="0075323D"/>
    <w:rsid w:val="0075443D"/>
    <w:rsid w:val="00763617"/>
    <w:rsid w:val="00763879"/>
    <w:rsid w:val="007640F8"/>
    <w:rsid w:val="00765885"/>
    <w:rsid w:val="00767D26"/>
    <w:rsid w:val="00772175"/>
    <w:rsid w:val="0077227A"/>
    <w:rsid w:val="0077262E"/>
    <w:rsid w:val="0077378A"/>
    <w:rsid w:val="00787D40"/>
    <w:rsid w:val="0079001A"/>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1414"/>
    <w:rsid w:val="008420DF"/>
    <w:rsid w:val="00842619"/>
    <w:rsid w:val="0084353B"/>
    <w:rsid w:val="00843851"/>
    <w:rsid w:val="008457AF"/>
    <w:rsid w:val="00846113"/>
    <w:rsid w:val="00846156"/>
    <w:rsid w:val="00854833"/>
    <w:rsid w:val="008551CC"/>
    <w:rsid w:val="00855989"/>
    <w:rsid w:val="008600B1"/>
    <w:rsid w:val="008606CA"/>
    <w:rsid w:val="00860F1C"/>
    <w:rsid w:val="008619D1"/>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1CE5"/>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47130"/>
    <w:rsid w:val="00A564FA"/>
    <w:rsid w:val="00A56712"/>
    <w:rsid w:val="00A56EF8"/>
    <w:rsid w:val="00A606AC"/>
    <w:rsid w:val="00A60D0D"/>
    <w:rsid w:val="00A627AD"/>
    <w:rsid w:val="00A62E76"/>
    <w:rsid w:val="00A65ECF"/>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44C"/>
    <w:rsid w:val="00AA5C6F"/>
    <w:rsid w:val="00AA5F5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543"/>
    <w:rsid w:val="00B57686"/>
    <w:rsid w:val="00B61F79"/>
    <w:rsid w:val="00B62F0B"/>
    <w:rsid w:val="00B72EA1"/>
    <w:rsid w:val="00B7417A"/>
    <w:rsid w:val="00B74471"/>
    <w:rsid w:val="00B77BD0"/>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4B9"/>
    <w:rsid w:val="00BF2615"/>
    <w:rsid w:val="00BF2835"/>
    <w:rsid w:val="00BF3242"/>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2567"/>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1683"/>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5D03"/>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54CD5"/>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609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67C9"/>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452A"/>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97A6"/>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BF24B9"/>
    <w:pPr>
      <w:spacing w:before="240" w:after="60" w:line="240" w:lineRule="auto"/>
      <w:outlineLvl w:val="7"/>
    </w:pPr>
    <w:rPr>
      <w:rFonts w:ascii="Tahoma" w:eastAsia="Times New Roman" w:hAnsi="Tahoma" w:cs="Times New Roman"/>
      <w:i/>
      <w:i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Normal bullet 2,Forth level,body 2,List Paragraph1,Paragraph"/>
    <w:basedOn w:val="Normal"/>
    <w:link w:val="ListParagraphChar"/>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 w:type="character" w:customStyle="1" w:styleId="Heading8Char">
    <w:name w:val="Heading 8 Char"/>
    <w:basedOn w:val="DefaultParagraphFont"/>
    <w:link w:val="Heading8"/>
    <w:rsid w:val="00BF24B9"/>
    <w:rPr>
      <w:rFonts w:ascii="Tahoma" w:eastAsia="Times New Roman" w:hAnsi="Tahoma" w:cs="Times New Roman"/>
      <w:i/>
      <w:iCs/>
      <w:szCs w:val="20"/>
      <w:lang w:val="fr-FR"/>
    </w:rPr>
  </w:style>
  <w:style w:type="character" w:customStyle="1" w:styleId="ListParagraphChar">
    <w:name w:val="List Paragraph Char"/>
    <w:aliases w:val="Normal bullet 2 Char,Forth level Char,body 2 Char,List Paragraph1 Char,Paragraph Char"/>
    <w:link w:val="ListParagraph"/>
    <w:locked/>
    <w:rsid w:val="00BF24B9"/>
  </w:style>
  <w:style w:type="character" w:styleId="CommentReference">
    <w:name w:val="annotation reference"/>
    <w:basedOn w:val="DefaultParagraphFont"/>
    <w:uiPriority w:val="99"/>
    <w:semiHidden/>
    <w:unhideWhenUsed/>
    <w:rsid w:val="00426A93"/>
    <w:rPr>
      <w:sz w:val="16"/>
      <w:szCs w:val="16"/>
    </w:rPr>
  </w:style>
  <w:style w:type="paragraph" w:styleId="CommentText">
    <w:name w:val="annotation text"/>
    <w:basedOn w:val="Normal"/>
    <w:link w:val="CommentTextChar"/>
    <w:uiPriority w:val="99"/>
    <w:semiHidden/>
    <w:unhideWhenUsed/>
    <w:rsid w:val="00426A93"/>
    <w:pPr>
      <w:spacing w:line="240" w:lineRule="auto"/>
    </w:pPr>
    <w:rPr>
      <w:sz w:val="20"/>
      <w:szCs w:val="20"/>
    </w:rPr>
  </w:style>
  <w:style w:type="character" w:customStyle="1" w:styleId="CommentTextChar">
    <w:name w:val="Comment Text Char"/>
    <w:basedOn w:val="DefaultParagraphFont"/>
    <w:link w:val="CommentText"/>
    <w:uiPriority w:val="99"/>
    <w:semiHidden/>
    <w:rsid w:val="00426A93"/>
    <w:rPr>
      <w:sz w:val="20"/>
      <w:szCs w:val="20"/>
    </w:rPr>
  </w:style>
  <w:style w:type="paragraph" w:styleId="CommentSubject">
    <w:name w:val="annotation subject"/>
    <w:basedOn w:val="CommentText"/>
    <w:next w:val="CommentText"/>
    <w:link w:val="CommentSubjectChar"/>
    <w:uiPriority w:val="99"/>
    <w:semiHidden/>
    <w:unhideWhenUsed/>
    <w:rsid w:val="00426A93"/>
    <w:rPr>
      <w:b/>
      <w:bCs/>
    </w:rPr>
  </w:style>
  <w:style w:type="character" w:customStyle="1" w:styleId="CommentSubjectChar">
    <w:name w:val="Comment Subject Char"/>
    <w:basedOn w:val="CommentTextChar"/>
    <w:link w:val="CommentSubject"/>
    <w:uiPriority w:val="99"/>
    <w:semiHidden/>
    <w:rsid w:val="00426A93"/>
    <w:rPr>
      <w:b/>
      <w:bCs/>
      <w:sz w:val="20"/>
      <w:szCs w:val="20"/>
    </w:rPr>
  </w:style>
  <w:style w:type="paragraph" w:customStyle="1" w:styleId="Default">
    <w:name w:val="Default"/>
    <w:rsid w:val="00AA5F5F"/>
    <w:pPr>
      <w:autoSpaceDE w:val="0"/>
      <w:autoSpaceDN w:val="0"/>
      <w:adjustRightInd w:val="0"/>
      <w:spacing w:after="0" w:line="240" w:lineRule="auto"/>
    </w:pPr>
    <w:rPr>
      <w:rFonts w:ascii="Arial Narrow" w:hAnsi="Arial Narrow" w:cs="Arial Narrow"/>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8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7C17-1130-42E5-921B-D668D644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2447</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28</cp:revision>
  <cp:lastPrinted>2024-07-18T07:16:00Z</cp:lastPrinted>
  <dcterms:created xsi:type="dcterms:W3CDTF">2023-02-27T11:15:00Z</dcterms:created>
  <dcterms:modified xsi:type="dcterms:W3CDTF">2024-07-18T11:49:00Z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