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Nr. </w:t>
      </w:r>
      <w:r w:rsidR="006F31FE" w:rsidRPr="00A16E6A">
        <w:rPr>
          <w:rFonts w:ascii="Times New Roman" w:eastAsia="Calibri" w:hAnsi="Times New Roman" w:cs="Times New Roman"/>
          <w:b/>
          <w:noProof/>
          <w:sz w:val="24"/>
          <w:szCs w:val="26"/>
          <w:lang w:val="ro-RO"/>
        </w:rPr>
        <w:t>XX</w:t>
      </w:r>
      <w:r w:rsidR="00270636"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5F0A68" w:rsidRPr="00A16E6A">
        <w:rPr>
          <w:rFonts w:ascii="Times New Roman" w:eastAsia="Calibri" w:hAnsi="Times New Roman" w:cs="Times New Roman"/>
          <w:b/>
          <w:noProof/>
          <w:sz w:val="24"/>
          <w:szCs w:val="26"/>
          <w:lang w:val="ro-RO"/>
        </w:rPr>
        <w:t>16.02</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5F0A68" w:rsidRPr="00A16E6A">
        <w:rPr>
          <w:rFonts w:ascii="Times New Roman" w:eastAsia="Calibri" w:hAnsi="Times New Roman" w:cs="Times New Roman"/>
          <w:b/>
          <w:spacing w:val="-4"/>
          <w:sz w:val="24"/>
          <w:szCs w:val="26"/>
          <w:lang w:val="ro-RO"/>
        </w:rPr>
        <w:t>SC SARES SA</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municipiul Cluj-Napoca, str. Fabricii, nr. 145</w:t>
      </w:r>
      <w:r w:rsidR="006F31FE" w:rsidRPr="00A16E6A">
        <w:rPr>
          <w:rFonts w:ascii="Times New Roman" w:eastAsia="Calibri" w:hAnsi="Times New Roman" w:cs="Times New Roman"/>
          <w:sz w:val="24"/>
          <w:szCs w:val="26"/>
          <w:lang w:val="ro-RO"/>
        </w:rPr>
        <w:t>,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5F0A68" w:rsidRPr="00A16E6A">
        <w:rPr>
          <w:rFonts w:ascii="Times New Roman" w:eastAsia="Calibri" w:hAnsi="Times New Roman" w:cs="Times New Roman"/>
          <w:sz w:val="24"/>
          <w:szCs w:val="26"/>
          <w:lang w:val="ro-RO"/>
        </w:rPr>
        <w:t>25364/08.11.2022</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5F0A68" w:rsidRPr="00A16E6A">
        <w:rPr>
          <w:rFonts w:ascii="Times New Roman" w:eastAsia="Calibri" w:hAnsi="Times New Roman" w:cs="Times New Roman"/>
          <w:sz w:val="24"/>
          <w:szCs w:val="26"/>
          <w:lang w:val="ro-RO"/>
        </w:rPr>
        <w:t>1301/18.01.2023, nr. 1947/27.01.2023, nr. 2122/30.01.2023 și nr. 3601/16.02.2023</w:t>
      </w:r>
      <w:r w:rsidR="00D6795A" w:rsidRPr="00A16E6A">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 xml:space="preserve">și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5F0A68" w:rsidRPr="00A16E6A">
        <w:rPr>
          <w:rFonts w:ascii="Times New Roman" w:eastAsia="Calibri" w:hAnsi="Times New Roman" w:cs="Times New Roman"/>
          <w:noProof/>
          <w:sz w:val="24"/>
          <w:szCs w:val="26"/>
          <w:lang w:val="ro-RO"/>
        </w:rPr>
        <w:t>14.02.2023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5F0A68" w:rsidRPr="00A16E6A">
        <w:rPr>
          <w:rFonts w:ascii="Times New Roman" w:hAnsi="Times New Roman"/>
          <w:b/>
          <w:i/>
          <w:sz w:val="24"/>
          <w:szCs w:val="26"/>
          <w:lang w:val="ro-RO"/>
        </w:rPr>
        <w:t>Construire imobil cu funcțiuni mixte J9 – parcela 5 conform planșei a 12 – plan parcelar, în baza HCL nr. 580/04.08.2022, amenajări exterioare, împrejmuire provizorie teren și organizare teren</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5F0A68" w:rsidRPr="00A16E6A">
        <w:rPr>
          <w:rFonts w:ascii="Times New Roman" w:eastAsia="Calibri" w:hAnsi="Times New Roman" w:cs="Times New Roman"/>
          <w:sz w:val="24"/>
          <w:szCs w:val="26"/>
          <w:lang w:val="ro-RO"/>
        </w:rPr>
        <w:t>municipiul Cluj-Napoca, str. Fabricii, nr. 145</w:t>
      </w:r>
      <w:r w:rsidR="006F31FE" w:rsidRPr="00A16E6A">
        <w:rPr>
          <w:rFonts w:ascii="Times New Roman" w:eastAsia="Calibri" w:hAnsi="Times New Roman" w:cs="Times New Roman"/>
          <w:sz w:val="24"/>
          <w:szCs w:val="26"/>
          <w:lang w:val="ro-RO"/>
        </w:rPr>
        <w:t>, judeţul Cluj</w:t>
      </w:r>
      <w:r w:rsidR="00190EDA" w:rsidRPr="00A16E6A">
        <w:rPr>
          <w:rFonts w:ascii="Times New Roman" w:hAnsi="Times New Roman" w:cs="Times New Roman"/>
          <w:sz w:val="24"/>
          <w:szCs w:val="26"/>
          <w:lang w:val="ro-RO"/>
        </w:rPr>
        <w:t xml:space="preserve"> </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 xml:space="preserve">10.b) – </w:t>
      </w:r>
      <w:r w:rsidR="005436F4" w:rsidRPr="00A16E6A">
        <w:rPr>
          <w:rFonts w:ascii="Times New Roman" w:hAnsi="Times New Roman" w:cs="Times New Roman"/>
          <w:b/>
          <w:i/>
          <w:sz w:val="24"/>
          <w:szCs w:val="26"/>
          <w:lang w:val="ro-RO"/>
        </w:rPr>
        <w:t xml:space="preserve">„Proiecte de dezvoltare urbană, inclusiv construcția centrelor comerciale și a parcărilor auto publice”,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143548" w:rsidRPr="00A16E6A">
        <w:rPr>
          <w:rFonts w:ascii="Times New Roman" w:eastAsia="Times New Roman" w:hAnsi="Times New Roman" w:cs="Times New Roman"/>
          <w:noProof/>
          <w:sz w:val="24"/>
          <w:szCs w:val="26"/>
          <w:lang w:val="ro-RO"/>
        </w:rPr>
        <w:t xml:space="preserve">ările PUZ aprobat, cu HCL nr. </w:t>
      </w:r>
      <w:r w:rsidR="005F0A68" w:rsidRPr="00A16E6A">
        <w:rPr>
          <w:rFonts w:ascii="Times New Roman" w:eastAsia="Times New Roman" w:hAnsi="Times New Roman" w:cs="Times New Roman"/>
          <w:noProof/>
          <w:sz w:val="24"/>
          <w:szCs w:val="26"/>
          <w:lang w:val="ro-RO"/>
        </w:rPr>
        <w:t>493/22.12.2014</w:t>
      </w:r>
      <w:r w:rsidR="006B402A" w:rsidRPr="00A16E6A">
        <w:rPr>
          <w:rFonts w:ascii="Times New Roman" w:eastAsia="Times New Roman" w:hAnsi="Times New Roman" w:cs="Times New Roman"/>
          <w:noProof/>
          <w:sz w:val="24"/>
          <w:szCs w:val="26"/>
          <w:lang w:val="ro-RO"/>
        </w:rPr>
        <w:t>.</w:t>
      </w:r>
    </w:p>
    <w:p w:rsidR="00DC2CC4" w:rsidRPr="00A16E6A"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Conform Certificatului de Urbanism nr. </w:t>
      </w:r>
      <w:r w:rsidR="005F0A68" w:rsidRPr="00A16E6A">
        <w:rPr>
          <w:rFonts w:ascii="Times New Roman" w:eastAsia="Times New Roman" w:hAnsi="Times New Roman" w:cs="Times New Roman"/>
          <w:noProof/>
          <w:sz w:val="24"/>
          <w:szCs w:val="26"/>
          <w:lang w:val="ro-RO"/>
        </w:rPr>
        <w:t>2837/02.11.2022</w:t>
      </w:r>
      <w:r w:rsidRPr="00A16E6A">
        <w:rPr>
          <w:rFonts w:ascii="Times New Roman" w:eastAsia="Times New Roman" w:hAnsi="Times New Roman" w:cs="Times New Roman"/>
          <w:noProof/>
          <w:sz w:val="24"/>
          <w:szCs w:val="26"/>
          <w:lang w:val="ro-RO"/>
        </w:rPr>
        <w:t xml:space="preserve">, emis de Primăria Municipiului </w:t>
      </w:r>
      <w:r w:rsidR="005F0A68" w:rsidRPr="00A16E6A">
        <w:rPr>
          <w:rFonts w:ascii="Times New Roman" w:eastAsia="Times New Roman" w:hAnsi="Times New Roman" w:cs="Times New Roman"/>
          <w:noProof/>
          <w:sz w:val="24"/>
          <w:szCs w:val="26"/>
          <w:lang w:val="ro-RO"/>
        </w:rPr>
        <w:t>Cluj-Napoca</w:t>
      </w:r>
      <w:r w:rsidR="00687799" w:rsidRPr="00A16E6A">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ul municipiului Cluj-Napoca,</w:t>
      </w:r>
      <w:r w:rsidR="00E945F6" w:rsidRPr="00A16E6A">
        <w:rPr>
          <w:rFonts w:ascii="Times New Roman" w:eastAsia="Times New Roman" w:hAnsi="Times New Roman" w:cs="Times New Roman"/>
          <w:noProof/>
          <w:sz w:val="24"/>
          <w:szCs w:val="26"/>
          <w:lang w:val="ro-RO"/>
        </w:rPr>
        <w:t xml:space="preserve"> în afara perimetrului de protecție a valorilor istorice și arhitectural-urbanistice, </w:t>
      </w:r>
      <w:r w:rsidR="005F0A68" w:rsidRPr="00A16E6A">
        <w:rPr>
          <w:rFonts w:ascii="Times New Roman" w:eastAsia="Times New Roman" w:hAnsi="Times New Roman" w:cs="Times New Roman"/>
          <w:noProof/>
          <w:sz w:val="24"/>
          <w:szCs w:val="26"/>
          <w:lang w:val="ro-RO"/>
        </w:rPr>
        <w:t>fiind</w:t>
      </w:r>
      <w:r w:rsidR="006B402A" w:rsidRPr="00A16E6A">
        <w:rPr>
          <w:rFonts w:ascii="Times New Roman" w:eastAsia="Times New Roman" w:hAnsi="Times New Roman" w:cs="Times New Roman"/>
          <w:noProof/>
          <w:sz w:val="24"/>
          <w:szCs w:val="26"/>
          <w:lang w:val="ro-RO"/>
        </w:rPr>
        <w:t xml:space="preserve"> </w:t>
      </w:r>
      <w:r w:rsidR="008152E7" w:rsidRPr="00A16E6A">
        <w:rPr>
          <w:rFonts w:ascii="Times New Roman" w:eastAsia="Times New Roman" w:hAnsi="Times New Roman" w:cs="Times New Roman"/>
          <w:noProof/>
          <w:sz w:val="24"/>
          <w:szCs w:val="26"/>
          <w:lang w:val="ro-RO"/>
        </w:rPr>
        <w:t>proprietate privată</w:t>
      </w:r>
      <w:r w:rsidR="005F0A68" w:rsidRPr="00A16E6A">
        <w:rPr>
          <w:rFonts w:ascii="Times New Roman" w:eastAsia="Times New Roman" w:hAnsi="Times New Roman" w:cs="Times New Roman"/>
          <w:noProof/>
          <w:sz w:val="24"/>
          <w:szCs w:val="26"/>
          <w:lang w:val="ro-RO"/>
        </w:rPr>
        <w:t xml:space="preserve"> a beneficiarului;</w:t>
      </w:r>
    </w:p>
    <w:p w:rsidR="002B4270" w:rsidRPr="00A16E6A"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Pr="00A16E6A">
        <w:rPr>
          <w:rFonts w:ascii="Times New Roman" w:eastAsia="Times New Roman" w:hAnsi="Times New Roman" w:cs="Times New Roman"/>
          <w:b/>
          <w:noProof/>
          <w:sz w:val="24"/>
          <w:szCs w:val="26"/>
          <w:lang w:val="ro-RO"/>
        </w:rPr>
        <w:t xml:space="preserve"> </w:t>
      </w:r>
      <w:r w:rsidR="005F0A68" w:rsidRPr="00A16E6A">
        <w:rPr>
          <w:rFonts w:ascii="Times New Roman" w:eastAsia="Times New Roman" w:hAnsi="Times New Roman" w:cs="Times New Roman"/>
          <w:b/>
          <w:noProof/>
          <w:sz w:val="24"/>
          <w:szCs w:val="26"/>
          <w:lang w:val="ro-RO"/>
        </w:rPr>
        <w:t>S_RiM</w:t>
      </w:r>
      <w:r w:rsidR="005F0A68" w:rsidRPr="00A16E6A">
        <w:rPr>
          <w:rFonts w:ascii="Times New Roman" w:eastAsia="Times New Roman" w:hAnsi="Times New Roman" w:cs="Times New Roman"/>
          <w:noProof/>
          <w:sz w:val="24"/>
          <w:szCs w:val="26"/>
          <w:lang w:val="ro-RO"/>
        </w:rPr>
        <w:t>, subzonă industrială restructurabilă</w:t>
      </w:r>
      <w:r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noProof/>
          <w:sz w:val="24"/>
          <w:szCs w:val="26"/>
          <w:lang w:val="ro-RO"/>
        </w:rPr>
        <w:t xml:space="preserve"> conform PUZ aprobat cu HCL 580/04.08.2022,</w:t>
      </w:r>
      <w:r w:rsidR="00FD0076" w:rsidRPr="00A16E6A">
        <w:rPr>
          <w:rFonts w:ascii="Times New Roman" w:eastAsia="Times New Roman" w:hAnsi="Times New Roman" w:cs="Times New Roman"/>
          <w:noProof/>
          <w:sz w:val="24"/>
          <w:szCs w:val="26"/>
          <w:lang w:val="ro-RO"/>
        </w:rPr>
        <w:t xml:space="preserve"> terenul este</w:t>
      </w:r>
      <w:r w:rsidR="00E945F6" w:rsidRPr="00A16E6A">
        <w:rPr>
          <w:rFonts w:ascii="Times New Roman" w:eastAsia="Times New Roman" w:hAnsi="Times New Roman" w:cs="Times New Roman"/>
          <w:noProof/>
          <w:sz w:val="24"/>
          <w:szCs w:val="26"/>
          <w:lang w:val="ro-RO"/>
        </w:rPr>
        <w:t xml:space="preserve"> parțial încadrat în </w:t>
      </w:r>
      <w:r w:rsidR="00E945F6" w:rsidRPr="00A16E6A">
        <w:rPr>
          <w:rFonts w:ascii="Times New Roman" w:eastAsia="Times New Roman" w:hAnsi="Times New Roman" w:cs="Times New Roman"/>
          <w:b/>
          <w:noProof/>
          <w:sz w:val="24"/>
          <w:szCs w:val="26"/>
          <w:lang w:val="ro-RO"/>
        </w:rPr>
        <w:t>UTR RiM*</w:t>
      </w:r>
      <w:r w:rsidR="00E945F6" w:rsidRPr="00A16E6A">
        <w:rPr>
          <w:rFonts w:ascii="Times New Roman" w:eastAsia="Times New Roman" w:hAnsi="Times New Roman" w:cs="Times New Roman"/>
          <w:noProof/>
          <w:sz w:val="24"/>
          <w:szCs w:val="26"/>
          <w:lang w:val="ro-RO"/>
        </w:rPr>
        <w:t xml:space="preserve"> - zonă mixtă – cu o structură funcțională echilibrată, rezultat al aplicării procedurii de restructurare a zonelor cu caracter industrial</w:t>
      </w:r>
      <w:r w:rsidR="00FD0076" w:rsidRPr="00A16E6A">
        <w:rPr>
          <w:rFonts w:ascii="Times New Roman" w:eastAsia="Times New Roman" w:hAnsi="Times New Roman" w:cs="Times New Roman"/>
          <w:noProof/>
          <w:sz w:val="24"/>
          <w:szCs w:val="26"/>
          <w:lang w:val="ro-RO"/>
        </w:rPr>
        <w:t xml:space="preserve"> și parțial în </w:t>
      </w:r>
      <w:r w:rsidR="00FD0076" w:rsidRPr="00A16E6A">
        <w:rPr>
          <w:rFonts w:ascii="Times New Roman" w:eastAsia="Times New Roman" w:hAnsi="Times New Roman" w:cs="Times New Roman"/>
          <w:b/>
          <w:noProof/>
          <w:sz w:val="24"/>
          <w:szCs w:val="26"/>
          <w:lang w:val="ro-RO"/>
        </w:rPr>
        <w:t>UTR RrM1</w:t>
      </w:r>
      <w:r w:rsidR="00FD0076" w:rsidRPr="00A16E6A">
        <w:rPr>
          <w:rFonts w:ascii="Times New Roman" w:eastAsia="Times New Roman" w:hAnsi="Times New Roman" w:cs="Times New Roman"/>
          <w:noProof/>
          <w:sz w:val="24"/>
          <w:szCs w:val="26"/>
          <w:lang w:val="ro-RO"/>
        </w:rPr>
        <w:t xml:space="preserve"> – parcelar riveran principalelor artere de trafic, destinat restructurării – zonă mixtă cu regim de construire închis</w:t>
      </w:r>
      <w:r w:rsidR="00E945F6"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b/>
          <w:noProof/>
          <w:sz w:val="24"/>
          <w:szCs w:val="26"/>
          <w:lang w:val="ro-RO"/>
        </w:rPr>
        <w:t xml:space="preserve"> </w:t>
      </w:r>
    </w:p>
    <w:p w:rsidR="00E9731C" w:rsidRPr="00A16E6A"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u w:val="single"/>
          <w:lang w:val="ro-RO"/>
        </w:rPr>
        <w:t>categoria de folosință</w:t>
      </w:r>
      <w:r w:rsidRPr="00A16E6A">
        <w:rPr>
          <w:rFonts w:ascii="Times New Roman" w:eastAsia="Times New Roman" w:hAnsi="Times New Roman" w:cs="Times New Roman"/>
          <w:noProof/>
          <w:sz w:val="24"/>
          <w:szCs w:val="26"/>
          <w:lang w:val="ro-RO"/>
        </w:rPr>
        <w:t xml:space="preserve">: </w:t>
      </w:r>
      <w:r w:rsidR="005F0A68" w:rsidRPr="00A16E6A">
        <w:rPr>
          <w:rFonts w:ascii="Times New Roman" w:eastAsia="Times New Roman" w:hAnsi="Times New Roman" w:cs="Times New Roman"/>
          <w:noProof/>
          <w:sz w:val="24"/>
          <w:szCs w:val="26"/>
          <w:lang w:val="ro-RO"/>
        </w:rPr>
        <w:t>curți, construcții</w:t>
      </w:r>
      <w:r w:rsidRPr="00A16E6A">
        <w:rPr>
          <w:rFonts w:ascii="Times New Roman" w:eastAsia="Times New Roman" w:hAnsi="Times New Roman" w:cs="Times New Roman"/>
          <w:noProof/>
          <w:sz w:val="24"/>
          <w:szCs w:val="26"/>
          <w:lang w:val="ro-RO"/>
        </w:rPr>
        <w:t>;</w:t>
      </w:r>
    </w:p>
    <w:p w:rsidR="00FD0076" w:rsidRPr="00A16E6A" w:rsidRDefault="00FD0076"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u w:val="single"/>
          <w:lang w:val="ro-RO"/>
        </w:rPr>
        <w:t>folosință actuală</w:t>
      </w:r>
      <w:r w:rsidRPr="00A16E6A">
        <w:rPr>
          <w:rFonts w:ascii="Times New Roman" w:eastAsia="Times New Roman" w:hAnsi="Times New Roman" w:cs="Times New Roman"/>
          <w:noProof/>
          <w:sz w:val="24"/>
          <w:szCs w:val="26"/>
          <w:lang w:val="ro-RO"/>
        </w:rPr>
        <w:t>: pe parcela studiată există 3 construcții;</w:t>
      </w:r>
    </w:p>
    <w:p w:rsidR="00E945F6" w:rsidRPr="00A16E6A" w:rsidRDefault="00E945F6" w:rsidP="00E945F6">
      <w:pPr>
        <w:pStyle w:val="ListParagraph"/>
        <w:spacing w:after="0" w:line="240" w:lineRule="auto"/>
        <w:ind w:left="851" w:right="108"/>
        <w:jc w:val="both"/>
        <w:rPr>
          <w:rFonts w:ascii="Times New Roman" w:eastAsia="Times New Roman" w:hAnsi="Times New Roman" w:cs="Times New Roman"/>
          <w:noProof/>
          <w:sz w:val="24"/>
          <w:szCs w:val="26"/>
          <w:lang w:val="ro-RO"/>
        </w:rPr>
      </w:pP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nu 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parcela studiată are o suprafață</w:t>
      </w:r>
      <w:r w:rsidR="006B76A0" w:rsidRPr="00A16E6A">
        <w:rPr>
          <w:rFonts w:ascii="Times New Roman" w:hAnsi="Times New Roman" w:cs="Times New Roman"/>
          <w:noProof/>
          <w:sz w:val="24"/>
          <w:szCs w:val="26"/>
          <w:lang w:val="ro-RO"/>
        </w:rPr>
        <w:t xml:space="preserve"> de </w:t>
      </w:r>
      <w:r w:rsidR="00A1560D" w:rsidRPr="00A16E6A">
        <w:rPr>
          <w:rFonts w:ascii="Times New Roman" w:hAnsi="Times New Roman" w:cs="Times New Roman"/>
          <w:noProof/>
          <w:sz w:val="24"/>
          <w:szCs w:val="26"/>
          <w:lang w:val="ro-RO"/>
        </w:rPr>
        <w:t>11526</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A16E6A" w:rsidRPr="00A16E6A">
        <w:rPr>
          <w:rFonts w:ascii="Times New Roman" w:hAnsi="Times New Roman" w:cs="Times New Roman"/>
          <w:noProof/>
          <w:sz w:val="24"/>
          <w:szCs w:val="26"/>
          <w:lang w:val="ro-RO"/>
        </w:rPr>
        <w:t>, dintre care 11437 mp construibilă</w:t>
      </w:r>
      <w:r w:rsidR="00F75089"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ș</w:t>
      </w:r>
      <w:r w:rsidR="00F75089" w:rsidRPr="00A16E6A">
        <w:rPr>
          <w:rFonts w:ascii="Times New Roman" w:hAnsi="Times New Roman" w:cs="Times New Roman"/>
          <w:noProof/>
          <w:sz w:val="24"/>
          <w:szCs w:val="26"/>
          <w:lang w:val="ro-RO"/>
        </w:rPr>
        <w:t>i se află</w:t>
      </w:r>
      <w:r w:rsidR="006B76A0"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î</w:t>
      </w:r>
      <w:r w:rsidR="006B76A0" w:rsidRPr="00A16E6A">
        <w:rPr>
          <w:rFonts w:ascii="Times New Roman" w:hAnsi="Times New Roman" w:cs="Times New Roman"/>
          <w:noProof/>
          <w:sz w:val="24"/>
          <w:szCs w:val="26"/>
          <w:lang w:val="ro-RO"/>
        </w:rPr>
        <w:t xml:space="preserve">n </w:t>
      </w:r>
      <w:r w:rsidR="0017687A" w:rsidRPr="00A16E6A">
        <w:rPr>
          <w:rFonts w:ascii="Times New Roman" w:hAnsi="Times New Roman" w:cs="Times New Roman"/>
          <w:noProof/>
          <w:sz w:val="24"/>
          <w:szCs w:val="26"/>
          <w:lang w:val="ro-RO"/>
        </w:rPr>
        <w:t>intravilanul</w:t>
      </w:r>
      <w:r w:rsidR="008606CA" w:rsidRPr="00A16E6A">
        <w:rPr>
          <w:rFonts w:ascii="Times New Roman" w:hAnsi="Times New Roman" w:cs="Times New Roman"/>
          <w:noProof/>
          <w:sz w:val="24"/>
          <w:szCs w:val="26"/>
          <w:lang w:val="ro-RO"/>
        </w:rPr>
        <w:t xml:space="preserve"> </w:t>
      </w:r>
      <w:r w:rsidR="00E9731C" w:rsidRPr="00A16E6A">
        <w:rPr>
          <w:rFonts w:ascii="Times New Roman" w:eastAsia="Times New Roman" w:hAnsi="Times New Roman" w:cs="Times New Roman"/>
          <w:sz w:val="24"/>
          <w:szCs w:val="26"/>
          <w:lang w:val="ro-RO" w:eastAsia="zh-CN"/>
        </w:rPr>
        <w:t xml:space="preserve">municipiului </w:t>
      </w:r>
      <w:r w:rsidR="00A1560D" w:rsidRPr="00A16E6A">
        <w:rPr>
          <w:rFonts w:ascii="Times New Roman" w:eastAsia="Times New Roman" w:hAnsi="Times New Roman" w:cs="Times New Roman"/>
          <w:sz w:val="24"/>
          <w:szCs w:val="26"/>
          <w:lang w:val="ro-RO" w:eastAsia="zh-CN"/>
        </w:rPr>
        <w:t>Cluj-Napoca</w:t>
      </w:r>
      <w:r w:rsidR="004D4251" w:rsidRPr="00A16E6A">
        <w:rPr>
          <w:rFonts w:ascii="Times New Roman" w:eastAsia="Times New Roman" w:hAnsi="Times New Roman" w:cs="Times New Roman"/>
          <w:sz w:val="24"/>
          <w:szCs w:val="26"/>
          <w:lang w:val="ro-RO" w:eastAsia="zh-CN"/>
        </w:rPr>
        <w:t>.</w:t>
      </w:r>
      <w:r w:rsidR="00BC54B6" w:rsidRPr="00A16E6A">
        <w:rPr>
          <w:rFonts w:ascii="Times New Roman" w:eastAsia="Times New Roman" w:hAnsi="Times New Roman" w:cs="Times New Roman"/>
          <w:sz w:val="24"/>
          <w:szCs w:val="26"/>
          <w:lang w:val="ro-RO" w:eastAsia="zh-CN"/>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6236FF" w:rsidRPr="00A16E6A" w:rsidRDefault="00537525" w:rsidP="00537525">
      <w:pPr>
        <w:tabs>
          <w:tab w:val="left" w:pos="180"/>
        </w:tabs>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 xml:space="preserve">Se propun: </w:t>
      </w:r>
      <w:r w:rsidRPr="00A16E6A">
        <w:rPr>
          <w:rFonts w:ascii="Times New Roman" w:eastAsia="Calibri" w:hAnsi="Times New Roman" w:cs="Times New Roman"/>
          <w:noProof/>
          <w:sz w:val="24"/>
          <w:szCs w:val="26"/>
          <w:lang w:val="ro-RO"/>
        </w:rPr>
        <w:t xml:space="preserve">Lucrări de </w:t>
      </w:r>
      <w:r w:rsidR="007E6750" w:rsidRPr="00A16E6A">
        <w:rPr>
          <w:rFonts w:ascii="Times New Roman" w:eastAsia="Calibri" w:hAnsi="Times New Roman" w:cs="Times New Roman"/>
          <w:noProof/>
          <w:sz w:val="24"/>
          <w:szCs w:val="26"/>
          <w:lang w:val="ro-RO"/>
        </w:rPr>
        <w:t xml:space="preserve">construire a imobilului J9 cu regim de înălțime (1-3)S+P+7E, amenajări exterioare, parcaj subteran pe două niveluri, împrejmuire teren și organizare de șantier. Imobilul J9 va avea o structură funcțională mixtă de locuințe colective (11 apartamente) și respectiv, funcțiuni terțiare. </w:t>
      </w:r>
    </w:p>
    <w:p w:rsidR="006236FF" w:rsidRPr="00A16E6A" w:rsidRDefault="006236FF"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537525" w:rsidRPr="00A16E6A" w:rsidRDefault="00A16E6A" w:rsidP="00537525">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b/>
          <w:noProof/>
          <w:sz w:val="24"/>
          <w:szCs w:val="26"/>
          <w:lang w:val="ro-RO"/>
        </w:rPr>
        <w:t>Bilanț teritorial</w:t>
      </w:r>
      <w:r w:rsidR="00537525" w:rsidRPr="00A16E6A">
        <w:rPr>
          <w:rFonts w:ascii="Times New Roman" w:eastAsia="Calibri" w:hAnsi="Times New Roman" w:cs="Times New Roman"/>
          <w:b/>
          <w:noProof/>
          <w:sz w:val="24"/>
          <w:szCs w:val="26"/>
          <w:lang w:val="ro-RO"/>
        </w:rPr>
        <w:t>:</w:t>
      </w:r>
    </w:p>
    <w:tbl>
      <w:tblPr>
        <w:tblStyle w:val="TableGrid"/>
        <w:tblW w:w="0" w:type="auto"/>
        <w:tblLook w:val="04A0" w:firstRow="1" w:lastRow="0" w:firstColumn="1" w:lastColumn="0" w:noHBand="0" w:noVBand="1"/>
      </w:tblPr>
      <w:tblGrid>
        <w:gridCol w:w="4503"/>
        <w:gridCol w:w="1275"/>
        <w:gridCol w:w="1276"/>
        <w:gridCol w:w="1276"/>
        <w:gridCol w:w="1219"/>
      </w:tblGrid>
      <w:tr w:rsidR="00FD0076" w:rsidRPr="00A16E6A" w:rsidTr="00180055">
        <w:tc>
          <w:tcPr>
            <w:tcW w:w="4503" w:type="dxa"/>
            <w:vMerge w:val="restart"/>
            <w:shd w:val="clear" w:color="auto" w:fill="BFBFBF" w:themeFill="background1" w:themeFillShade="BF"/>
          </w:tcPr>
          <w:p w:rsidR="00FD0076" w:rsidRPr="00A16E6A" w:rsidRDefault="00FD0076" w:rsidP="00180055">
            <w:pPr>
              <w:tabs>
                <w:tab w:val="left" w:pos="426"/>
              </w:tabs>
              <w:ind w:right="108"/>
              <w:rPr>
                <w:rFonts w:ascii="Times New Roman" w:eastAsia="Calibri" w:hAnsi="Times New Roman" w:cs="Times New Roman"/>
                <w:b/>
                <w:noProof/>
                <w:szCs w:val="26"/>
                <w:lang w:val="ro-RO"/>
              </w:rPr>
            </w:pPr>
          </w:p>
        </w:tc>
        <w:tc>
          <w:tcPr>
            <w:tcW w:w="2551" w:type="dxa"/>
            <w:gridSpan w:val="2"/>
            <w:shd w:val="clear" w:color="auto" w:fill="BFBFBF" w:themeFill="background1" w:themeFillShade="BF"/>
          </w:tcPr>
          <w:p w:rsidR="00FD0076" w:rsidRPr="00A16E6A" w:rsidRDefault="00FD0076"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Existent</w:t>
            </w:r>
          </w:p>
        </w:tc>
        <w:tc>
          <w:tcPr>
            <w:tcW w:w="2495" w:type="dxa"/>
            <w:gridSpan w:val="2"/>
            <w:shd w:val="clear" w:color="auto" w:fill="BFBFBF" w:themeFill="background1" w:themeFillShade="BF"/>
          </w:tcPr>
          <w:p w:rsidR="00FD0076" w:rsidRPr="00A16E6A" w:rsidRDefault="00FD0076"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Propus</w:t>
            </w:r>
          </w:p>
        </w:tc>
      </w:tr>
      <w:tr w:rsidR="00FD0076" w:rsidRPr="00A16E6A" w:rsidTr="00180055">
        <w:tc>
          <w:tcPr>
            <w:tcW w:w="4503" w:type="dxa"/>
            <w:vMerge/>
            <w:shd w:val="clear" w:color="auto" w:fill="BFBFBF" w:themeFill="background1" w:themeFillShade="BF"/>
          </w:tcPr>
          <w:p w:rsidR="00FD0076" w:rsidRPr="00A16E6A" w:rsidRDefault="00FD0076" w:rsidP="00143548">
            <w:pPr>
              <w:tabs>
                <w:tab w:val="left" w:pos="426"/>
              </w:tabs>
              <w:ind w:right="108"/>
              <w:jc w:val="both"/>
              <w:rPr>
                <w:rFonts w:ascii="Times New Roman" w:eastAsia="Calibri" w:hAnsi="Times New Roman" w:cs="Times New Roman"/>
                <w:b/>
                <w:noProof/>
                <w:szCs w:val="26"/>
                <w:lang w:val="ro-RO"/>
              </w:rPr>
            </w:pPr>
          </w:p>
        </w:tc>
        <w:tc>
          <w:tcPr>
            <w:tcW w:w="1275" w:type="dxa"/>
            <w:shd w:val="clear" w:color="auto" w:fill="BFBFBF" w:themeFill="background1" w:themeFillShade="BF"/>
          </w:tcPr>
          <w:p w:rsidR="00FD0076" w:rsidRPr="00A16E6A" w:rsidRDefault="00FD0076"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mp</w:t>
            </w:r>
          </w:p>
        </w:tc>
        <w:tc>
          <w:tcPr>
            <w:tcW w:w="1276" w:type="dxa"/>
            <w:shd w:val="clear" w:color="auto" w:fill="BFBFBF" w:themeFill="background1" w:themeFillShade="BF"/>
          </w:tcPr>
          <w:p w:rsidR="00FD0076" w:rsidRPr="00A16E6A" w:rsidRDefault="00FD0076"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w:t>
            </w:r>
          </w:p>
        </w:tc>
        <w:tc>
          <w:tcPr>
            <w:tcW w:w="1276" w:type="dxa"/>
            <w:shd w:val="clear" w:color="auto" w:fill="BFBFBF" w:themeFill="background1" w:themeFillShade="BF"/>
          </w:tcPr>
          <w:p w:rsidR="00FD0076" w:rsidRPr="00A16E6A" w:rsidRDefault="00FD0076"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mp</w:t>
            </w:r>
          </w:p>
        </w:tc>
        <w:tc>
          <w:tcPr>
            <w:tcW w:w="1219" w:type="dxa"/>
            <w:shd w:val="clear" w:color="auto" w:fill="BFBFBF" w:themeFill="background1" w:themeFillShade="BF"/>
          </w:tcPr>
          <w:p w:rsidR="00FD0076" w:rsidRPr="00A16E6A" w:rsidRDefault="00FD0076"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w:t>
            </w:r>
          </w:p>
        </w:tc>
      </w:tr>
      <w:tr w:rsidR="00FD0076" w:rsidRPr="00A16E6A" w:rsidTr="00180055">
        <w:tc>
          <w:tcPr>
            <w:tcW w:w="4503" w:type="dxa"/>
          </w:tcPr>
          <w:p w:rsidR="00FD0076" w:rsidRPr="00A16E6A" w:rsidRDefault="00180055"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Suprafață teren (zona mixtă UTR RIM* construibilă)</w:t>
            </w:r>
          </w:p>
        </w:tc>
        <w:tc>
          <w:tcPr>
            <w:tcW w:w="1275"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11437,00</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100</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11437,00</w:t>
            </w:r>
          </w:p>
        </w:tc>
        <w:tc>
          <w:tcPr>
            <w:tcW w:w="1219"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100,00</w:t>
            </w:r>
          </w:p>
          <w:p w:rsidR="00180055" w:rsidRPr="00A16E6A" w:rsidRDefault="00180055" w:rsidP="00180055">
            <w:pPr>
              <w:tabs>
                <w:tab w:val="left" w:pos="426"/>
              </w:tabs>
              <w:ind w:right="108"/>
              <w:jc w:val="center"/>
              <w:rPr>
                <w:rFonts w:ascii="Times New Roman" w:eastAsia="Calibri" w:hAnsi="Times New Roman" w:cs="Times New Roman"/>
                <w:noProof/>
                <w:szCs w:val="26"/>
                <w:lang w:val="ro-RO"/>
              </w:rPr>
            </w:pPr>
          </w:p>
        </w:tc>
      </w:tr>
      <w:tr w:rsidR="00FD0076" w:rsidRPr="00A16E6A" w:rsidTr="00180055">
        <w:tc>
          <w:tcPr>
            <w:tcW w:w="4503" w:type="dxa"/>
          </w:tcPr>
          <w:p w:rsidR="00FD0076" w:rsidRPr="00A16E6A" w:rsidRDefault="00180055"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Suprafață străzi</w:t>
            </w:r>
          </w:p>
        </w:tc>
        <w:tc>
          <w:tcPr>
            <w:tcW w:w="1275"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3962,00</w:t>
            </w:r>
          </w:p>
        </w:tc>
        <w:tc>
          <w:tcPr>
            <w:tcW w:w="1219"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34,64</w:t>
            </w:r>
          </w:p>
        </w:tc>
      </w:tr>
      <w:tr w:rsidR="00FD0076" w:rsidRPr="00A16E6A" w:rsidTr="00180055">
        <w:tc>
          <w:tcPr>
            <w:tcW w:w="4503" w:type="dxa"/>
          </w:tcPr>
          <w:p w:rsidR="00FD0076" w:rsidRPr="00A16E6A" w:rsidRDefault="00180055"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Suprafață construită</w:t>
            </w:r>
          </w:p>
        </w:tc>
        <w:tc>
          <w:tcPr>
            <w:tcW w:w="1275"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634,00</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5,54</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1553,12</w:t>
            </w:r>
          </w:p>
        </w:tc>
        <w:tc>
          <w:tcPr>
            <w:tcW w:w="1219"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13,58</w:t>
            </w:r>
          </w:p>
        </w:tc>
      </w:tr>
      <w:tr w:rsidR="00FD0076" w:rsidRPr="00A16E6A" w:rsidTr="00180055">
        <w:tc>
          <w:tcPr>
            <w:tcW w:w="4503" w:type="dxa"/>
          </w:tcPr>
          <w:p w:rsidR="00FD0076" w:rsidRPr="00A16E6A" w:rsidRDefault="00180055"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Suprafață spații verzi</w:t>
            </w:r>
          </w:p>
        </w:tc>
        <w:tc>
          <w:tcPr>
            <w:tcW w:w="1275"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w:t>
            </w:r>
          </w:p>
        </w:tc>
        <w:tc>
          <w:tcPr>
            <w:tcW w:w="1219"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w:t>
            </w:r>
          </w:p>
        </w:tc>
      </w:tr>
      <w:tr w:rsidR="00FD0076" w:rsidRPr="00A16E6A" w:rsidTr="00180055">
        <w:tc>
          <w:tcPr>
            <w:tcW w:w="4503" w:type="dxa"/>
          </w:tcPr>
          <w:p w:rsidR="00FD0076" w:rsidRPr="00A16E6A" w:rsidRDefault="00180055"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Suprafață teren neamenajată</w:t>
            </w:r>
          </w:p>
        </w:tc>
        <w:tc>
          <w:tcPr>
            <w:tcW w:w="1275"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10803</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94,46</w:t>
            </w:r>
          </w:p>
        </w:tc>
        <w:tc>
          <w:tcPr>
            <w:tcW w:w="1276"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5921,88</w:t>
            </w:r>
          </w:p>
        </w:tc>
        <w:tc>
          <w:tcPr>
            <w:tcW w:w="1219" w:type="dxa"/>
          </w:tcPr>
          <w:p w:rsidR="00FD0076"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51,78</w:t>
            </w:r>
          </w:p>
        </w:tc>
      </w:tr>
      <w:tr w:rsidR="00180055" w:rsidRPr="00A16E6A" w:rsidTr="00F10F0A">
        <w:tc>
          <w:tcPr>
            <w:tcW w:w="9549" w:type="dxa"/>
            <w:gridSpan w:val="5"/>
          </w:tcPr>
          <w:p w:rsidR="00180055" w:rsidRPr="00A16E6A" w:rsidRDefault="00180055" w:rsidP="00180055">
            <w:pPr>
              <w:tabs>
                <w:tab w:val="left" w:pos="426"/>
              </w:tabs>
              <w:ind w:right="108"/>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lastRenderedPageBreak/>
              <w:t>Indici urbanistici</w:t>
            </w:r>
          </w:p>
        </w:tc>
      </w:tr>
      <w:tr w:rsidR="00180055" w:rsidRPr="00A16E6A" w:rsidTr="00784960">
        <w:tc>
          <w:tcPr>
            <w:tcW w:w="4503" w:type="dxa"/>
          </w:tcPr>
          <w:p w:rsidR="00180055" w:rsidRPr="00A16E6A" w:rsidRDefault="00180055" w:rsidP="00180055">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 xml:space="preserve">POT </w:t>
            </w:r>
          </w:p>
        </w:tc>
        <w:tc>
          <w:tcPr>
            <w:tcW w:w="2551" w:type="dxa"/>
            <w:gridSpan w:val="2"/>
          </w:tcPr>
          <w:p w:rsidR="00180055" w:rsidRPr="00A16E6A" w:rsidRDefault="00180055"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5,54</w:t>
            </w:r>
          </w:p>
        </w:tc>
        <w:tc>
          <w:tcPr>
            <w:tcW w:w="2495" w:type="dxa"/>
            <w:gridSpan w:val="2"/>
          </w:tcPr>
          <w:p w:rsidR="00180055" w:rsidRPr="00A16E6A" w:rsidRDefault="00A16E6A"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13,58</w:t>
            </w:r>
          </w:p>
        </w:tc>
      </w:tr>
      <w:tr w:rsidR="00180055" w:rsidRPr="00A16E6A" w:rsidTr="00EE266D">
        <w:tc>
          <w:tcPr>
            <w:tcW w:w="4503" w:type="dxa"/>
          </w:tcPr>
          <w:p w:rsidR="00180055" w:rsidRPr="00A16E6A" w:rsidRDefault="00180055"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CUT</w:t>
            </w:r>
          </w:p>
        </w:tc>
        <w:tc>
          <w:tcPr>
            <w:tcW w:w="2551" w:type="dxa"/>
            <w:gridSpan w:val="2"/>
          </w:tcPr>
          <w:p w:rsidR="00180055" w:rsidRPr="00A16E6A" w:rsidRDefault="00A16E6A"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0,02</w:t>
            </w:r>
          </w:p>
        </w:tc>
        <w:tc>
          <w:tcPr>
            <w:tcW w:w="2495" w:type="dxa"/>
            <w:gridSpan w:val="2"/>
          </w:tcPr>
          <w:p w:rsidR="00180055" w:rsidRPr="00A16E6A" w:rsidRDefault="00A16E6A" w:rsidP="00180055">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0,89</w:t>
            </w:r>
          </w:p>
        </w:tc>
      </w:tr>
      <w:tr w:rsidR="00180055" w:rsidRPr="00A16E6A" w:rsidTr="00D7301E">
        <w:tc>
          <w:tcPr>
            <w:tcW w:w="4503" w:type="dxa"/>
          </w:tcPr>
          <w:p w:rsidR="00180055" w:rsidRPr="00A16E6A" w:rsidRDefault="00180055" w:rsidP="00143548">
            <w:pPr>
              <w:tabs>
                <w:tab w:val="left" w:pos="426"/>
              </w:tabs>
              <w:ind w:right="108"/>
              <w:jc w:val="both"/>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POT maxim</w:t>
            </w:r>
          </w:p>
        </w:tc>
        <w:tc>
          <w:tcPr>
            <w:tcW w:w="5046" w:type="dxa"/>
            <w:gridSpan w:val="4"/>
          </w:tcPr>
          <w:p w:rsidR="00180055" w:rsidRPr="00A16E6A" w:rsidRDefault="00180055" w:rsidP="00180055">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60</w:t>
            </w:r>
            <w:r w:rsidR="00A16E6A" w:rsidRPr="00A16E6A">
              <w:rPr>
                <w:rFonts w:ascii="Times New Roman" w:eastAsia="Calibri" w:hAnsi="Times New Roman" w:cs="Times New Roman"/>
                <w:b/>
                <w:noProof/>
                <w:szCs w:val="26"/>
                <w:lang w:val="ro-RO"/>
              </w:rPr>
              <w:t>,00</w:t>
            </w:r>
          </w:p>
        </w:tc>
      </w:tr>
      <w:tr w:rsidR="00180055" w:rsidRPr="00A16E6A" w:rsidTr="00180055">
        <w:trPr>
          <w:trHeight w:val="70"/>
        </w:trPr>
        <w:tc>
          <w:tcPr>
            <w:tcW w:w="4503" w:type="dxa"/>
          </w:tcPr>
          <w:p w:rsidR="00180055" w:rsidRPr="00A16E6A" w:rsidRDefault="00180055" w:rsidP="00143548">
            <w:pPr>
              <w:tabs>
                <w:tab w:val="left" w:pos="426"/>
              </w:tabs>
              <w:ind w:right="108"/>
              <w:jc w:val="both"/>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CUT maxim</w:t>
            </w:r>
          </w:p>
        </w:tc>
        <w:tc>
          <w:tcPr>
            <w:tcW w:w="5046" w:type="dxa"/>
            <w:gridSpan w:val="4"/>
          </w:tcPr>
          <w:p w:rsidR="00180055" w:rsidRPr="00A16E6A" w:rsidRDefault="00180055" w:rsidP="00180055">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2,80</w:t>
            </w:r>
          </w:p>
        </w:tc>
      </w:tr>
    </w:tbl>
    <w:p w:rsidR="006B76A0" w:rsidRPr="00A16E6A" w:rsidRDefault="006B76A0" w:rsidP="00143548">
      <w:pPr>
        <w:tabs>
          <w:tab w:val="left" w:pos="426"/>
        </w:tabs>
        <w:spacing w:after="0" w:line="240" w:lineRule="auto"/>
        <w:ind w:right="108"/>
        <w:jc w:val="both"/>
        <w:rPr>
          <w:rFonts w:ascii="Times New Roman" w:eastAsia="Calibri" w:hAnsi="Times New Roman" w:cs="Times New Roman"/>
          <w:noProof/>
          <w:color w:val="FF0000"/>
          <w:sz w:val="24"/>
          <w:szCs w:val="26"/>
          <w:lang w:val="ro-RO"/>
        </w:rPr>
      </w:pPr>
    </w:p>
    <w:p w:rsidR="00A13333" w:rsidRPr="00A16E6A" w:rsidRDefault="004429FE" w:rsidP="00143548">
      <w:pPr>
        <w:tabs>
          <w:tab w:val="left" w:pos="426"/>
        </w:tabs>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Utilităț</w:t>
      </w:r>
      <w:r w:rsidR="00A13333" w:rsidRPr="00A16E6A">
        <w:rPr>
          <w:rFonts w:ascii="Times New Roman" w:eastAsia="Calibri" w:hAnsi="Times New Roman" w:cs="Times New Roman"/>
          <w:b/>
          <w:noProof/>
          <w:sz w:val="24"/>
          <w:szCs w:val="26"/>
          <w:lang w:val="ro-RO"/>
        </w:rPr>
        <w:t>i</w:t>
      </w:r>
    </w:p>
    <w:p w:rsidR="00CC082B" w:rsidRPr="00A16E6A" w:rsidRDefault="004429FE" w:rsidP="00CC082B">
      <w:pPr>
        <w:pStyle w:val="ListParagraph"/>
        <w:numPr>
          <w:ilvl w:val="0"/>
          <w:numId w:val="6"/>
        </w:numPr>
        <w:spacing w:after="0" w:line="240" w:lineRule="auto"/>
        <w:ind w:left="426"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alimentarea cu apă</w:t>
      </w:r>
      <w:r w:rsidR="00537525" w:rsidRPr="00A16E6A">
        <w:rPr>
          <w:rFonts w:ascii="Times New Roman" w:eastAsia="Calibri" w:hAnsi="Times New Roman" w:cs="Times New Roman"/>
          <w:b/>
          <w:noProof/>
          <w:sz w:val="24"/>
          <w:szCs w:val="26"/>
          <w:lang w:val="ro-RO"/>
        </w:rPr>
        <w:t xml:space="preserve"> </w:t>
      </w:r>
      <w:r w:rsidR="00A13333" w:rsidRPr="00A16E6A">
        <w:rPr>
          <w:rFonts w:ascii="Times New Roman" w:eastAsia="Calibri" w:hAnsi="Times New Roman" w:cs="Times New Roman"/>
          <w:noProof/>
          <w:sz w:val="24"/>
          <w:szCs w:val="26"/>
          <w:lang w:val="ro-RO"/>
        </w:rPr>
        <w:t xml:space="preserve"> </w:t>
      </w:r>
      <w:r w:rsidR="001C2A9C" w:rsidRPr="00A16E6A">
        <w:rPr>
          <w:rFonts w:ascii="Times New Roman" w:eastAsia="Calibri" w:hAnsi="Times New Roman" w:cs="Times New Roman"/>
          <w:noProof/>
          <w:sz w:val="24"/>
          <w:szCs w:val="26"/>
          <w:lang w:val="ro-RO"/>
        </w:rPr>
        <w:t xml:space="preserve">– </w:t>
      </w:r>
      <w:r w:rsidR="00CC082B" w:rsidRPr="00A16E6A">
        <w:rPr>
          <w:rFonts w:ascii="Times New Roman" w:eastAsia="Calibri" w:hAnsi="Times New Roman" w:cs="Times New Roman"/>
          <w:noProof/>
          <w:sz w:val="24"/>
          <w:szCs w:val="26"/>
          <w:lang w:val="ro-RO"/>
        </w:rPr>
        <w:t>se va realiza racord prin branșamente la rețeaua de apă existentă în zonă;</w:t>
      </w:r>
    </w:p>
    <w:p w:rsidR="00DE1B9E" w:rsidRPr="00A16E6A" w:rsidRDefault="00CC082B" w:rsidP="00CC082B">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 xml:space="preserve">canalizarea </w:t>
      </w:r>
      <w:r w:rsidRPr="00A16E6A">
        <w:rPr>
          <w:rFonts w:ascii="Times New Roman" w:eastAsia="Calibri" w:hAnsi="Times New Roman" w:cs="Times New Roman"/>
          <w:noProof/>
          <w:sz w:val="24"/>
          <w:szCs w:val="26"/>
          <w:lang w:val="ro-RO"/>
        </w:rPr>
        <w:t>– se va realiza racord prin branșament la rețeaua de canalizare existentă în zonă;</w:t>
      </w:r>
    </w:p>
    <w:p w:rsidR="006A0E00" w:rsidRPr="00A16E6A"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încălzirea clă</w:t>
      </w:r>
      <w:r w:rsidR="006A0E00" w:rsidRPr="00A16E6A">
        <w:rPr>
          <w:rFonts w:ascii="Times New Roman" w:eastAsia="Calibri" w:hAnsi="Times New Roman" w:cs="Times New Roman"/>
          <w:b/>
          <w:noProof/>
          <w:sz w:val="24"/>
          <w:szCs w:val="26"/>
          <w:lang w:val="ro-RO"/>
        </w:rPr>
        <w:t>dirii</w:t>
      </w:r>
      <w:r w:rsidR="0099796A" w:rsidRPr="00A16E6A">
        <w:rPr>
          <w:rFonts w:ascii="Times New Roman" w:eastAsia="Calibri" w:hAnsi="Times New Roman" w:cs="Times New Roman"/>
          <w:b/>
          <w:noProof/>
          <w:sz w:val="24"/>
          <w:szCs w:val="26"/>
          <w:lang w:val="ro-RO"/>
        </w:rPr>
        <w:t xml:space="preserve"> </w:t>
      </w:r>
      <w:r w:rsidR="00216430" w:rsidRPr="00A16E6A">
        <w:rPr>
          <w:rFonts w:ascii="Times New Roman" w:eastAsia="Calibri" w:hAnsi="Times New Roman" w:cs="Times New Roman"/>
          <w:noProof/>
          <w:sz w:val="24"/>
          <w:szCs w:val="26"/>
          <w:lang w:val="ro-RO"/>
        </w:rPr>
        <w:t xml:space="preserve">– se va face prin </w:t>
      </w:r>
      <w:r w:rsidR="0099796A" w:rsidRPr="00A16E6A">
        <w:rPr>
          <w:rFonts w:ascii="Times New Roman" w:eastAsia="Calibri" w:hAnsi="Times New Roman" w:cs="Times New Roman"/>
          <w:noProof/>
          <w:sz w:val="24"/>
          <w:szCs w:val="26"/>
          <w:lang w:val="ro-RO"/>
        </w:rPr>
        <w:t>intermediul combustibilului gazos</w:t>
      </w:r>
      <w:r w:rsidR="00216430" w:rsidRPr="00A16E6A">
        <w:rPr>
          <w:rFonts w:ascii="Times New Roman" w:eastAsia="Calibri" w:hAnsi="Times New Roman" w:cs="Times New Roman"/>
          <w:noProof/>
          <w:sz w:val="24"/>
          <w:szCs w:val="26"/>
          <w:lang w:val="ro-RO"/>
        </w:rPr>
        <w:t>;</w:t>
      </w:r>
    </w:p>
    <w:p w:rsidR="00216430" w:rsidRPr="00A16E6A"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alimentarea cu energie electrică</w:t>
      </w:r>
      <w:r w:rsidR="006A0E00" w:rsidRPr="00A16E6A">
        <w:rPr>
          <w:rFonts w:ascii="Times New Roman" w:eastAsia="Calibri" w:hAnsi="Times New Roman" w:cs="Times New Roman"/>
          <w:b/>
          <w:noProof/>
          <w:sz w:val="24"/>
          <w:szCs w:val="26"/>
          <w:lang w:val="ro-RO"/>
        </w:rPr>
        <w:t xml:space="preserve"> </w:t>
      </w:r>
      <w:r w:rsidR="006A0E00" w:rsidRPr="00A16E6A">
        <w:rPr>
          <w:rFonts w:ascii="Times New Roman" w:eastAsia="Calibri" w:hAnsi="Times New Roman" w:cs="Times New Roman"/>
          <w:noProof/>
          <w:sz w:val="24"/>
          <w:szCs w:val="26"/>
          <w:lang w:val="ro-RO"/>
        </w:rPr>
        <w:t>–</w:t>
      </w:r>
      <w:r w:rsidR="0099796A" w:rsidRPr="00A16E6A">
        <w:rPr>
          <w:rFonts w:ascii="Times New Roman" w:eastAsia="Calibri" w:hAnsi="Times New Roman" w:cs="Times New Roman"/>
          <w:noProof/>
          <w:sz w:val="24"/>
          <w:szCs w:val="26"/>
          <w:lang w:val="ro-RO"/>
        </w:rPr>
        <w:t xml:space="preserve"> se va realiza</w:t>
      </w:r>
      <w:r w:rsidR="006A0E00" w:rsidRPr="00A16E6A">
        <w:rPr>
          <w:rFonts w:ascii="Times New Roman" w:eastAsia="Calibri" w:hAnsi="Times New Roman" w:cs="Times New Roman"/>
          <w:noProof/>
          <w:sz w:val="24"/>
          <w:szCs w:val="26"/>
          <w:lang w:val="ro-RO"/>
        </w:rPr>
        <w:t xml:space="preserve"> </w:t>
      </w:r>
      <w:r w:rsidR="0099796A" w:rsidRPr="00A16E6A">
        <w:rPr>
          <w:rFonts w:ascii="Times New Roman" w:eastAsia="Calibri" w:hAnsi="Times New Roman" w:cs="Times New Roman"/>
          <w:noProof/>
          <w:sz w:val="24"/>
          <w:szCs w:val="26"/>
          <w:lang w:val="ro-RO"/>
        </w:rPr>
        <w:t>racord la rețeaua existentă</w:t>
      </w:r>
      <w:r w:rsidR="00216430" w:rsidRPr="00A16E6A">
        <w:rPr>
          <w:rFonts w:ascii="Times New Roman" w:eastAsia="Calibri" w:hAnsi="Times New Roman" w:cs="Times New Roman"/>
          <w:noProof/>
          <w:sz w:val="24"/>
          <w:szCs w:val="26"/>
          <w:lang w:val="ro-RO"/>
        </w:rPr>
        <w:t>;</w:t>
      </w: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lastRenderedPageBreak/>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i) la finalizarea proiectului zonele afectate temporar de lucrări vor fi refăcute la starea iniţială; </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j). se vor respecta prevederile </w:t>
      </w:r>
      <w:r w:rsidR="0099796A" w:rsidRPr="00A16E6A">
        <w:rPr>
          <w:rFonts w:ascii="Times New Roman" w:eastAsia="Calibri" w:hAnsi="Times New Roman" w:cs="Times New Roman"/>
          <w:noProof/>
          <w:sz w:val="24"/>
          <w:szCs w:val="26"/>
          <w:lang w:val="ro-RO"/>
        </w:rPr>
        <w:t>tuturor avizelor emise de alte autorități</w:t>
      </w:r>
      <w:r w:rsidRPr="00A16E6A">
        <w:rPr>
          <w:rFonts w:ascii="Times New Roman" w:eastAsia="Calibri" w:hAnsi="Times New Roman" w:cs="Times New Roman"/>
          <w:noProof/>
          <w:sz w:val="24"/>
          <w:szCs w:val="26"/>
          <w:lang w:val="ro-RO"/>
        </w:rPr>
        <w:t>;</w:t>
      </w:r>
    </w:p>
    <w:p w:rsidR="00A22F0A" w:rsidRPr="00A16E6A"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Calibri" w:hAnsi="Times New Roman" w:cs="Times New Roman"/>
          <w:noProof/>
          <w:sz w:val="24"/>
          <w:szCs w:val="26"/>
          <w:lang w:val="ro-RO"/>
        </w:rPr>
        <w:t>k)</w:t>
      </w:r>
      <w:r w:rsidR="00162070"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încadrare, înainte de producerea modificării, conform cap. V, art. 34, alin.1 din </w:t>
      </w:r>
      <w:r w:rsidRPr="00A16E6A">
        <w:rPr>
          <w:rFonts w:ascii="Times New Roman" w:eastAsia="Calibri" w:hAnsi="Times New Roman" w:cs="Times New Roman"/>
          <w:b/>
          <w:noProof/>
          <w:sz w:val="24"/>
          <w:szCs w:val="26"/>
          <w:u w:val="single"/>
          <w:lang w:val="ro-RO"/>
        </w:rPr>
        <w:t xml:space="preserve">Legea </w:t>
      </w:r>
      <w:r w:rsidRPr="00A16E6A">
        <w:rPr>
          <w:rFonts w:ascii="Times New Roman" w:eastAsia="Times New Roman" w:hAnsi="Times New Roman" w:cs="Times New Roman"/>
          <w:b/>
          <w:noProof/>
          <w:sz w:val="24"/>
          <w:szCs w:val="26"/>
          <w:u w:val="single"/>
          <w:lang w:val="ro-RO"/>
        </w:rPr>
        <w:t>nr. 292/2018</w:t>
      </w:r>
      <w:r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Pr="00A16E6A">
        <w:rPr>
          <w:rFonts w:ascii="Times New Roman" w:eastAsia="Calibri" w:hAnsi="Times New Roman" w:cs="Times New Roman"/>
          <w:noProof/>
          <w:sz w:val="24"/>
          <w:szCs w:val="26"/>
          <w:lang w:val="ro-RO"/>
        </w:rPr>
        <w:t>l)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lastRenderedPageBreak/>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323A6A" w:rsidRPr="0099796A">
        <w:rPr>
          <w:rFonts w:ascii="Times New Roman" w:eastAsia="Calibri" w:hAnsi="Times New Roman" w:cs="Times New Roman"/>
          <w:noProof/>
          <w:sz w:val="24"/>
          <w:szCs w:val="26"/>
          <w:lang w:val="ro-RO"/>
        </w:rPr>
        <w:t>Romina PAUL</w:t>
      </w:r>
    </w:p>
    <w:p w:rsidR="00272DC4" w:rsidRPr="0099796A" w:rsidRDefault="005F0A6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16.02.2023</w:t>
      </w:r>
      <w:bookmarkStart w:id="0" w:name="_GoBack"/>
      <w:bookmarkEnd w:id="0"/>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CA" w:rsidRDefault="00D05ECA" w:rsidP="00D6795A">
      <w:pPr>
        <w:spacing w:after="0" w:line="240" w:lineRule="auto"/>
      </w:pPr>
      <w:r>
        <w:separator/>
      </w:r>
    </w:p>
  </w:endnote>
  <w:endnote w:type="continuationSeparator" w:id="0">
    <w:p w:rsidR="00D05ECA" w:rsidRDefault="00D05ECA"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AA85C"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D05ECA">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38056886"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CA" w:rsidRDefault="00D05ECA" w:rsidP="00D6795A">
      <w:pPr>
        <w:spacing w:after="0" w:line="240" w:lineRule="auto"/>
      </w:pPr>
      <w:r>
        <w:separator/>
      </w:r>
    </w:p>
  </w:footnote>
  <w:footnote w:type="continuationSeparator" w:id="0">
    <w:p w:rsidR="00D05ECA" w:rsidRDefault="00D05ECA"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68" w:rsidRDefault="005F0A68" w:rsidP="006F31FE">
    <w:pPr>
      <w:pStyle w:val="Header"/>
      <w:rPr>
        <w:rFonts w:ascii="Arial" w:eastAsia="Times New Roman" w:hAnsi="Arial" w:cs="Arial"/>
        <w:b/>
        <w:sz w:val="28"/>
        <w:szCs w:val="28"/>
        <w:lang w:val="ro-RO" w:eastAsia="ro-RO"/>
      </w:rPr>
    </w:pPr>
  </w:p>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D05ECA"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8056885"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FE3A9A"/>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DD62-6B10-4825-A882-E8BC78FD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2012</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23</cp:revision>
  <cp:lastPrinted>2021-06-29T08:56:00Z</cp:lastPrinted>
  <dcterms:created xsi:type="dcterms:W3CDTF">2022-02-24T10:04:00Z</dcterms:created>
  <dcterms:modified xsi:type="dcterms:W3CDTF">2023-02-16T10:48:00Z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