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r w:rsidRPr="00636683">
        <w:rPr>
          <w:rFonts w:ascii="Times New Roman" w:hAnsi="Times New Roman"/>
          <w:b/>
          <w:bCs/>
          <w:color w:val="auto"/>
          <w:sz w:val="28"/>
          <w:szCs w:val="28"/>
          <w:lang w:eastAsia="ro-RO"/>
        </w:rPr>
        <w:t>DECIZIA ETAPEI DE ÎNCADRARE</w:t>
      </w:r>
    </w:p>
    <w:p w:rsidR="00FC703C" w:rsidRPr="00636683" w:rsidRDefault="00FC703C" w:rsidP="00FC703C">
      <w:pPr>
        <w:spacing w:line="240" w:lineRule="auto"/>
        <w:rPr>
          <w:rFonts w:ascii="Times New Roman" w:hAnsi="Times New Roman" w:cs="Times New Roman"/>
          <w:b/>
          <w:sz w:val="28"/>
          <w:szCs w:val="28"/>
          <w:lang w:eastAsia="ro-RO"/>
        </w:rPr>
      </w:pPr>
    </w:p>
    <w:p w:rsidR="00FC703C" w:rsidRPr="00636683" w:rsidRDefault="00D712FD" w:rsidP="00FC703C">
      <w:pPr>
        <w:spacing w:line="240" w:lineRule="auto"/>
        <w:jc w:val="center"/>
        <w:rPr>
          <w:rFonts w:ascii="Times New Roman" w:hAnsi="Times New Roman" w:cs="Times New Roman"/>
          <w:b/>
          <w:sz w:val="28"/>
          <w:szCs w:val="28"/>
          <w:lang w:eastAsia="ro-RO"/>
        </w:rPr>
      </w:pPr>
      <w:r w:rsidRPr="00636683">
        <w:rPr>
          <w:rFonts w:ascii="Times New Roman" w:hAnsi="Times New Roman" w:cs="Times New Roman"/>
          <w:b/>
          <w:sz w:val="28"/>
          <w:szCs w:val="28"/>
          <w:lang w:eastAsia="ro-RO"/>
        </w:rPr>
        <w:t>Nr. X din X.06</w:t>
      </w:r>
      <w:r w:rsidR="00FC703C" w:rsidRPr="00636683">
        <w:rPr>
          <w:rFonts w:ascii="Times New Roman" w:hAnsi="Times New Roman" w:cs="Times New Roman"/>
          <w:b/>
          <w:sz w:val="28"/>
          <w:szCs w:val="28"/>
          <w:lang w:eastAsia="ro-RO"/>
        </w:rPr>
        <w:t>.2022</w:t>
      </w:r>
    </w:p>
    <w:p w:rsidR="00FC703C" w:rsidRPr="00636683" w:rsidRDefault="00FC703C" w:rsidP="00FC703C">
      <w:pPr>
        <w:autoSpaceDE w:val="0"/>
        <w:spacing w:line="240" w:lineRule="auto"/>
        <w:rPr>
          <w:rFonts w:ascii="Times New Roman" w:hAnsi="Times New Roman" w:cs="Times New Roman"/>
          <w:sz w:val="28"/>
          <w:szCs w:val="28"/>
        </w:rPr>
      </w:pPr>
    </w:p>
    <w:p w:rsidR="006D3CAC" w:rsidRPr="00636683" w:rsidRDefault="006D3CAC" w:rsidP="00FC703C">
      <w:pPr>
        <w:autoSpaceDE w:val="0"/>
        <w:spacing w:line="240" w:lineRule="auto"/>
        <w:rPr>
          <w:rFonts w:ascii="Times New Roman" w:hAnsi="Times New Roman" w:cs="Times New Roman"/>
          <w:color w:val="FFFFFF"/>
          <w:sz w:val="28"/>
          <w:szCs w:val="28"/>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D712FD" w:rsidRPr="00636683">
        <w:rPr>
          <w:rFonts w:ascii="Times New Roman" w:hAnsi="Times New Roman" w:cs="Times New Roman"/>
          <w:b/>
          <w:sz w:val="28"/>
          <w:szCs w:val="28"/>
        </w:rPr>
        <w:t>COMUNA GILAU</w:t>
      </w:r>
      <w:r w:rsidR="002D4228" w:rsidRPr="00636683">
        <w:rPr>
          <w:rFonts w:ascii="Times New Roman" w:hAnsi="Times New Roman" w:cs="Times New Roman"/>
          <w:sz w:val="28"/>
          <w:szCs w:val="28"/>
        </w:rPr>
        <w:t>, cu domiciliul</w:t>
      </w:r>
      <w:r w:rsidRPr="00636683">
        <w:rPr>
          <w:rFonts w:ascii="Times New Roman" w:hAnsi="Times New Roman" w:cs="Times New Roman"/>
          <w:sz w:val="28"/>
          <w:szCs w:val="28"/>
        </w:rPr>
        <w:t xml:space="preserve"> în </w:t>
      </w:r>
      <w:r w:rsidR="002D4228" w:rsidRPr="00636683">
        <w:rPr>
          <w:rFonts w:ascii="Times New Roman" w:hAnsi="Times New Roman" w:cs="Times New Roman"/>
          <w:sz w:val="28"/>
          <w:szCs w:val="28"/>
        </w:rPr>
        <w:t xml:space="preserve">comuna </w:t>
      </w:r>
      <w:r w:rsidR="00D712FD" w:rsidRPr="00636683">
        <w:rPr>
          <w:rFonts w:ascii="Times New Roman" w:hAnsi="Times New Roman" w:cs="Times New Roman"/>
          <w:sz w:val="28"/>
          <w:szCs w:val="28"/>
        </w:rPr>
        <w:t>Gilău</w:t>
      </w:r>
      <w:r w:rsidR="002D4228" w:rsidRPr="00636683">
        <w:rPr>
          <w:rFonts w:ascii="Times New Roman" w:hAnsi="Times New Roman" w:cs="Times New Roman"/>
          <w:sz w:val="28"/>
          <w:szCs w:val="28"/>
        </w:rPr>
        <w:t xml:space="preserve">, sat </w:t>
      </w:r>
      <w:r w:rsidR="00D712FD" w:rsidRPr="00636683">
        <w:rPr>
          <w:rFonts w:ascii="Times New Roman" w:hAnsi="Times New Roman" w:cs="Times New Roman"/>
          <w:sz w:val="28"/>
          <w:szCs w:val="28"/>
        </w:rPr>
        <w:t>Gilau, nr.</w:t>
      </w:r>
      <w:r w:rsidR="002D4228" w:rsidRPr="00636683">
        <w:rPr>
          <w:rFonts w:ascii="Times New Roman" w:hAnsi="Times New Roman" w:cs="Times New Roman"/>
          <w:sz w:val="28"/>
          <w:szCs w:val="28"/>
        </w:rPr>
        <w:t xml:space="preserve"> </w:t>
      </w:r>
      <w:r w:rsidR="00D712FD" w:rsidRPr="00636683">
        <w:rPr>
          <w:rFonts w:ascii="Times New Roman" w:hAnsi="Times New Roman" w:cs="Times New Roman"/>
          <w:sz w:val="28"/>
          <w:szCs w:val="28"/>
        </w:rPr>
        <w:t>723</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D712FD" w:rsidRPr="00636683">
        <w:rPr>
          <w:rFonts w:ascii="Times New Roman" w:hAnsi="Times New Roman" w:cs="Times New Roman"/>
          <w:sz w:val="28"/>
          <w:szCs w:val="28"/>
        </w:rPr>
        <w:t>22872/12.10.2021</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 xml:space="preserve">numerele: </w:t>
      </w:r>
      <w:r w:rsidR="00D712FD" w:rsidRPr="00636683">
        <w:rPr>
          <w:rFonts w:ascii="Times New Roman" w:hAnsi="Times New Roman" w:cs="Times New Roman"/>
          <w:sz w:val="28"/>
          <w:szCs w:val="28"/>
        </w:rPr>
        <w:t>11764/28.04.2022, 127431/06.05.2022 și 16587/20.06.2022</w:t>
      </w:r>
      <w:r w:rsidRPr="00636683">
        <w:rPr>
          <w:rFonts w:ascii="Times New Roman" w:hAnsi="Times New Roman" w:cs="Times New Roman"/>
          <w:sz w:val="28"/>
          <w:szCs w:val="28"/>
        </w:rPr>
        <w:t xml:space="preserve">, precum şi a consultărilor desfăşurate în cadrul şedinţei Comisiei de Analiză Tehnică din data de </w:t>
      </w:r>
      <w:r w:rsidR="00D712FD" w:rsidRPr="00636683">
        <w:rPr>
          <w:rFonts w:ascii="Times New Roman" w:hAnsi="Times New Roman" w:cs="Times New Roman"/>
          <w:sz w:val="28"/>
          <w:szCs w:val="28"/>
        </w:rPr>
        <w:t>31.05.2022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D712FD" w:rsidRPr="00636683">
        <w:rPr>
          <w:rFonts w:ascii="Times New Roman" w:hAnsi="Times New Roman" w:cs="Times New Roman"/>
          <w:b/>
          <w:i/>
          <w:sz w:val="28"/>
          <w:szCs w:val="28"/>
        </w:rPr>
        <w:t xml:space="preserve"> Desființare pod existent pe Valea Căpuș și reconstruire pod nou pe același amplasament, str. Feser, comuna Gilău, jud. Cluj</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602FC" w:rsidRPr="00636683">
        <w:rPr>
          <w:rFonts w:ascii="Times New Roman" w:hAnsi="Times New Roman" w:cs="Times New Roman"/>
          <w:b/>
          <w:i/>
          <w:sz w:val="28"/>
          <w:szCs w:val="28"/>
        </w:rPr>
        <w:t xml:space="preserve">comuna </w:t>
      </w:r>
      <w:r w:rsidR="00D712FD" w:rsidRPr="00636683">
        <w:rPr>
          <w:rFonts w:ascii="Times New Roman" w:hAnsi="Times New Roman" w:cs="Times New Roman"/>
          <w:b/>
          <w:i/>
          <w:sz w:val="28"/>
          <w:szCs w:val="28"/>
        </w:rPr>
        <w:t>Gilău</w:t>
      </w:r>
      <w:r w:rsidR="00A602FC" w:rsidRPr="00636683">
        <w:rPr>
          <w:rFonts w:ascii="Times New Roman" w:hAnsi="Times New Roman" w:cs="Times New Roman"/>
          <w:b/>
          <w:i/>
          <w:sz w:val="28"/>
          <w:szCs w:val="28"/>
        </w:rPr>
        <w:t xml:space="preserve">, sat </w:t>
      </w:r>
      <w:r w:rsidR="00D712FD" w:rsidRPr="00636683">
        <w:rPr>
          <w:rFonts w:ascii="Times New Roman" w:hAnsi="Times New Roman" w:cs="Times New Roman"/>
          <w:b/>
          <w:i/>
          <w:sz w:val="28"/>
          <w:szCs w:val="28"/>
        </w:rPr>
        <w:t>Gilău</w:t>
      </w:r>
      <w:r w:rsidRPr="00636683">
        <w:rPr>
          <w:rFonts w:ascii="Times New Roman" w:hAnsi="Times New Roman" w:cs="Times New Roman"/>
          <w:b/>
          <w:i/>
          <w:sz w:val="28"/>
          <w:szCs w:val="28"/>
        </w:rPr>
        <w:t xml:space="preserve">, </w:t>
      </w:r>
      <w:r w:rsidR="00D712FD" w:rsidRPr="00636683">
        <w:rPr>
          <w:rFonts w:ascii="Times New Roman" w:hAnsi="Times New Roman" w:cs="Times New Roman"/>
          <w:b/>
          <w:i/>
          <w:sz w:val="28"/>
          <w:szCs w:val="28"/>
        </w:rPr>
        <w:t>str. Feser, FN</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kk    kkk  kk supune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D712FD" w:rsidRPr="00636683">
        <w:rPr>
          <w:rFonts w:ascii="Times New Roman" w:hAnsi="Times New Roman" w:cs="Times New Roman"/>
          <w:color w:val="000000"/>
          <w:sz w:val="28"/>
          <w:szCs w:val="28"/>
        </w:rPr>
        <w:t>13.a.)</w:t>
      </w:r>
      <w:r w:rsidR="00D712FD" w:rsidRPr="00636683">
        <w:rPr>
          <w:rFonts w:ascii="Times New Roman" w:hAnsi="Times New Roman" w:cs="Times New Roman"/>
          <w:i/>
          <w:color w:val="000000"/>
          <w:sz w:val="28"/>
          <w:szCs w:val="28"/>
        </w:rPr>
        <w:t xml:space="preserve"> ”Orice modificări sau extinderi, altele decât cele prevăzute la </w:t>
      </w:r>
      <w:hyperlink r:id="rId9" w:anchor="p-275167933" w:tgtFrame="_blank" w:history="1">
        <w:r w:rsidR="00D712FD" w:rsidRPr="00636683">
          <w:rPr>
            <w:rStyle w:val="Hyperlink"/>
            <w:rFonts w:ascii="Times New Roman" w:hAnsi="Times New Roman" w:cs="Times New Roman"/>
            <w:i/>
            <w:color w:val="000000"/>
            <w:sz w:val="28"/>
            <w:szCs w:val="28"/>
          </w:rPr>
          <w:t>pct. 24</w:t>
        </w:r>
      </w:hyperlink>
      <w:r w:rsidR="00D712FD" w:rsidRPr="00636683">
        <w:rPr>
          <w:rFonts w:ascii="Times New Roman" w:hAnsi="Times New Roman" w:cs="Times New Roman"/>
          <w:i/>
          <w:color w:val="000000"/>
          <w:sz w:val="28"/>
          <w:szCs w:val="28"/>
        </w:rPr>
        <w:t xml:space="preserve"> din anexa nr. 1, ale proiectelor prevăzute în anexa  </w:t>
      </w:r>
      <w:hyperlink r:id="rId10" w:anchor="p-275167869" w:tgtFrame="_blank" w:history="1">
        <w:r w:rsidR="00D712FD" w:rsidRPr="00636683">
          <w:rPr>
            <w:rStyle w:val="Hyperlink"/>
            <w:rFonts w:ascii="Times New Roman" w:hAnsi="Times New Roman" w:cs="Times New Roman"/>
            <w:i/>
            <w:color w:val="000000"/>
            <w:sz w:val="28"/>
            <w:szCs w:val="28"/>
          </w:rPr>
          <w:t>nr. 1</w:t>
        </w:r>
      </w:hyperlink>
      <w:r w:rsidR="00D712FD" w:rsidRPr="00636683">
        <w:rPr>
          <w:rFonts w:ascii="Times New Roman" w:hAnsi="Times New Roman" w:cs="Times New Roman"/>
          <w:i/>
          <w:color w:val="000000"/>
          <w:sz w:val="28"/>
          <w:szCs w:val="28"/>
        </w:rPr>
        <w:t> sau în prezenta anexă, deja autorizate, executate sau în curs de a fi executate, care pot avea efecte semnificative negative asupra mediului</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A602FC" w:rsidRPr="00636683">
        <w:rPr>
          <w:rFonts w:ascii="Times New Roman" w:hAnsi="Times New Roman" w:cs="Times New Roman"/>
          <w:b/>
          <w:i/>
          <w:sz w:val="28"/>
          <w:szCs w:val="28"/>
        </w:rPr>
        <w:t xml:space="preserve">comuna </w:t>
      </w:r>
      <w:r w:rsidR="00D712FD" w:rsidRPr="00636683">
        <w:rPr>
          <w:rFonts w:ascii="Times New Roman" w:hAnsi="Times New Roman" w:cs="Times New Roman"/>
          <w:b/>
          <w:i/>
          <w:sz w:val="28"/>
          <w:szCs w:val="28"/>
        </w:rPr>
        <w:t>Gilău, sat Gilău, str. Feser, FN</w:t>
      </w:r>
      <w:r w:rsidRPr="00636683">
        <w:rPr>
          <w:rFonts w:ascii="Times New Roman" w:hAnsi="Times New Roman" w:cs="Times New Roman"/>
          <w:b/>
          <w:i/>
          <w:sz w:val="28"/>
          <w:szCs w:val="28"/>
        </w:rPr>
        <w:t>, judeţul Cluj</w:t>
      </w:r>
      <w:r w:rsidRPr="00636683">
        <w:rPr>
          <w:rStyle w:val="sttlitera"/>
          <w:rFonts w:ascii="Times New Roman" w:hAnsi="Times New Roman" w:cs="Times New Roman"/>
          <w:sz w:val="28"/>
          <w:szCs w:val="28"/>
        </w:rPr>
        <w:t>, constituie proprietate</w:t>
      </w:r>
      <w:r w:rsidR="00822A30" w:rsidRPr="00636683">
        <w:rPr>
          <w:rStyle w:val="sttlitera"/>
          <w:rFonts w:ascii="Times New Roman" w:hAnsi="Times New Roman" w:cs="Times New Roman"/>
          <w:sz w:val="28"/>
          <w:szCs w:val="28"/>
        </w:rPr>
        <w:t xml:space="preserve"> </w:t>
      </w:r>
      <w:r w:rsidRPr="00636683">
        <w:rPr>
          <w:rStyle w:val="sttlitera"/>
          <w:rFonts w:ascii="Times New Roman" w:hAnsi="Times New Roman" w:cs="Times New Roman"/>
          <w:sz w:val="28"/>
          <w:szCs w:val="28"/>
        </w:rPr>
        <w:t xml:space="preserve">privată, cu destinaţia zonei: </w:t>
      </w:r>
      <w:r w:rsidR="00D712FD" w:rsidRPr="00636683">
        <w:rPr>
          <w:rStyle w:val="sttlitera"/>
          <w:rFonts w:ascii="Times New Roman" w:hAnsi="Times New Roman" w:cs="Times New Roman"/>
          <w:sz w:val="28"/>
          <w:szCs w:val="28"/>
        </w:rPr>
        <w:t xml:space="preserve">zona căilor de comunicație, </w:t>
      </w:r>
      <w:r w:rsidR="00D712FD" w:rsidRPr="00636683">
        <w:rPr>
          <w:rStyle w:val="sttlitera"/>
          <w:rFonts w:ascii="Times New Roman" w:hAnsi="Times New Roman" w:cs="Times New Roman"/>
          <w:sz w:val="28"/>
          <w:szCs w:val="28"/>
        </w:rPr>
        <w:lastRenderedPageBreak/>
        <w:t>zona cursurilor de apă</w:t>
      </w:r>
      <w:r w:rsidRPr="00636683">
        <w:rPr>
          <w:rStyle w:val="sttlitera"/>
          <w:rFonts w:ascii="Times New Roman" w:hAnsi="Times New Roman" w:cs="Times New Roman"/>
          <w:sz w:val="28"/>
          <w:szCs w:val="28"/>
        </w:rPr>
        <w:t xml:space="preserve">, conform Certificatului de urbanism nr. </w:t>
      </w:r>
      <w:r w:rsidR="00D712FD" w:rsidRPr="00636683">
        <w:rPr>
          <w:rStyle w:val="sttlitera"/>
          <w:rFonts w:ascii="Times New Roman" w:hAnsi="Times New Roman" w:cs="Times New Roman"/>
          <w:sz w:val="28"/>
          <w:szCs w:val="28"/>
        </w:rPr>
        <w:t>79/30.03.2021</w:t>
      </w:r>
      <w:r w:rsidR="00A602FC" w:rsidRPr="00636683">
        <w:rPr>
          <w:rStyle w:val="sttlitera"/>
          <w:rFonts w:ascii="Times New Roman" w:hAnsi="Times New Roman" w:cs="Times New Roman"/>
          <w:sz w:val="28"/>
          <w:szCs w:val="28"/>
        </w:rPr>
        <w:t xml:space="preserve">  emis de </w:t>
      </w:r>
      <w:r w:rsidRPr="00636683">
        <w:rPr>
          <w:rStyle w:val="sttlitera"/>
          <w:rFonts w:ascii="Times New Roman" w:hAnsi="Times New Roman" w:cs="Times New Roman"/>
          <w:sz w:val="28"/>
          <w:szCs w:val="28"/>
        </w:rPr>
        <w:t xml:space="preserve">Primăria </w:t>
      </w:r>
      <w:r w:rsidR="00A602FC" w:rsidRPr="00636683">
        <w:rPr>
          <w:rStyle w:val="sttlitera"/>
          <w:rFonts w:ascii="Times New Roman" w:hAnsi="Times New Roman" w:cs="Times New Roman"/>
          <w:sz w:val="28"/>
          <w:szCs w:val="28"/>
        </w:rPr>
        <w:t xml:space="preserve">comunei </w:t>
      </w:r>
      <w:r w:rsidR="00D712FD" w:rsidRPr="00636683">
        <w:rPr>
          <w:rStyle w:val="sttlitera"/>
          <w:rFonts w:ascii="Times New Roman" w:hAnsi="Times New Roman" w:cs="Times New Roman"/>
          <w:sz w:val="28"/>
          <w:szCs w:val="28"/>
        </w:rPr>
        <w:t>Gilău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 </w:t>
      </w:r>
      <w:r w:rsidRPr="00636683">
        <w:rPr>
          <w:rStyle w:val="sttlitera"/>
          <w:rFonts w:ascii="Times New Roman" w:hAnsi="Times New Roman" w:cs="Times New Roman"/>
          <w:sz w:val="28"/>
          <w:szCs w:val="28"/>
        </w:rPr>
        <w:t xml:space="preserve">proiectul este de amploare redusă, fiind amplasat  pe domeniul </w:t>
      </w:r>
      <w:r w:rsidR="00D712FD" w:rsidRPr="00636683">
        <w:rPr>
          <w:rStyle w:val="sttlitera"/>
          <w:rFonts w:ascii="Times New Roman" w:hAnsi="Times New Roman" w:cs="Times New Roman"/>
          <w:sz w:val="28"/>
          <w:szCs w:val="28"/>
        </w:rPr>
        <w:t>public</w:t>
      </w:r>
      <w:r w:rsidRPr="00636683">
        <w:rPr>
          <w:rStyle w:val="sttlitera"/>
          <w:rFonts w:ascii="Times New Roman" w:hAnsi="Times New Roman" w:cs="Times New Roman"/>
          <w:sz w:val="28"/>
          <w:szCs w:val="28"/>
        </w:rPr>
        <w:t xml:space="preserve"> şi are ca scop </w:t>
      </w:r>
      <w:r w:rsidR="005C39DF" w:rsidRPr="00636683">
        <w:rPr>
          <w:rStyle w:val="sttlitera"/>
          <w:rFonts w:ascii="Times New Roman" w:hAnsi="Times New Roman" w:cs="Times New Roman"/>
          <w:b/>
          <w:i/>
          <w:sz w:val="28"/>
          <w:szCs w:val="28"/>
        </w:rPr>
        <w:t>desființare pod</w:t>
      </w:r>
      <w:r w:rsidR="00D712FD" w:rsidRPr="00636683">
        <w:rPr>
          <w:rStyle w:val="sttlitera"/>
          <w:rFonts w:ascii="Times New Roman" w:hAnsi="Times New Roman" w:cs="Times New Roman"/>
          <w:b/>
          <w:i/>
          <w:sz w:val="28"/>
          <w:szCs w:val="28"/>
        </w:rPr>
        <w:t xml:space="preserve"> și reconstruire pod pe același amplasament</w:t>
      </w:r>
      <w:r w:rsidRPr="00636683">
        <w:rPr>
          <w:rStyle w:val="sttlitera"/>
          <w:rFonts w:ascii="Times New Roman" w:hAnsi="Times New Roman" w:cs="Times New Roman"/>
          <w:sz w:val="28"/>
          <w:szCs w:val="28"/>
        </w:rPr>
        <w:t xml:space="preserve">, conform Certificatului de urbanism nr. </w:t>
      </w:r>
      <w:r w:rsidR="005C39DF" w:rsidRPr="00636683">
        <w:rPr>
          <w:rStyle w:val="sttlitera"/>
          <w:rFonts w:ascii="Times New Roman" w:hAnsi="Times New Roman" w:cs="Times New Roman"/>
          <w:sz w:val="28"/>
          <w:szCs w:val="28"/>
        </w:rPr>
        <w:t>79/30.03.2021</w:t>
      </w:r>
      <w:r w:rsidRPr="00636683">
        <w:rPr>
          <w:rStyle w:val="sttlitera"/>
          <w:rFonts w:ascii="Times New Roman" w:hAnsi="Times New Roman" w:cs="Times New Roman"/>
          <w:sz w:val="28"/>
          <w:szCs w:val="28"/>
        </w:rPr>
        <w:t xml:space="preserve">  emis de  </w:t>
      </w:r>
      <w:r w:rsidR="00A602FC" w:rsidRPr="00636683">
        <w:rPr>
          <w:rStyle w:val="sttlitera"/>
          <w:rFonts w:ascii="Times New Roman" w:hAnsi="Times New Roman" w:cs="Times New Roman"/>
          <w:sz w:val="28"/>
          <w:szCs w:val="28"/>
        </w:rPr>
        <w:t xml:space="preserve">Primăria comunei </w:t>
      </w:r>
      <w:r w:rsidR="005C39DF" w:rsidRPr="00636683">
        <w:rPr>
          <w:rStyle w:val="sttlitera"/>
          <w:rFonts w:ascii="Times New Roman" w:hAnsi="Times New Roman" w:cs="Times New Roman"/>
          <w:sz w:val="28"/>
          <w:szCs w:val="28"/>
        </w:rPr>
        <w:t>Gilău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5C39DF" w:rsidRPr="00636683">
        <w:rPr>
          <w:rFonts w:ascii="Times New Roman" w:hAnsi="Times New Roman" w:cs="Times New Roman"/>
          <w:sz w:val="28"/>
          <w:szCs w:val="28"/>
        </w:rPr>
        <w:t>satului Gilău, comuna Gilău</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străzi ale localității - pod, cursuri de apă-Valea Căpuș</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Primăria comunei Gilău</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5C39DF" w:rsidRPr="00636683">
        <w:rPr>
          <w:rStyle w:val="sttlitera"/>
          <w:rFonts w:ascii="Times New Roman" w:hAnsi="Times New Roman" w:cs="Times New Roman"/>
          <w:b/>
          <w:i/>
          <w:sz w:val="28"/>
          <w:szCs w:val="28"/>
        </w:rPr>
        <w:t>desființare pod și reconstruire pod pe același amplasament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pe proprietatea statului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5C39DF" w:rsidRPr="00636683">
        <w:rPr>
          <w:rFonts w:ascii="Times New Roman" w:hAnsi="Times New Roman" w:cs="Times New Roman"/>
          <w:sz w:val="28"/>
          <w:szCs w:val="28"/>
        </w:rPr>
        <w:t xml:space="preserve">de </w:t>
      </w:r>
      <w:r w:rsidR="005C39DF" w:rsidRPr="00636683">
        <w:rPr>
          <w:rFonts w:ascii="Times New Roman" w:hAnsi="Times New Roman" w:cs="Times New Roman"/>
          <w:b/>
          <w:i/>
          <w:sz w:val="28"/>
          <w:szCs w:val="28"/>
        </w:rPr>
        <w:t xml:space="preserve">desființare </w:t>
      </w:r>
      <w:r w:rsidR="00636683" w:rsidRPr="00636683">
        <w:rPr>
          <w:rFonts w:ascii="Times New Roman" w:hAnsi="Times New Roman" w:cs="Times New Roman"/>
          <w:b/>
          <w:i/>
          <w:sz w:val="28"/>
          <w:szCs w:val="28"/>
        </w:rPr>
        <w:t xml:space="preserve">pod </w:t>
      </w:r>
      <w:r w:rsidR="005C39DF" w:rsidRPr="00636683">
        <w:rPr>
          <w:rFonts w:ascii="Times New Roman" w:hAnsi="Times New Roman" w:cs="Times New Roman"/>
          <w:b/>
          <w:i/>
          <w:sz w:val="28"/>
          <w:szCs w:val="28"/>
        </w:rPr>
        <w:t>și reconstruire pod</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636683" w:rsidRDefault="00FC703C" w:rsidP="00FC703C">
      <w:pPr>
        <w:autoSpaceDE w:val="0"/>
        <w:autoSpaceDN w:val="0"/>
        <w:adjustRightInd w:val="0"/>
        <w:spacing w:line="240" w:lineRule="auto"/>
        <w:rPr>
          <w:rFonts w:ascii="Times New Roman" w:hAnsi="Times New Roman" w:cs="Times New Roman"/>
          <w:i/>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nu intră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11"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Pr="00636683"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intră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FC703C" w:rsidRPr="00636683" w:rsidRDefault="00FC703C" w:rsidP="00FC703C">
      <w:pPr>
        <w:tabs>
          <w:tab w:val="left" w:pos="851"/>
        </w:tabs>
        <w:ind w:left="720"/>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Conform Deciziei nr. </w:t>
      </w:r>
      <w:r w:rsidR="00BC756E" w:rsidRPr="00636683">
        <w:rPr>
          <w:rFonts w:ascii="Times New Roman" w:hAnsi="Times New Roman" w:cs="Times New Roman"/>
          <w:sz w:val="28"/>
          <w:szCs w:val="28"/>
        </w:rPr>
        <w:t xml:space="preserve">133/CJ/28.03.2022 </w:t>
      </w:r>
      <w:r w:rsidRPr="00636683">
        <w:rPr>
          <w:rFonts w:ascii="Times New Roman" w:hAnsi="Times New Roman" w:cs="Times New Roman"/>
          <w:sz w:val="28"/>
          <w:szCs w:val="28"/>
        </w:rPr>
        <w:t xml:space="preserve"> emisă de AN Apele Române-ABA </w:t>
      </w:r>
      <w:r w:rsidR="00BC756E" w:rsidRPr="00636683">
        <w:rPr>
          <w:rFonts w:ascii="Times New Roman" w:hAnsi="Times New Roman" w:cs="Times New Roman"/>
          <w:sz w:val="28"/>
          <w:szCs w:val="28"/>
        </w:rPr>
        <w:t>Someș-Tisa</w:t>
      </w:r>
      <w:r w:rsidRPr="00636683">
        <w:rPr>
          <w:rFonts w:ascii="Times New Roman" w:hAnsi="Times New Roman" w:cs="Times New Roman"/>
          <w:sz w:val="28"/>
          <w:szCs w:val="28"/>
        </w:rPr>
        <w:t xml:space="preserve">, lucrările </w:t>
      </w:r>
      <w:r w:rsidR="005D3A13" w:rsidRPr="00636683">
        <w:rPr>
          <w:rFonts w:ascii="Times New Roman" w:hAnsi="Times New Roman" w:cs="Times New Roman"/>
          <w:sz w:val="28"/>
          <w:szCs w:val="28"/>
        </w:rPr>
        <w:t>vor fi cu impact local pe durata desfășurării lucrărilor</w:t>
      </w:r>
      <w:r w:rsidRPr="00636683">
        <w:rPr>
          <w:rFonts w:ascii="Times New Roman" w:hAnsi="Times New Roman" w:cs="Times New Roman"/>
          <w:sz w:val="28"/>
          <w:szCs w:val="28"/>
        </w:rPr>
        <w:t>.</w:t>
      </w:r>
    </w:p>
    <w:p w:rsidR="00150C4A" w:rsidRPr="00636683" w:rsidRDefault="00150C4A"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Corp de apă: Căpuș și</w:t>
      </w:r>
      <w:r w:rsidR="00636683" w:rsidRPr="00636683">
        <w:rPr>
          <w:rFonts w:ascii="Times New Roman" w:hAnsi="Times New Roman" w:cs="Times New Roman"/>
          <w:sz w:val="28"/>
          <w:szCs w:val="28"/>
        </w:rPr>
        <w:t xml:space="preserve"> </w:t>
      </w:r>
      <w:r w:rsidRPr="00636683">
        <w:rPr>
          <w:rFonts w:ascii="Times New Roman" w:hAnsi="Times New Roman" w:cs="Times New Roman"/>
          <w:sz w:val="28"/>
          <w:szCs w:val="28"/>
        </w:rPr>
        <w:t>afluenții RORW2.131.10_B1</w:t>
      </w:r>
    </w:p>
    <w:p w:rsidR="006D3CAC" w:rsidRPr="00636683" w:rsidRDefault="006D3CAC" w:rsidP="00FC703C">
      <w:pPr>
        <w:spacing w:line="250" w:lineRule="atLeast"/>
        <w:textAlignment w:val="baseline"/>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p>
    <w:p w:rsidR="00FC703C" w:rsidRPr="00636683" w:rsidRDefault="00FC703C" w:rsidP="00FC703C">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w:t>
      </w:r>
      <w:r w:rsidR="00BC756E" w:rsidRPr="00636683">
        <w:rPr>
          <w:rFonts w:ascii="Times New Roman" w:hAnsi="Times New Roman" w:cs="Times New Roman"/>
          <w:b/>
          <w:i/>
          <w:sz w:val="28"/>
          <w:szCs w:val="28"/>
        </w:rPr>
        <w:t xml:space="preserve"> Desființare pod existent pe Valea Căpuș și reconstruire pod nou pe același amplasament, str. Feser, comuna Gilău, jud. Cluj</w:t>
      </w:r>
      <w:r w:rsidRPr="00636683">
        <w:rPr>
          <w:rFonts w:ascii="Times New Roman" w:hAnsi="Times New Roman" w:cs="Times New Roman"/>
          <w:b/>
          <w:sz w:val="28"/>
          <w:szCs w:val="28"/>
        </w:rPr>
        <w:t xml:space="preserve">” </w:t>
      </w:r>
      <w:r w:rsidRPr="00636683">
        <w:rPr>
          <w:rFonts w:ascii="Times New Roman" w:hAnsi="Times New Roman" w:cs="Times New Roman"/>
          <w:sz w:val="28"/>
          <w:szCs w:val="28"/>
        </w:rPr>
        <w:t xml:space="preserve">în </w:t>
      </w:r>
      <w:r w:rsidR="00BC756E" w:rsidRPr="00636683">
        <w:rPr>
          <w:rFonts w:ascii="Times New Roman" w:hAnsi="Times New Roman" w:cs="Times New Roman"/>
          <w:b/>
          <w:i/>
          <w:sz w:val="28"/>
          <w:szCs w:val="28"/>
        </w:rPr>
        <w:t>comuna Gilău, sat Gilău, str. Feser, FN, judeţul Cluj</w:t>
      </w:r>
      <w:r w:rsidRPr="00636683">
        <w:rPr>
          <w:rFonts w:ascii="Times New Roman" w:hAnsi="Times New Roman" w:cs="Times New Roman"/>
          <w:sz w:val="28"/>
          <w:szCs w:val="28"/>
        </w:rPr>
        <w:t xml:space="preserve"> cu următoarele caracteristici: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oordonatelor Stereo 70 a podului de pe str. Feser, sat Gilău X-377118.9; 377124,9; 377118,8; 377124,9 și  Y -585389,5; 585389,5; 585373,5; 585373,5;</w:t>
      </w:r>
    </w:p>
    <w:p w:rsidR="00150C4A" w:rsidRPr="00636683" w:rsidRDefault="00150C4A"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sz w:val="28"/>
          <w:szCs w:val="28"/>
        </w:rPr>
        <w:t>-desființare pod existent pe str Feser, sat Gilău;</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50C4A" w:rsidRPr="00636683">
        <w:rPr>
          <w:rFonts w:ascii="Times New Roman" w:hAnsi="Times New Roman" w:cs="Times New Roman"/>
          <w:sz w:val="28"/>
          <w:szCs w:val="28"/>
        </w:rPr>
        <w:t>pod reconstruit lungime 17,10 m, lățime 5,93 m, alte detalii tehnice proiect</w:t>
      </w:r>
      <w:r w:rsidRPr="00636683">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150C4A" w:rsidRPr="00636683">
        <w:rPr>
          <w:rFonts w:ascii="Times New Roman" w:hAnsi="Times New Roman" w:cs="Times New Roman"/>
          <w:sz w:val="28"/>
          <w:szCs w:val="28"/>
        </w:rPr>
        <w:t>construirii podului ce decurg din proiectul tehnic</w:t>
      </w:r>
      <w:r w:rsidRPr="00636683">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666680" w:rsidRPr="00636683" w:rsidRDefault="00666680"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 se vor respecta toate obligațiile din Avizul nr. </w:t>
      </w:r>
      <w:r w:rsidR="00150C4A" w:rsidRPr="00636683">
        <w:rPr>
          <w:rFonts w:ascii="Times New Roman" w:eastAsia="Times New Roman" w:hAnsi="Times New Roman" w:cs="Times New Roman"/>
          <w:sz w:val="28"/>
          <w:szCs w:val="28"/>
        </w:rPr>
        <w:t>47-CJ/04.05.2022</w:t>
      </w:r>
      <w:r w:rsidRPr="00636683">
        <w:rPr>
          <w:rFonts w:ascii="Times New Roman" w:eastAsia="Times New Roman" w:hAnsi="Times New Roman" w:cs="Times New Roman"/>
          <w:sz w:val="28"/>
          <w:szCs w:val="28"/>
        </w:rPr>
        <w:t xml:space="preserve"> emis de AN Apele Române, ABA </w:t>
      </w:r>
      <w:r w:rsidR="00150C4A" w:rsidRPr="00636683">
        <w:rPr>
          <w:rFonts w:ascii="Times New Roman" w:eastAsia="Times New Roman" w:hAnsi="Times New Roman" w:cs="Times New Roman"/>
          <w:sz w:val="28"/>
          <w:szCs w:val="28"/>
        </w:rPr>
        <w:t>Someș-Tisa</w:t>
      </w:r>
      <w:r w:rsidRPr="00636683">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636683"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636683" w:rsidRDefault="00FC703C" w:rsidP="00FC703C">
      <w:pPr>
        <w:spacing w:line="240" w:lineRule="auto"/>
        <w:textAlignment w:val="baseline"/>
        <w:rPr>
          <w:rFonts w:ascii="Times New Roman" w:hAnsi="Times New Roman" w:cs="Times New Roman"/>
          <w:b/>
          <w:sz w:val="28"/>
          <w:szCs w:val="28"/>
        </w:rPr>
      </w:pPr>
    </w:p>
    <w:p w:rsidR="00FC703C" w:rsidRPr="00636683" w:rsidRDefault="00FC703C" w:rsidP="00FC703C">
      <w:pPr>
        <w:shd w:val="clear" w:color="auto" w:fill="FFFFFF"/>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Ttitularul proiectului are obligaţia de a notifica în scris Agenția pentru Protecţia Mediului Cluj despre orice modificare sau extindere a proiectului survenită după emierea deciziei de încadrare, înainte de producerea modificării.</w:t>
      </w:r>
    </w:p>
    <w:p w:rsidR="00FC703C" w:rsidRPr="00636683" w:rsidRDefault="00FC703C" w:rsidP="00FC703C">
      <w:pPr>
        <w:shd w:val="clear" w:color="auto" w:fill="FFFFFF"/>
        <w:adjustRightInd w:val="0"/>
        <w:spacing w:line="240" w:lineRule="auto"/>
        <w:rPr>
          <w:rFonts w:ascii="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 xml:space="preserve">Prezenta decizie este valabilă pe toată perioada de realizare a proiectului, iar în situația în care intervin elemente noi, necunoscute la data emiterii prezentei </w:t>
      </w:r>
      <w:r w:rsidRPr="00636683">
        <w:rPr>
          <w:rFonts w:ascii="Times New Roman" w:eastAsia="Times New Roman" w:hAnsi="Times New Roman" w:cs="Times New Roman"/>
          <w:b/>
          <w:i/>
          <w:sz w:val="28"/>
          <w:szCs w:val="28"/>
        </w:rPr>
        <w:lastRenderedPageBreak/>
        <w:t>decizii, sau se modifică condițiile care au stat la baza emiterii acesteia, titularul proiectului are obligația de a notifica autoritatea competentă emitentă.</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Pr="00636683" w:rsidRDefault="00FC703C" w:rsidP="00FC703C">
      <w:pPr>
        <w:rPr>
          <w:rFonts w:ascii="Times New Roman" w:eastAsia="Times New Roman" w:hAnsi="Times New Roman" w:cs="Times New Roman"/>
          <w:sz w:val="28"/>
          <w:szCs w:val="28"/>
        </w:rPr>
      </w:pPr>
    </w:p>
    <w:p w:rsidR="00FC703C" w:rsidRPr="00636683" w:rsidRDefault="00FC703C" w:rsidP="00FC703C">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3"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636683">
      <w:pPr>
        <w:tabs>
          <w:tab w:val="center" w:pos="4680"/>
          <w:tab w:val="right" w:pos="9360"/>
        </w:tabs>
        <w:spacing w:line="240" w:lineRule="auto"/>
        <w:rPr>
          <w:rFonts w:ascii="Times New Roman" w:hAnsi="Times New Roman" w:cs="Times New Roman"/>
          <w:b/>
          <w:sz w:val="28"/>
          <w:szCs w:val="28"/>
        </w:rPr>
      </w:pPr>
      <w:bookmarkStart w:id="0" w:name="_GoBack"/>
      <w:bookmarkEnd w:id="0"/>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Pr="00636683" w:rsidRDefault="00FC703C" w:rsidP="00FC703C">
      <w:pPr>
        <w:spacing w:after="200"/>
        <w:rPr>
          <w:rFonts w:ascii="Times New Roman" w:hAnsi="Times New Roman" w:cs="Times New Roman"/>
          <w:sz w:val="28"/>
          <w:szCs w:val="28"/>
        </w:rPr>
      </w:pPr>
      <w:r w:rsidRPr="00636683">
        <w:rPr>
          <w:rFonts w:ascii="Times New Roman" w:hAnsi="Times New Roman" w:cs="Times New Roman"/>
          <w:sz w:val="28"/>
          <w:szCs w:val="28"/>
        </w:rPr>
        <w:t xml:space="preserve">            </w:t>
      </w: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150C4A" w:rsidRPr="00636683">
        <w:rPr>
          <w:rFonts w:ascii="Times New Roman" w:hAnsi="Times New Roman" w:cs="Times New Roman"/>
          <w:b/>
          <w:bCs/>
          <w:sz w:val="28"/>
          <w:szCs w:val="28"/>
        </w:rPr>
        <w:t>Izabella BUFTEA</w:t>
      </w:r>
    </w:p>
    <w:p w:rsidR="00FC703C" w:rsidRPr="00636683" w:rsidRDefault="00150C4A" w:rsidP="00FC703C">
      <w:pPr>
        <w:tabs>
          <w:tab w:val="left" w:pos="1139"/>
        </w:tabs>
        <w:rPr>
          <w:rFonts w:ascii="Times New Roman" w:hAnsi="Times New Roman" w:cs="Times New Roman"/>
          <w:sz w:val="28"/>
          <w:szCs w:val="28"/>
        </w:rPr>
      </w:pPr>
      <w:r w:rsidRPr="00636683">
        <w:rPr>
          <w:rFonts w:ascii="Times New Roman" w:hAnsi="Times New Roman" w:cs="Times New Roman"/>
          <w:sz w:val="28"/>
          <w:szCs w:val="28"/>
        </w:rPr>
        <w:t>X.06.2022</w:t>
      </w:r>
      <w:r w:rsidR="00FC703C" w:rsidRPr="00636683">
        <w:rPr>
          <w:rFonts w:ascii="Times New Roman" w:hAnsi="Times New Roman" w:cs="Times New Roman"/>
          <w:sz w:val="28"/>
          <w:szCs w:val="28"/>
        </w:rPr>
        <w:tab/>
      </w:r>
    </w:p>
    <w:sectPr w:rsidR="00FC703C" w:rsidRPr="00636683" w:rsidSect="00321A56">
      <w:footerReference w:type="default" r:id="rId14"/>
      <w:headerReference w:type="first" r:id="rId15"/>
      <w:footerReference w:type="first" r:id="rId16"/>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85" w:rsidRDefault="00EC5685" w:rsidP="0056580B">
      <w:r>
        <w:separator/>
      </w:r>
    </w:p>
  </w:endnote>
  <w:endnote w:type="continuationSeparator" w:id="0">
    <w:p w:rsidR="00EC5685" w:rsidRDefault="00EC5685"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EC568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17389149"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636683">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EC568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17389151"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85" w:rsidRDefault="00EC5685" w:rsidP="0056580B">
      <w:r>
        <w:separator/>
      </w:r>
    </w:p>
  </w:footnote>
  <w:footnote w:type="continuationSeparator" w:id="0">
    <w:p w:rsidR="00EC5685" w:rsidRDefault="00EC5685"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EC5685"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17389150"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p w:rsidR="00321A56" w:rsidRDefault="00321A56"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ge5.ro/Gratuit/gmytenbvhezq/legea-nr-292-2018-privind-evaluarea-impactului-anumitor-proiecte-publice-si-private-asupra-mediului?pid=275167869&amp;d=2019-08-23"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8-2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AF55-88D4-41EC-A44D-34881DA8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15</cp:revision>
  <cp:lastPrinted>2022-05-23T12:51:00Z</cp:lastPrinted>
  <dcterms:created xsi:type="dcterms:W3CDTF">2022-05-12T16:51:00Z</dcterms:created>
  <dcterms:modified xsi:type="dcterms:W3CDTF">2022-06-22T04:46:00Z</dcterms:modified>
</cp:coreProperties>
</file>